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</w:pPr>
      <w:r>
        <w:rPr>
          <w:b w:val="0"/>
          <w:i w:val="0"/>
        </w:rPr>
        <w:t>Histoires d'os - Activité 1</w:t>
      </w:r>
    </w:p>
    <w:p>
      <w:pPr>
        <w:pStyle w:val="Heading1"/>
        <w:keepNext/>
        <w:keepLines/>
      </w:pPr>
      <w:r>
        <w:rPr>
          <w:b w:val="0"/>
          <w:i w:val="0"/>
        </w:rPr>
        <w:t>Supports d'enquête</w:t>
      </w:r>
      <w:r>
        <w:br/>
      </w:r>
      <w:r>
        <w:rPr>
          <w:b w:val="0"/>
          <w:i w:val="0"/>
        </w:rPr>
        <w:t>Trouver l'astragale</w:t>
      </w:r>
    </w:p>
    <w:p>
      <w:pPr>
        <w:keepLines/>
      </w:pPr>
      <w:r>
        <w:rPr>
          <w:b w:val="0"/>
          <w:i w:val="0"/>
        </w:rPr>
        <w:t>Présenter les supports dans l'ordre. Les supports 3 et 4 révèlent la réponse.</w:t>
      </w:r>
    </w:p>
    <w:tbl>
      <w:tblPr>
        <w:tblLook w:firstColumn="1" w:firstRow="1" w:lastColumn="0" w:lastRow="0" w:noHBand="0" w:noVBand="1" w:val="04A0"/>
        <w:tblW w:w="10318" w:type="dxa"/>
        <w:tblInd w:w="120" w:type="dxa"/>
        <w:tblLayout w:type="fixed"/>
      </w:tblPr>
      <w:tblGrid>
        <w:gridCol w:w="2579"/>
        <w:gridCol w:w="2579"/>
        <w:gridCol w:w="2579"/>
        <w:gridCol w:w="2581"/>
      </w:tblGrid>
      <w:tr>
        <w:trPr>
          <w:cantSplit/>
          <w:tblHeader w:val="true"/>
        </w:trPr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Usage</w:t>
            </w:r>
          </w:p>
        </w:tc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Ordre</w:t>
            </w:r>
          </w:p>
        </w:tc>
        <w:tc>
          <w:tcPr>
            <w:tcW w:type="dxa" w:w="2579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Couleur</w:t>
            </w:r>
          </w:p>
        </w:tc>
        <w:tc>
          <w:tcPr>
            <w:tcW w:type="dxa" w:w="2581"/>
            <w:shd w:fill="F0F1EE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pStyle w:val="ResourceCredit"/>
            </w:pPr>
            <w:r>
              <w:rPr>
                <w:b/>
                <w:i w:val="0"/>
              </w:rPr>
              <w:t>Version</w:t>
            </w:r>
          </w:p>
        </w:tc>
      </w:tr>
      <w:tr>
        <w:trPr>
          <w:cantSplit/>
        </w:trPr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Projection ou impression</w:t>
            </w:r>
          </w:p>
        </w:tc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1, 2, puis 3-4</w:t>
            </w:r>
          </w:p>
        </w:tc>
        <w:tc>
          <w:tcPr>
            <w:tcW w:type="dxa" w:w="2579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Facultative</w:t>
            </w:r>
          </w:p>
        </w:tc>
        <w:tc>
          <w:tcPr>
            <w:tcW w:type="dxa" w:w="2581"/>
            <w:shd w:fill="F7F4E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 w:val="0"/>
                <w:i w:val="0"/>
              </w:rPr>
              <w:t>2.0</w:t>
            </w:r>
          </w:p>
        </w:tc>
      </w:tr>
    </w:tbl>
    <w:p>
      <w:pPr>
        <w:pStyle w:val="Heading2"/>
        <w:keepNext/>
        <w:keepLines/>
      </w:pPr>
      <w:r>
        <w:rPr>
          <w:b w:val="0"/>
          <w:i w:val="0"/>
        </w:rPr>
        <w:t>Support 1 - L'os mystère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 descr="Deux rendus neutres d'un même os irrégulier, présentés selon des orientations différentes, sans nom ni emplacement." title="Deux rendus neutres d'un même os irrégulier, présentés selon des orientations différentes, sans nom ni emplac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houette-os-enque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 w:val="0"/>
          <w:i w:val="0"/>
        </w:rPr>
        <w:t>Comparer les vues A et B. Décrire avant de nommer.</w:t>
      </w:r>
      <w:r>
        <w:rPr>
          <w:b w:val="0"/>
          <w:i w:val="0"/>
        </w:rPr>
        <w:t>Dérivé de BodyParts3D / DBCLS, CC BY-SA 2.1 JP : extraction du surlignage et passage en niveaux de gris. Validation anatomique humaine requise.</w:t>
      </w:r>
    </w:p>
    <w:p>
      <w:pPr>
        <w:pStyle w:val="Heading2"/>
        <w:keepNext/>
        <w:keepLines/>
        <w:pageBreakBefore/>
      </w:pPr>
      <w:r>
        <w:rPr>
          <w:b w:val="0"/>
          <w:i w:val="0"/>
        </w:rPr>
        <w:t>Support 2 - Chercher une place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400000" cy="3150000"/>
            <wp:docPr id="2" name="Picture 2" descr="Vue latérale neutre des os d'un pied humain, avec les repères jambe, cheville, pied et zone du talon; aucune réponse n'est indiquée." title="Vue latérale neutre des os d'un pied humain, avec les repères jambe, cheville, pied et zone du talon; aucune réponse n'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-pied-enque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 w:val="0"/>
          <w:i w:val="0"/>
        </w:rPr>
        <w:t>Entourer un os ou une petite zone. La jambe, le pied, la cheville et la zone du talon servent de repères ordinaires.</w:t>
      </w:r>
      <w:r>
        <w:rPr>
          <w:b w:val="0"/>
          <w:i w:val="0"/>
        </w:rPr>
        <w:t>Dérivé de BodyParts3D / DBCLS, CC BY-SA 2.1 JP : surlignage neutralisé et annotations ajoutées.</w:t>
      </w:r>
    </w:p>
    <w:p>
      <w:pPr>
        <w:pStyle w:val="Heading2"/>
        <w:keepNext/>
        <w:keepLines/>
        <w:pageBreakBefore/>
      </w:pPr>
      <w:r>
        <w:rPr>
          <w:b w:val="0"/>
          <w:i w:val="0"/>
        </w:rPr>
        <w:t>Support 3 - Vérifier la localisation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400000" cy="3150000"/>
            <wp:docPr id="3" name="Picture 3" descr="Vue latérale BodyParts3D légendée : le talus rouge est entouré d'un trait discontinu sous le tibia et au-dessus du calcanéum; le talon est indiqué comme une région." title="Vue latérale BodyParts3D légendée : le talus rouge est entouré d'un trait discontinu sous le tibia et au-dessus du calc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-localisation-tal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 w:val="0"/>
          <w:i w:val="0"/>
        </w:rPr>
        <w:t>Le talus/astragale est identifié par la couleur, un contour discontinu, une flèche et une légende; le sens reste lisible en niveaux de gris.</w:t>
      </w:r>
      <w:r>
        <w:rPr>
          <w:b w:val="0"/>
          <w:i w:val="0"/>
        </w:rPr>
        <w:t>Dérivé annoté de BodyParts3D / DBCLS, CC BY-SA 2.1 JP. Validation humaine des annotations requise.</w:t>
      </w:r>
    </w:p>
    <w:p>
      <w:pPr>
        <w:pStyle w:val="Heading2"/>
        <w:keepNext/>
        <w:keepLines/>
        <w:pageBreakBefore/>
      </w:pPr>
      <w:r>
        <w:rPr>
          <w:b w:val="0"/>
          <w:i w:val="0"/>
        </w:rPr>
        <w:t>Support 4 - Comparer deux orientations anatomiques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032000" cy="4032000"/>
            <wp:docPr id="4" name="Picture 4" descr="Vue latérale d'un pied humain : le talus est coloré en rouge sous le tibia et au-dessus du calcanéum." title="Vue latérale d'un pied humain : le talus est coloré en rouge sous le tibia et au-dessus du calcanéu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lus-humain-vue-laterale-bodyparts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32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  <w:i w:val="0"/>
        </w:rPr>
        <w:t>Vue latérale.</w:t>
      </w:r>
      <w:r>
        <w:rPr>
          <w:b w:val="0"/>
          <w:i w:val="0"/>
        </w:rPr>
        <w:t xml:space="preserve"> Le talus est repéré en rouge et par la légende.</w:t>
      </w:r>
      <w:r>
        <w:rPr>
          <w:b w:val="0"/>
          <w:i w:val="0"/>
        </w:rPr>
        <w:t>BodyParts3D / DBCLS, CC BY-SA 2.1 JP, via Wikimedia Commons. Image redimensionnée et compressée; diffusion sous la même licence.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4032000" cy="4032000"/>
            <wp:docPr id="5" name="Picture 5" descr="Vue antérolatérale des deux pieds humains : le talus est coloré en rouge entre la jambe et les autres os du pied." title="Vue antérolatérale des deux pieds humains : le talus est coloré en rouge entre la jambe et les autres os du p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lus-humain-vue-anterolaterale-bodyparts3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2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  <w:i w:val="0"/>
        </w:rPr>
        <w:t>Vue antérolatérale.</w:t>
      </w:r>
      <w:r>
        <w:rPr>
          <w:b w:val="0"/>
          <w:i w:val="0"/>
        </w:rPr>
        <w:t xml:space="preserve"> La forme apparente change avec l'orientation.</w:t>
      </w:r>
      <w:r>
        <w:rPr>
          <w:b w:val="0"/>
          <w:i w:val="0"/>
        </w:rPr>
        <w:t>BodyParts3D / DBCLS, CC BY-SA 2.1 JP, via Wikimedia Commons. Image redimensionnée et compressée; diffusion sous la même licence.</w:t>
      </w:r>
    </w:p>
    <w:p>
      <w:pPr>
        <w:keepLines/>
        <w:shd w:fill="F7F4EF"/>
        <w:pBdr>
          <w:left w:val="single" w:sz="18" w:space="8" w:color="9A5B25"/>
        </w:pBdr>
      </w:pPr>
      <w:r>
        <w:rPr>
          <w:b w:val="0"/>
          <w:i w:val="0"/>
        </w:rPr>
        <w:t>La couleur sert au repérage après l'enquête. La position sous la jambe et au-dessus du calcanéum est l'indice principal à verbaliser.</w:t>
      </w:r>
    </w:p>
    <w:p>
      <w:pPr>
        <w:pStyle w:val="Heading2"/>
        <w:keepNext/>
        <w:keepLines/>
        <w:pageBreakBefore/>
      </w:pPr>
      <w:r>
        <w:rPr>
          <w:b w:val="0"/>
          <w:i w:val="0"/>
        </w:rPr>
        <w:t>Support 5 - Prolongement comparatif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040000" cy="4032000"/>
            <wp:docPr id="6" name="Picture 6" descr="Squelette complet de mouton vu de profil dans un musée d'anatomie vétérinaire; les pieds sont visibles au bout des membres." title="Squelette complet de mouton vu de profil dans un musée d'anatomie vétérinaire; les pieds sont visibles au bout des memb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uelette-mouton-mav-usp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b/>
          <w:i w:val="0"/>
        </w:rPr>
        <w:t>Comparer une région, pas identifier un os précis.</w:t>
      </w:r>
      <w:r>
        <w:rPr>
          <w:b w:val="0"/>
          <w:i w:val="0"/>
        </w:rPr>
        <w:t xml:space="preserve"> Repérer le membre postérieur et la région où la jambe rejoint le pied. Dire ce qui ressemble au cas humain et ce qui diffère sur les supports.</w:t>
      </w:r>
      <w:r>
        <w:rPr>
          <w:b w:val="0"/>
          <w:i w:val="0"/>
        </w:rPr>
        <w:t>Museum of Veterinary Anatomy FMVZ USP / Wagner Souza e Silva, édition antérieure Rodrigo Tetsuo Argenton, CC BY-SA 4.0, via Wikimedia Commons. Fichier redimensionné de 3790 × 3032 à 1400 × 1120 px.</w:t>
      </w:r>
    </w:p>
    <w:p>
      <w:pPr>
        <w:keepLines/>
      </w:pPr>
      <w:r>
        <w:rPr>
          <w:b w:val="0"/>
          <w:i w:val="0"/>
        </w:rPr>
        <w:t>Peut s'intégrer comme prolongement exploratoire en 7e-8e ou en atelier long, à vérifier et adapter. L'homologie et l'orientation précises doivent être validées par une personne compétente en anatomie comparée avant un usage élève autonome.</w:t>
      </w:r>
    </w:p>
    <w:p>
      <w:pPr>
        <w:pStyle w:val="ResourceCredit"/>
        <w:spacing w:before="160"/>
      </w:pPr>
      <w:r>
        <w:rPr>
          <w:b/>
        </w:rPr>
        <w:t xml:space="preserve">Traçabilité : </w:t>
      </w:r>
      <w:hyperlink r:id="rId17">
        <w:r>
          <w:rPr>
            <w:color w:val="9A5B25"/>
            <w:u w:val="single"/>
          </w:rPr>
          <w:t>Page de l'activité, mises à jour et crédits en ligne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850" w:right="794" w:bottom="1020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ourceCredit"/>
      <w:jc w:val="right"/>
    </w:pPr>
    <w:r>
      <w:t xml:space="preserve">Version pilote · Page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ourceCredit"/>
      <w:spacing w:after="0"/>
    </w:pPr>
    <w:r>
      <w:rPr>
        <w:b/>
      </w:rPr>
      <w:t>Histoires d'os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fr-FR" w:bidi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color w:val="1F2523"/>
      <w:sz w:val="21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fr-FR" w:eastAsia="fr-FR" w:bidi="fr-FR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fr-FR" w:eastAsia="fr-FR" w:bidi="fr-FR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fr-FR" w:eastAsia="fr-FR" w:bidi="fr-FR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fr-FR" w:eastAsia="fr-FR" w:bidi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Georgia" w:hAnsi="Georgia"/>
      <w:b/>
      <w:bCs/>
      <w:color w:val="1F2523"/>
      <w:sz w:val="44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Georgia" w:hAnsi="Georgia"/>
      <w:b/>
      <w:bCs/>
      <w:color w:val="9A5B25"/>
      <w:sz w:val="28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1F2523"/>
      <w:sz w:val="23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fr-FR" w:eastAsia="fr-FR" w:bidi="fr-F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fr-FR" w:eastAsia="fr-FR" w:bidi="fr-F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fr-FR" w:eastAsia="fr-FR" w:bidi="fr-F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fr-FR" w:eastAsia="fr-FR" w:bidi="fr-F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 w:eastAsia="fr-FR" w:bidi="fr-FR"/>
    </w:rPr>
  </w:style>
  <w:style w:type="character" w:default="1" w:styleId="DefaultParagraphFont">
    <w:name w:val="Default Paragraph Font"/>
    <w:uiPriority w:val="1"/>
    <w:semiHidden/>
    <w:unhideWhenUsed/>
    <w:rPr>
      <w:lang w:val="fr-FR" w:eastAsia="fr-FR" w:bidi="fr-FR"/>
    </w:rPr>
  </w:style>
  <w:style w:type="table" w:default="1" w:styleId="TableNormal">
    <w:name w:val="Normal Table"/>
    <w:uiPriority w:val="99"/>
    <w:semiHidden/>
    <w:unhideWhenUsed/>
    <w:rPr>
      <w:lang w:val="fr-FR" w:eastAsia="fr-FR" w:bidi="fr-FR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fr-FR" w:eastAsia="fr-FR" w:bidi="fr-FR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fr-FR" w:eastAsia="fr-FR" w:bidi="fr-F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fr-FR" w:eastAsia="fr-FR" w:bidi="fr-FR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9A5B25"/>
      <w:spacing w:val="5"/>
      <w:kern w:val="28"/>
      <w:sz w:val="56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fr-FR" w:eastAsia="fr-FR" w:bidi="fr-FR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fr-FR" w:eastAsia="fr-FR" w:bidi="fr-FR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fr-FR" w:eastAsia="fr-FR" w:bidi="fr-F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fr-FR" w:eastAsia="fr-FR" w:bidi="fr-F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fr-FR" w:eastAsia="fr-FR" w:bidi="fr-FR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fr-FR" w:eastAsia="fr-FR" w:bidi="fr-F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fr-FR" w:eastAsia="fr-FR" w:bidi="fr-FR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fr-FR" w:eastAsia="fr-FR" w:bidi="fr-FR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fr-FR" w:eastAsia="fr-FR" w:bidi="fr-FR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fr-FR" w:eastAsia="fr-FR" w:bidi="fr-F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fr-FR" w:eastAsia="fr-FR" w:bidi="fr-F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fr-FR" w:eastAsia="fr-FR" w:bidi="fr-F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39" w:hanging="269"/>
      <w:contextualSpacing/>
    </w:pPr>
    <w:rPr>
      <w:rFonts w:ascii="Arial" w:hAnsi="Arial"/>
      <w:sz w:val="21"/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fr-FR" w:eastAsia="fr-FR" w:bidi="fr-F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fr-FR" w:eastAsia="fr-FR" w:bidi="fr-F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39" w:hanging="269"/>
      <w:contextualSpacing/>
    </w:pPr>
    <w:rPr>
      <w:rFonts w:ascii="Arial" w:hAnsi="Arial"/>
      <w:sz w:val="21"/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fr-FR" w:eastAsia="fr-FR" w:bidi="fr-F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fr-FR" w:eastAsia="fr-FR" w:bidi="fr-F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fr-FR" w:eastAsia="fr-FR" w:bidi="fr-F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fr-FR" w:eastAsia="fr-FR" w:bidi="fr-F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fr-FR" w:eastAsia="fr-FR" w:bidi="fr-F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fr-FR" w:eastAsia="fr-FR" w:bidi="fr-F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fr-FR" w:eastAsia="fr-FR" w:bidi="fr-FR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fr-FR" w:eastAsia="fr-FR" w:bidi="fr-FR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fr-FR" w:eastAsia="fr-FR" w:bidi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fr-FR" w:eastAsia="fr-FR" w:bidi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fr-FR" w:eastAsia="fr-FR" w:bidi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fr-FR" w:eastAsia="fr-FR" w:bidi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fr-FR" w:eastAsia="fr-FR" w:bidi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 w:eastAsia="fr-FR" w:bidi="fr-FR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after="100"/>
    </w:pPr>
    <w:rPr>
      <w:rFonts w:ascii="Arial" w:hAnsi="Arial"/>
      <w:b/>
      <w:bCs/>
      <w:color w:val="56605C"/>
      <w:sz w:val="17"/>
      <w:szCs w:val="18"/>
      <w:lang w:val="fr-FR" w:eastAsia="fr-FR" w:bidi="fr-FR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fr-FR" w:eastAsia="fr-FR" w:bidi="fr-FR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fr-FR" w:eastAsia="fr-FR" w:bidi="fr-FR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fr-FR" w:eastAsia="fr-FR" w:bidi="fr-F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fr-FR" w:eastAsia="fr-FR" w:bidi="fr-FR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fr-FR" w:eastAsia="fr-FR" w:bidi="fr-FR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fr-FR" w:eastAsia="fr-FR" w:bidi="fr-FR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fr-FR" w:eastAsia="fr-FR" w:bidi="fr-FR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fr-FR" w:eastAsia="fr-FR" w:bidi="fr-FR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fr-FR" w:eastAsia="fr-FR" w:bidi="fr-FR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fr-FR" w:eastAsia="fr-FR" w:bidi="fr-F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fr-FR" w:eastAsia="fr-FR" w:bidi="fr-F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fr-FR" w:eastAsia="fr-FR" w:bidi="fr-FR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fr-FR" w:eastAsia="fr-FR" w:bidi="fr-FR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ourceCredit">
    <w:name w:val="Resource Credit"/>
    <w:pPr>
      <w:keepLines/>
      <w:spacing w:after="80"/>
    </w:pPr>
    <w:rPr>
      <w:rFonts w:ascii="Arial" w:hAnsi="Arial"/>
      <w:color w:val="56605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hyperlink" Target="https://histoire-d-os.github.io/Histoire-d-os/ressources/activite-01-trouver-astragal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Activité 01 - supports (FR)</dc:title>
  <dc:subject>Ressource pédagogique pilote sur le talus/astragale</dc:subject>
  <dc:creator>Histoires d'os</dc:creator>
  <cp:keywords>Histoires d'os, talus, astragale, fr, Activité 01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