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b93cb7b7fb1303de83b3ae7e023c6d46de3cee"/>
    <w:p>
      <w:pPr>
        <w:pStyle w:val="Heading1"/>
      </w:pPr>
      <w:r>
        <w:t xml:space="preserve">Crítica del draft v3 y checklist de revisión —</w:t>
      </w:r>
      <w:r>
        <w:t xml:space="preserve"> </w:t>
      </w:r>
      <w:r>
        <w:rPr>
          <w:iCs/>
          <w:i/>
        </w:rPr>
        <w:t xml:space="preserve">The paraphysis cerebri</w:t>
      </w:r>
      <w:r>
        <w:t xml:space="preserve"> </w:t>
      </w:r>
      <w:r>
        <w:t xml:space="preserve">(J Anat)</w:t>
      </w:r>
    </w:p>
    <w:p>
      <w:pPr>
        <w:pStyle w:val="FirstParagraph"/>
      </w:pPr>
      <w:r>
        <w:rPr>
          <w:iCs/>
          <w:i/>
        </w:rPr>
        <w:t xml:space="preserve">Revisión: 13 oct 2026. Ítems marcados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[verificar]</w:t>
      </w:r>
      <w:r>
        <w:rPr>
          <w:iCs/>
          <w:i/>
        </w:rPr>
        <w:t xml:space="preserve"> </w:t>
      </w:r>
      <w:r>
        <w:rPr>
          <w:iCs/>
          <w:i/>
        </w:rPr>
        <w:t xml:space="preserve">no se dan por ciertos.</w:t>
      </w:r>
    </w:p>
    <w:bookmarkStart w:id="24" w:name="crítica-resumen-de-hallazgos"/>
    <w:p>
      <w:pPr>
        <w:pStyle w:val="Heading2"/>
      </w:pPr>
      <w:r>
        <w:t xml:space="preserve">Crítica (resumen de hallazgos)</w:t>
      </w:r>
    </w:p>
    <w:bookmarkStart w:id="20" w:name="Xc62965aa47a3ed6a4f83c0cba04bcdf6eeb4bc8"/>
    <w:p>
      <w:pPr>
        <w:pStyle w:val="Heading3"/>
      </w:pPr>
      <w:r>
        <w:t xml:space="preserve">A. Bloqueantes de envío (integridad y método)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 un estudio reciente que contradice la conclusión central.</w:t>
      </w:r>
      <w:r>
        <w:t xml:space="preserve"> </w:t>
      </w:r>
      <w:r>
        <w:t xml:space="preserve">Cevik et al. (2025,</w:t>
      </w:r>
      <w:r>
        <w:t xml:space="preserve"> </w:t>
      </w:r>
      <w:r>
        <w:rPr>
          <w:iCs/>
          <w:i/>
        </w:rPr>
        <w:t xml:space="preserve">Adv Tech Stand Neurosurg</w:t>
      </w:r>
      <w:r>
        <w:t xml:space="preserve"> </w:t>
      </w:r>
      <w:r>
        <w:t xml:space="preserve">55:75–91, doi:10.1007/978-3-031-90762-3_4) tiñó quistes coloides con PAX‑7 y concluye que serían restos de la paráfisis. El draft afirma que Pax7 es</w:t>
      </w:r>
      <w:r>
        <w:t xml:space="preserve"> </w:t>
      </w:r>
      <w:r>
        <w:t xml:space="preserve">“</w:t>
      </w:r>
      <w:r>
        <w:t xml:space="preserve">the only current candidate</w:t>
      </w:r>
      <w:r>
        <w:t xml:space="preserve">”</w:t>
      </w:r>
      <w:r>
        <w:t xml:space="preserve"> </w:t>
      </w:r>
      <w:r>
        <w:t xml:space="preserve">y que</w:t>
      </w:r>
      <w:r>
        <w:t xml:space="preserve"> </w:t>
      </w:r>
      <w:r>
        <w:t xml:space="preserve">“</w:t>
      </w:r>
      <w:r>
        <w:t xml:space="preserve">should be tested</w:t>
      </w:r>
      <w:r>
        <w:t xml:space="preserve">”</w:t>
      </w:r>
      <w:r>
        <w:t xml:space="preserve">, pero no cita este trabajo. Es necesario incluirlo y valorarlo críticamente (n, controles, especificidad del anticuerpo, PAX7 también en otros epitelios). Además, hay que matizar la frase del Abstract</w:t>
      </w:r>
      <w:r>
        <w:t xml:space="preserve"> </w:t>
      </w:r>
      <w:r>
        <w:t xml:space="preserve">“</w:t>
      </w:r>
      <w:r>
        <w:t xml:space="preserve">Modern … evidence favours an endodermal … origin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Conteos del flujo de búsqueda inconsistentes:</w:t>
      </w:r>
    </w:p>
    <w:p>
      <w:pPr>
        <w:numPr>
          <w:ilvl w:val="1"/>
          <w:numId w:val="1002"/>
        </w:numPr>
        <w:pStyle w:val="Compact"/>
      </w:pPr>
      <w:r>
        <w:t xml:space="preserve">90 registros de WoS/Scopus − 77 excluidos = 13, pero el texto dice</w:t>
      </w:r>
      <w:r>
        <w:t xml:space="preserve"> </w:t>
      </w:r>
      <w:r>
        <w:t xml:space="preserve">“</w:t>
      </w:r>
      <w:r>
        <w:t xml:space="preserve">The 11 records retained</w:t>
      </w:r>
      <w:r>
        <w:t xml:space="preserve">”</w:t>
      </w:r>
      <w:r>
        <w:t xml:space="preserve">. Probablemente faltan los 2</w:t>
      </w:r>
      <w:r>
        <w:t xml:space="preserve"> </w:t>
      </w:r>
      <w:r>
        <w:t xml:space="preserve">“</w:t>
      </w:r>
      <w:r>
        <w:t xml:space="preserve">not obtained</w:t>
      </w:r>
      <w:r>
        <w:t xml:space="preserve">”</w:t>
      </w:r>
      <w:r>
        <w:t xml:space="preserve">, que hay que explicitar.</w:t>
      </w:r>
    </w:p>
    <w:p>
      <w:pPr>
        <w:numPr>
          <w:ilvl w:val="1"/>
          <w:numId w:val="1002"/>
        </w:numPr>
        <w:pStyle w:val="Compact"/>
      </w:pPr>
      <w:r>
        <w:t xml:space="preserve">La biblioteca local aparece como</w:t>
      </w:r>
      <w:r>
        <w:t xml:space="preserve"> </w:t>
      </w:r>
      <w:r>
        <w:t xml:space="preserve">“</w:t>
      </w:r>
      <w:r>
        <w:t xml:space="preserve">85 primary + five monographs</w:t>
      </w:r>
      <w:r>
        <w:t xml:space="preserve">”</w:t>
      </w:r>
      <w:r>
        <w:t xml:space="preserve"> </w:t>
      </w:r>
      <w:r>
        <w:t xml:space="preserve">en el Abstract, como</w:t>
      </w:r>
      <w:r>
        <w:t xml:space="preserve"> </w:t>
      </w:r>
      <w:r>
        <w:t xml:space="preserve">“</w:t>
      </w:r>
      <w:r>
        <w:t xml:space="preserve">90 files … 85 + 5 + one BibTeX</w:t>
      </w:r>
      <w:r>
        <w:t xml:space="preserve">”</w:t>
      </w:r>
      <w:r>
        <w:t xml:space="preserve"> </w:t>
      </w:r>
      <w:r>
        <w:t xml:space="preserve">(=91) en Métodos y como</w:t>
      </w:r>
      <w:r>
        <w:t xml:space="preserve"> </w:t>
      </w:r>
      <w:r>
        <w:t xml:space="preserve">“</w:t>
      </w:r>
      <w:r>
        <w:t xml:space="preserve">Thirteen local files were excluded</w:t>
      </w:r>
      <w:r>
        <w:t xml:space="preserve">”</w:t>
      </w:r>
      <w:r>
        <w:t xml:space="preserve"> </w:t>
      </w:r>
      <w:r>
        <w:t xml:space="preserve">sin denominador.</w:t>
      </w:r>
    </w:p>
    <w:p>
      <w:pPr>
        <w:numPr>
          <w:ilvl w:val="1"/>
          <w:numId w:val="1002"/>
        </w:numPr>
        <w:pStyle w:val="Compact"/>
      </w:pPr>
      <w:r>
        <w:t xml:space="preserve">El encabezado dice</w:t>
      </w:r>
      <w:r>
        <w:t xml:space="preserve"> </w:t>
      </w:r>
      <w:r>
        <w:t xml:space="preserve">“</w:t>
      </w:r>
      <w:r>
        <w:t xml:space="preserve">155 references</w:t>
      </w:r>
      <w:r>
        <w:t xml:space="preserve">”</w:t>
      </w:r>
      <w:r>
        <w:t xml:space="preserve">, el Abstract</w:t>
      </w:r>
      <w:r>
        <w:t xml:space="preserve"> </w:t>
      </w:r>
      <w:r>
        <w:t xml:space="preserve">“</w:t>
      </w:r>
      <w:r>
        <w:t xml:space="preserve">158 retained, 153 cited</w:t>
      </w:r>
      <w:r>
        <w:t xml:space="preserve">”</w:t>
      </w:r>
      <w:r>
        <w:t xml:space="preserve"> </w:t>
      </w:r>
      <w:r>
        <w:t xml:space="preserve">y la lista tiene 155 entradas. Hay que conciliar.</w:t>
      </w:r>
    </w:p>
    <w:p>
      <w:pPr>
        <w:numPr>
          <w:ilvl w:val="1"/>
          <w:numId w:val="1002"/>
        </w:numPr>
        <w:pStyle w:val="Compact"/>
      </w:pPr>
      <w:r>
        <w:t xml:space="preserve">No hay diagrama PRISMA (2020 o PRISMA‑ScR) con conteos por base de datos.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Faltan las cadenas de búsqueda de WoS/Scopus</w:t>
      </w:r>
      <w:r>
        <w:t xml:space="preserve"> </w:t>
      </w:r>
      <w:r>
        <w:t xml:space="preserve">(</w:t>
      </w:r>
      <w:r>
        <w:t xml:space="preserve">“</w:t>
      </w:r>
      <w:r>
        <w:t xml:space="preserve">[exact query strings to be inserted]</w:t>
      </w:r>
      <w:r>
        <w:t xml:space="preserve">”</w:t>
      </w:r>
      <w:r>
        <w:t xml:space="preserve">). Tampoco hay fecha, n por base ni cadena para Crossref, Europe PMC y Semantic Scholar. En esta sesión de Claude, Europe PMC, OpenAlex y Scite fallaron por el proxy o por cuota. Si esas búsquedas se hicieron en otra sesión hay que documentarlas; si no se hicieron, hay que quitarlas del texto.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Diseño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systematic‑narrative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sin elementos sistemáticos mínimos:</w:t>
      </w:r>
      <w:r>
        <w:t xml:space="preserve"> </w:t>
      </w:r>
      <w:r>
        <w:t xml:space="preserve">sin protocolo, sin checklist PRISMA‑ScR, con cribado por un solo revisor y sin valoración de calidad de la evidencia (texto completo, solo resumen o cita secundaria). Hay que declararlo o rebajar la etiqueta a</w:t>
      </w:r>
      <w:r>
        <w:t xml:space="preserve"> </w:t>
      </w:r>
      <w:r>
        <w:t xml:space="preserve">“</w:t>
      </w:r>
      <w:r>
        <w:t xml:space="preserve">structured narrative review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Placeholders:</w:t>
      </w:r>
      <w:r>
        <w:t xml:space="preserve"> </w:t>
      </w:r>
      <w:r>
        <w:t xml:space="preserve">ORCID 0000‑…, Funding, Acknowledgements, query strings, volumen de Trost (1953), página final de Tsuneki (1986a), Figuras 2–4</w:t>
      </w:r>
      <w:r>
        <w:t xml:space="preserve"> </w:t>
      </w:r>
      <w:r>
        <w:t xml:space="preserve">“</w:t>
      </w:r>
      <w:r>
        <w:t xml:space="preserve">in preparation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Declaración de IA:</w:t>
      </w:r>
      <w:r>
        <w:t xml:space="preserve"> </w:t>
      </w:r>
      <w:r>
        <w:t xml:space="preserve">debe ir según la política Wiley/J Anat</w:t>
      </w:r>
      <w:r>
        <w:t xml:space="preserve"> </w:t>
      </w:r>
      <w:r>
        <w:rPr>
          <w:bCs/>
          <w:b/>
        </w:rPr>
        <w:t xml:space="preserve">[verificar la redacción vigente]</w:t>
      </w:r>
      <w:r>
        <w:t xml:space="preserve"> </w:t>
      </w:r>
      <w:r>
        <w:t xml:space="preserve">y separada de</w:t>
      </w:r>
      <w:r>
        <w:t xml:space="preserve"> </w:t>
      </w:r>
      <w:r>
        <w:t xml:space="preserve">“</w:t>
      </w:r>
      <w:r>
        <w:t xml:space="preserve">Conflict of interest</w:t>
      </w:r>
      <w:r>
        <w:t xml:space="preserve">”</w:t>
      </w:r>
      <w:r>
        <w:t xml:space="preserve">, que hoy está mezclado en Acknowledgements.</w:t>
      </w:r>
    </w:p>
    <w:bookmarkEnd w:id="20"/>
    <w:bookmarkStart w:id="21" w:name="b.-exactitud-de-citas-y-afirmaciones"/>
    <w:p>
      <w:pPr>
        <w:pStyle w:val="Heading3"/>
      </w:pPr>
      <w:r>
        <w:t xml:space="preserve">B. Exactitud de citas y afirmaciones</w:t>
      </w:r>
    </w:p>
    <w:p>
      <w:pPr>
        <w:numPr>
          <w:ilvl w:val="0"/>
          <w:numId w:val="1003"/>
        </w:numPr>
        <w:pStyle w:val="Compact"/>
      </w:pPr>
      <w:r>
        <w:t xml:space="preserve">Varias citas son secundarias aunque la fuente primaria está en la lista o es accesible: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Brocklehurst, 1979, as cited by Joven et al., 2013</w:t>
      </w:r>
      <w:r>
        <w:t xml:space="preserve">”</w:t>
      </w:r>
      <w:r>
        <w:t xml:space="preserve">: Brocklehurst es de acceso abierto (PMC2492219). Hay que leerlo y citarlo directamente.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Nomura et al., 1998, as cited by Bandín</w:t>
      </w:r>
      <w:r>
        <w:t xml:space="preserve">”</w:t>
      </w:r>
      <w:r>
        <w:t xml:space="preserve">: Nomura figura en las referencias. O se lee, o se cita solo como secundaria.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Oksche, as cited by Farnesi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Bartelmez and Dekaban, cited by O’Rahilly &amp; Müller</w:t>
      </w:r>
      <w:r>
        <w:t xml:space="preserve">”</w:t>
      </w:r>
      <w:r>
        <w:t xml:space="preserve">: conviene buscar las primarias.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Posible error de cita:</w:t>
      </w:r>
      <w:r>
        <w:t xml:space="preserve"> </w:t>
      </w:r>
      <w:r>
        <w:t xml:space="preserve">en §3.5, Owens &amp; Ralph (1978), un trabajo sobre tortugas marinas, aparece como apoyo de</w:t>
      </w:r>
      <w:r>
        <w:t xml:space="preserve"> </w:t>
      </w:r>
      <w:r>
        <w:t xml:space="preserve">“</w:t>
      </w:r>
      <w:r>
        <w:t xml:space="preserve">Amphibians … most elaborate paraphysis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Afirmación de riesgo en §5.4:</w:t>
      </w:r>
      <w:r>
        <w:t xml:space="preserve"> </w:t>
      </w:r>
      <w:r>
        <w:t xml:space="preserve">“</w:t>
      </w:r>
      <w:r>
        <w:t xml:space="preserve">apical polarity is opposite to the basolateral distribution reported in choroidal epithelium (Ueno et al., 1984)</w:t>
      </w:r>
      <w:r>
        <w:t xml:space="preserve">”</w:t>
      </w:r>
      <w:r>
        <w:t xml:space="preserve">. El resumen de Ueno no dice eso, y en el plexo coroideo de mamífero varias ATPasas son apicales.</w:t>
      </w:r>
      <w:r>
        <w:t xml:space="preserve"> </w:t>
      </w:r>
      <w:r>
        <w:rPr>
          <w:bCs/>
          <w:b/>
        </w:rPr>
        <w:t xml:space="preserve">[verificar en el texto completo]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§6.1, sobreafirmación:</w:t>
      </w:r>
      <w:r>
        <w:t xml:space="preserve"> </w:t>
      </w:r>
      <w:r>
        <w:t xml:space="preserve">“</w:t>
      </w:r>
      <w:r>
        <w:t xml:space="preserve">evidence … distinct secretory product … remains consistent across studies</w:t>
      </w:r>
      <w:r>
        <w:t xml:space="preserve">”</w:t>
      </w:r>
      <w:r>
        <w:t xml:space="preserve"> </w:t>
      </w:r>
      <w:r>
        <w:t xml:space="preserve">contrasta con Shuangshoti &amp; Netsky (1966a) y con la estacionalidad contradictoria. Hay que matizarla.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Fuentes sin texto completo que sostienen afirmaciones:</w:t>
      </w:r>
      <w:r>
        <w:t xml:space="preserve"> </w:t>
      </w:r>
      <w:r>
        <w:t xml:space="preserve">Legait 1957, Sura 1986/1992, Morimura 1994, Nagaraju 2010 (solo resumen), Kappers 1953. Hay que marcarlas visiblemente (columna</w:t>
      </w:r>
      <w:r>
        <w:t xml:space="preserve"> </w:t>
      </w:r>
      <w:r>
        <w:t xml:space="preserve">“</w:t>
      </w:r>
      <w:r>
        <w:t xml:space="preserve">evidence level</w:t>
      </w:r>
      <w:r>
        <w:t xml:space="preserve">”</w:t>
      </w:r>
      <w:r>
        <w:t xml:space="preserve"> </w:t>
      </w:r>
      <w:r>
        <w:t xml:space="preserve">en las tablas).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Referencia no citada:</w:t>
      </w:r>
      <w:r>
        <w:t xml:space="preserve"> </w:t>
      </w:r>
      <w:r>
        <w:t xml:space="preserve">Jansen et al. (1976a). Hay que citarla o eliminarla. Las demás coincidencias del cruce automático eran falsos positivos.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Literatura posiblemente omitida:</w:t>
      </w:r>
    </w:p>
    <w:p>
      <w:pPr>
        <w:numPr>
          <w:ilvl w:val="1"/>
          <w:numId w:val="1005"/>
        </w:numPr>
        <w:pStyle w:val="Compact"/>
      </w:pPr>
      <w:r>
        <w:t xml:space="preserve">Ringler et al. 2019 (MEMRI: activación de la paráfisis en ranas, doi:10.1037/bne0000318).</w:t>
      </w:r>
    </w:p>
    <w:p>
      <w:pPr>
        <w:numPr>
          <w:ilvl w:val="1"/>
          <w:numId w:val="1005"/>
        </w:numPr>
        <w:pStyle w:val="Compact"/>
      </w:pPr>
      <w:r>
        <w:t xml:space="preserve">Mackenzie &amp; Gilbert 1991 (origen endodérmico de quistes coloides, doi:10.1136/jnnp.54.7.572).</w:t>
      </w:r>
    </w:p>
    <w:p>
      <w:pPr>
        <w:numPr>
          <w:ilvl w:val="1"/>
          <w:numId w:val="1005"/>
        </w:numPr>
        <w:pStyle w:val="Compact"/>
      </w:pPr>
      <w:r>
        <w:t xml:space="preserve">Palacios et al. 1976.</w:t>
      </w:r>
    </w:p>
    <w:p>
      <w:pPr>
        <w:numPr>
          <w:ilvl w:val="1"/>
          <w:numId w:val="1005"/>
        </w:numPr>
        <w:pStyle w:val="Compact"/>
      </w:pPr>
      <w:r>
        <w:t xml:space="preserve">Studnička (1895; 1905, monografía sobre los órganos parietales).</w:t>
      </w:r>
    </w:p>
    <w:p>
      <w:pPr>
        <w:numPr>
          <w:ilvl w:val="1"/>
          <w:numId w:val="1005"/>
        </w:numPr>
        <w:pStyle w:val="Compact"/>
      </w:pPr>
      <w:r>
        <w:t xml:space="preserve">Gladstone &amp; Wakeley (1940).</w:t>
      </w:r>
    </w:p>
    <w:p>
      <w:pPr>
        <w:numPr>
          <w:ilvl w:val="1"/>
          <w:numId w:val="1005"/>
        </w:numPr>
        <w:pStyle w:val="Compact"/>
      </w:pPr>
      <w:r>
        <w:t xml:space="preserve">Müller &amp; O’Rahilly sobre los estadios 18–20</w:t>
      </w:r>
      <w:r>
        <w:t xml:space="preserve"> </w:t>
      </w:r>
      <w:r>
        <w:rPr>
          <w:bCs/>
          <w:b/>
        </w:rPr>
        <w:t xml:space="preserve">[verificar]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Trabajos de morfogénesis de la tela del telencéfalo evertido en teleósteos (p. ej., Folgueira et al. 2012)</w:t>
      </w:r>
      <w:r>
        <w:t xml:space="preserve"> </w:t>
      </w:r>
      <w:r>
        <w:rPr>
          <w:bCs/>
          <w:b/>
        </w:rPr>
        <w:t xml:space="preserve">[verificar]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Atribuciones históricas de Selenka 1890, Leydig y von Kupffer solo vía Krabbe: o se citan como secundarias, o se localiza la original.</w:t>
      </w:r>
    </w:p>
    <w:bookmarkEnd w:id="21"/>
    <w:bookmarkStart w:id="22" w:name="c.-lógica-científica-y-argumentación"/>
    <w:p>
      <w:pPr>
        <w:pStyle w:val="Heading3"/>
      </w:pPr>
      <w:r>
        <w:t xml:space="preserve">C. Lógica científica y argumentación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Definición circular:</w:t>
      </w:r>
      <w:r>
        <w:t xml:space="preserve"> </w:t>
      </w:r>
      <w:r>
        <w:t xml:space="preserve">el criterio (iv),</w:t>
      </w:r>
      <w:r>
        <w:t xml:space="preserve"> </w:t>
      </w:r>
      <w:r>
        <w:t xml:space="preserve">“</w:t>
      </w:r>
      <w:r>
        <w:t xml:space="preserve">single‑layered epithelium distinct from … choroidal epithelium</w:t>
      </w:r>
      <w:r>
        <w:t xml:space="preserve">”</w:t>
      </w:r>
      <w:r>
        <w:t xml:space="preserve">, presupone la tesis que el review quiere demostrar (órgano distinto del plexo), frente a Shuangshoti &amp; Netsky. Los criterios (iii) y (iv) además excluyen el rudimento humano (yemas sólidas, epitelio inicialmente estratificado) y el anlage sólido de aves. Hay que reformularlos como criterios topográficos y dejar el fenotipo como resultado.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Filogenia:</w:t>
      </w:r>
      <w:r>
        <w:t xml:space="preserve"> </w:t>
      </w:r>
      <w:r>
        <w:t xml:space="preserve">“</w:t>
      </w:r>
      <w:r>
        <w:t xml:space="preserve">single origin followed by repeated reduction</w:t>
      </w:r>
      <w:r>
        <w:t xml:space="preserve">”</w:t>
      </w:r>
      <w:r>
        <w:t xml:space="preserve"> </w:t>
      </w:r>
      <w:r>
        <w:t xml:space="preserve">se plantea como pregunta, pero no hay un mapeo explícito de caracteres. Conviene:</w:t>
      </w:r>
    </w:p>
    <w:p>
      <w:pPr>
        <w:numPr>
          <w:ilvl w:val="1"/>
          <w:numId w:val="1007"/>
        </w:numPr>
        <w:pStyle w:val="Compact"/>
      </w:pPr>
      <w:r>
        <w:t xml:space="preserve">codificar los estados (presente adulto / transitorio / ausente / no estudiado);</w:t>
      </w:r>
    </w:p>
    <w:p>
      <w:pPr>
        <w:numPr>
          <w:ilvl w:val="1"/>
          <w:numId w:val="1007"/>
        </w:numPr>
        <w:pStyle w:val="Compact"/>
      </w:pPr>
      <w:r>
        <w:t xml:space="preserve">distinguir ausencia documentada de ausencia de muestreo y adulto de embrión;</w:t>
      </w:r>
    </w:p>
    <w:p>
      <w:pPr>
        <w:numPr>
          <w:ilvl w:val="1"/>
          <w:numId w:val="1007"/>
        </w:numPr>
        <w:pStyle w:val="Compact"/>
      </w:pPr>
      <w:r>
        <w:t xml:space="preserve">mostrarlo en la Fig. 2;</w:t>
      </w:r>
    </w:p>
    <w:p>
      <w:pPr>
        <w:numPr>
          <w:ilvl w:val="1"/>
          <w:numId w:val="1007"/>
        </w:numPr>
        <w:pStyle w:val="Compact"/>
      </w:pPr>
      <w:r>
        <w:t xml:space="preserve">discutir el sesgo de muestreo (taxones modelo del siglo XIX).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Topografía humana en conflicto:</w:t>
      </w:r>
      <w:r>
        <w:t xml:space="preserve"> </w:t>
      </w:r>
      <w:r>
        <w:t xml:space="preserve">Shiraishi et al. (2013) la sitúan en el</w:t>
      </w:r>
      <w:r>
        <w:t xml:space="preserve"> </w:t>
      </w:r>
      <w:r>
        <w:t xml:space="preserve">“</w:t>
      </w:r>
      <w:r>
        <w:t xml:space="preserve">roof of the diencephalic ventricle</w:t>
      </w:r>
      <w:r>
        <w:t xml:space="preserve">”</w:t>
      </w:r>
      <w:r>
        <w:t xml:space="preserve">, lo que choca con el origen telencefálico. Hay que discutirlo explícitamente y no solo mencionarlo.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Datos discordantes sin conciliar:</w:t>
      </w:r>
      <w:r>
        <w:t xml:space="preserve"> </w:t>
      </w:r>
      <w:r>
        <w:t xml:space="preserve">Warren (8/30 embriones) frente a Kappers (30/30); estadio de Carnegie 18 frente a 15–17 mm de LCC; cilios presentes o ausentes. Convendría una pequeña tabla de concordancia.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§4.3 (molecular) y §6.4 (glinfático):</w:t>
      </w:r>
      <w:r>
        <w:t xml:space="preserve"> </w:t>
      </w:r>
      <w:r>
        <w:t xml:space="preserve">dependen sobre todo de literatura de ratón y plexo coroideo. Se recomienda reducir §6.4 y etiquetar §4.3 claramente como hipótesis.</w:t>
      </w:r>
    </w:p>
    <w:bookmarkEnd w:id="22"/>
    <w:bookmarkStart w:id="23" w:name="X79ee8c1af942865771b3a4193de8896fa91cc26"/>
    <w:p>
      <w:pPr>
        <w:pStyle w:val="Heading3"/>
      </w:pPr>
      <w:r>
        <w:t xml:space="preserve">D. Forma, estilo y requisitos de la revista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Extensión:</w:t>
      </w:r>
    </w:p>
    <w:p>
      <w:pPr>
        <w:numPr>
          <w:ilvl w:val="1"/>
          <w:numId w:val="1009"/>
        </w:numPr>
        <w:pStyle w:val="Compact"/>
      </w:pPr>
      <w:r>
        <w:t xml:space="preserve">Abstract de 361 palabras</w:t>
      </w:r>
      <w:r>
        <w:t xml:space="preserve"> </w:t>
      </w:r>
      <w:r>
        <w:rPr>
          <w:bCs/>
          <w:b/>
        </w:rPr>
        <w:t xml:space="preserve">[verificar el límite vigente de J Anat]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Texto principal de 9.769 palabras y 155 referencias: hay que considerar recortes (historia de §1.1, §6.4).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Listas con viñetas</w:t>
      </w:r>
      <w:r>
        <w:t xml:space="preserve"> </w:t>
      </w:r>
      <w:r>
        <w:t xml:space="preserve">en §4.4, 5.5, 6.2, 6.3, 7.1, 7.2 y 8: pasarlas a prosa. Hay errores de mayúscula (</w:t>
      </w:r>
      <w:r>
        <w:t xml:space="preserve">“</w:t>
      </w:r>
      <w:r>
        <w:t xml:space="preserve">Kondziolka &amp; Bilbao (1989) Found…</w:t>
      </w:r>
      <w:r>
        <w:t xml:space="preserve">”</w:t>
      </w:r>
      <w:r>
        <w:t xml:space="preserve">, ×5).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Terminología inconsistente:</w:t>
      </w:r>
      <w:r>
        <w:t xml:space="preserve"> </w:t>
      </w:r>
      <w:r>
        <w:t xml:space="preserve">paraphysal (8), paraphyseal (84), paraphysial (6). Unificar en</w:t>
      </w:r>
      <w:r>
        <w:t xml:space="preserve"> </w:t>
      </w:r>
      <w:r>
        <w:t xml:space="preserve">“</w:t>
      </w:r>
      <w:r>
        <w:t xml:space="preserve">paraphyseal</w:t>
      </w:r>
      <w:r>
        <w:t xml:space="preserve">”</w:t>
      </w:r>
      <w:r>
        <w:t xml:space="preserve"> </w:t>
      </w:r>
      <w:r>
        <w:t xml:space="preserve">y usar las otras formas solo en citas textuales o nombres históricos. Usar</w:t>
      </w:r>
      <w:r>
        <w:t xml:space="preserve"> </w:t>
      </w:r>
      <w:r>
        <w:t xml:space="preserve">“</w:t>
      </w:r>
      <w:r>
        <w:t xml:space="preserve">humans</w:t>
      </w:r>
      <w:r>
        <w:t xml:space="preserve">”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</w:t>
      </w:r>
      <w:r>
        <w:t xml:space="preserve">man</w:t>
      </w:r>
      <w:r>
        <w:t xml:space="preserve">”</w:t>
      </w:r>
      <w:r>
        <w:t xml:space="preserve"> </w:t>
      </w:r>
      <w:r>
        <w:t xml:space="preserve">(12 apariciones). Verificar si</w:t>
      </w:r>
      <w:r>
        <w:t xml:space="preserve"> </w:t>
      </w:r>
      <w:r>
        <w:rPr>
          <w:iCs/>
          <w:i/>
        </w:rPr>
        <w:t xml:space="preserve">Terminologia Embryologica</w:t>
      </w:r>
      <w:r>
        <w:t xml:space="preserve"> </w:t>
      </w:r>
      <w:r>
        <w:t xml:space="preserve">(TE2, FIPAT) incluye</w:t>
      </w:r>
      <w:r>
        <w:t xml:space="preserve"> </w:t>
      </w:r>
      <w:r>
        <w:t xml:space="preserve">“</w:t>
      </w:r>
      <w:r>
        <w:t xml:space="preserve">paraphysis</w:t>
      </w:r>
      <w:r>
        <w:t xml:space="preserve">”</w:t>
      </w:r>
      <w:r>
        <w:t xml:space="preserve"> </w:t>
      </w:r>
      <w:r>
        <w:t xml:space="preserve">antes de afirmar</w:t>
      </w:r>
      <w:r>
        <w:t xml:space="preserve"> </w:t>
      </w:r>
      <w:r>
        <w:t xml:space="preserve">“</w:t>
      </w:r>
      <w:r>
        <w:t xml:space="preserve">no place in standard … terminology</w:t>
      </w:r>
      <w:r>
        <w:t xml:space="preserve">”</w:t>
      </w:r>
      <w:r>
        <w:t xml:space="preserve"> </w:t>
      </w:r>
      <w:r>
        <w:rPr>
          <w:bCs/>
          <w:b/>
        </w:rPr>
        <w:t xml:space="preserve">[verificar]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Figuras:</w:t>
      </w:r>
    </w:p>
    <w:p>
      <w:pPr>
        <w:numPr>
          <w:ilvl w:val="1"/>
          <w:numId w:val="1010"/>
        </w:numPr>
        <w:pStyle w:val="Compact"/>
      </w:pPr>
      <w:r>
        <w:t xml:space="preserve">Las Figs. 2–4 no se llaman en el texto.</w:t>
      </w:r>
    </w:p>
    <w:p>
      <w:pPr>
        <w:numPr>
          <w:ilvl w:val="1"/>
          <w:numId w:val="1010"/>
        </w:numPr>
        <w:pStyle w:val="Compact"/>
      </w:pPr>
      <w:r>
        <w:t xml:space="preserve">La Fig. 1 está</w:t>
      </w:r>
      <w:r>
        <w:t xml:space="preserve"> </w:t>
      </w:r>
      <w:r>
        <w:t xml:space="preserve">“</w:t>
      </w:r>
      <w:r>
        <w:t xml:space="preserve">redrawn after Nieuwenhuys et al. 1998</w:t>
      </w:r>
      <w:r>
        <w:t xml:space="preserve">”</w:t>
      </w:r>
      <w:r>
        <w:t xml:space="preserve">: revisar permisos o declarar que es un dibujo original.</w:t>
      </w:r>
    </w:p>
    <w:p>
      <w:pPr>
        <w:numPr>
          <w:ilvl w:val="1"/>
          <w:numId w:val="1010"/>
        </w:numPr>
        <w:pStyle w:val="Compact"/>
      </w:pPr>
      <w:r>
        <w:t xml:space="preserve">Para</w:t>
      </w:r>
      <w:r>
        <w:t xml:space="preserve"> </w:t>
      </w:r>
      <w:r>
        <w:rPr>
          <w:iCs/>
          <w:i/>
        </w:rPr>
        <w:t xml:space="preserve">J Anat</w:t>
      </w:r>
      <w:r>
        <w:t xml:space="preserve">, añadir micrografías originales (axolote, lagarto, embrión humano de colección) daría mucho valor.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Formato:</w:t>
      </w:r>
    </w:p>
    <w:p>
      <w:pPr>
        <w:numPr>
          <w:ilvl w:val="1"/>
          <w:numId w:val="1011"/>
        </w:numPr>
        <w:pStyle w:val="Compact"/>
      </w:pPr>
      <w:r>
        <w:t xml:space="preserve">Referencias en formato J Anat</w:t>
      </w:r>
      <w:r>
        <w:t xml:space="preserve"> </w:t>
      </w:r>
      <w:r>
        <w:rPr>
          <w:bCs/>
          <w:b/>
        </w:rPr>
        <w:t xml:space="preserve">[verificar la guía; Wiley suele aceptar free format en primera sumisión]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Unificar las DOIs; quitar</w:t>
      </w:r>
      <w:r>
        <w:t xml:space="preserve"> </w:t>
      </w:r>
      <w:r>
        <w:t xml:space="preserve">“</w:t>
      </w:r>
      <w:r>
        <w:t xml:space="preserve">Available from:</w:t>
      </w:r>
      <w:r>
        <w:t xml:space="preserve">”</w:t>
      </w:r>
      <w:r>
        <w:t xml:space="preserve"> </w:t>
      </w:r>
      <w:r>
        <w:t xml:space="preserve">si la guía no lo pide.</w:t>
      </w:r>
    </w:p>
    <w:p>
      <w:pPr>
        <w:numPr>
          <w:ilvl w:val="1"/>
          <w:numId w:val="1011"/>
        </w:numPr>
        <w:pStyle w:val="Compact"/>
      </w:pPr>
      <w:r>
        <w:t xml:space="preserve">Separar las secciones Conflict of interest, Funding y Data availability.</w:t>
      </w:r>
    </w:p>
    <w:p>
      <w:pPr>
        <w:numPr>
          <w:ilvl w:val="1"/>
          <w:numId w:val="1011"/>
        </w:numPr>
        <w:pStyle w:val="Compact"/>
      </w:pPr>
      <w:r>
        <w:t xml:space="preserve">Depositar la matriz de extracción y el BibTeX en un repositorio con DOI (Zenodo/Figshare), en vez de</w:t>
      </w:r>
      <w:r>
        <w:t xml:space="preserve"> </w:t>
      </w:r>
      <w:r>
        <w:t xml:space="preserve">“</w:t>
      </w:r>
      <w:r>
        <w:t xml:space="preserve">available from the author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93f56cb83e3a9c53d06fd737c9fb3cf4af04d0e"/>
    <w:p>
      <w:pPr>
        <w:pStyle w:val="Heading2"/>
      </w:pPr>
      <w:r>
        <w:t xml:space="preserve">Checklist (contenido del archivo a generar)</w:t>
      </w:r>
    </w:p>
    <w:p>
      <w:pPr>
        <w:pStyle w:val="FirstParagraph"/>
      </w:pPr>
      <w:r>
        <w:rPr>
          <w:bCs/>
          <w:b/>
        </w:rPr>
        <w:t xml:space="preserve">Prioridad 1: antes de enviar</w:t>
      </w:r>
      <w:r>
        <w:t xml:space="preserve"> </w:t>
      </w:r>
      <w:r>
        <w:t xml:space="preserve">- [ ] Incorporar y analizar críticamente Cevik et al. 2025 (PAX7 en quistes coloides); ajustar Abstract, §7.2 y §8</w:t>
      </w:r>
      <w:r>
        <w:t xml:space="preserve"> </w:t>
      </w:r>
      <w:r>
        <w:t xml:space="preserve">- [ ] Conciliar todos los conteos (local 85/90/91; WoS‑Scopus 90→77→11/13; 153/155/158 referencias)</w:t>
      </w:r>
      <w:r>
        <w:t xml:space="preserve"> </w:t>
      </w:r>
      <w:r>
        <w:t xml:space="preserve">- [ ] Insertar cadenas exactas, fechas y n de WoS, Scopus, PubMed, Crossref, Europe PMC y Semantic Scholar (Tabla S1)</w:t>
      </w:r>
      <w:r>
        <w:t xml:space="preserve"> </w:t>
      </w:r>
      <w:r>
        <w:t xml:space="preserve">- [ ] Construir el diagrama PRISMA 2020 o PRISMA‑ScR con conteos por fuente y motivos de exclusión</w:t>
      </w:r>
      <w:r>
        <w:t xml:space="preserve"> </w:t>
      </w:r>
      <w:r>
        <w:t xml:space="preserve">- [ ] Decidir y declarar el diseño (scoping/PRISMA‑ScR o structured narrative); declarar cribado por un solo revisor</w:t>
      </w:r>
      <w:r>
        <w:t xml:space="preserve"> </w:t>
      </w:r>
      <w:r>
        <w:t xml:space="preserve">- [ ] Rellenar los placeholders: ORCID, Funding, Acknowledgements, Trost vol., Tsuneki 1986a pp.</w:t>
      </w:r>
      <w:r>
        <w:t xml:space="preserve"> </w:t>
      </w:r>
      <w:r>
        <w:t xml:space="preserve">- [ ] Separar la declaración de IA y la de COI según la política Wiley vigente</w:t>
      </w:r>
    </w:p>
    <w:p>
      <w:pPr>
        <w:pStyle w:val="BodyText"/>
      </w:pPr>
      <w:r>
        <w:rPr>
          <w:bCs/>
          <w:b/>
        </w:rPr>
        <w:t xml:space="preserve">Prioridad 2: exactitud científica</w:t>
      </w:r>
      <w:r>
        <w:t xml:space="preserve"> </w:t>
      </w:r>
      <w:r>
        <w:t xml:space="preserve">- [ ] Leer en primaria Brocklehurst 1979 (PMC2492219) y Nomura 1998; reemplazar los</w:t>
      </w:r>
      <w:r>
        <w:t xml:space="preserve"> </w:t>
      </w:r>
      <w:r>
        <w:t xml:space="preserve">“</w:t>
      </w:r>
      <w:r>
        <w:t xml:space="preserve">as cited by</w:t>
      </w:r>
      <w:r>
        <w:t xml:space="preserve">”</w:t>
      </w:r>
      <w:r>
        <w:t xml:space="preserve"> </w:t>
      </w:r>
      <w:r>
        <w:t xml:space="preserve">- [ ] Revisar la cita de Owens &amp; Ralph 1978 en §3.5</w:t>
      </w:r>
      <w:r>
        <w:t xml:space="preserve"> </w:t>
      </w:r>
      <w:r>
        <w:t xml:space="preserve">- [ ] Verificar en el texto completo de Ueno 1984 la afirmación sobre la polaridad opuesta al plexo</w:t>
      </w:r>
      <w:r>
        <w:t xml:space="preserve"> </w:t>
      </w:r>
      <w:r>
        <w:t xml:space="preserve">- [ ] Matizar §6.1 (</w:t>
      </w:r>
      <w:r>
        <w:t xml:space="preserve">“</w:t>
      </w:r>
      <w:r>
        <w:t xml:space="preserve">remains consistent across studies</w:t>
      </w:r>
      <w:r>
        <w:t xml:space="preserve">”</w:t>
      </w:r>
      <w:r>
        <w:t xml:space="preserve">)</w:t>
      </w:r>
      <w:r>
        <w:t xml:space="preserve"> </w:t>
      </w:r>
      <w:r>
        <w:t xml:space="preserve">- [ ] Añadir una columna</w:t>
      </w:r>
      <w:r>
        <w:t xml:space="preserve"> </w:t>
      </w:r>
      <w:r>
        <w:t xml:space="preserve">“</w:t>
      </w:r>
      <w:r>
        <w:t xml:space="preserve">evidence level</w:t>
      </w:r>
      <w:r>
        <w:t xml:space="preserve">”</w:t>
      </w:r>
      <w:r>
        <w:t xml:space="preserve"> </w:t>
      </w:r>
      <w:r>
        <w:t xml:space="preserve">(full text / abstract only / secondary) a las Tablas 1–3</w:t>
      </w:r>
      <w:r>
        <w:t xml:space="preserve"> </w:t>
      </w:r>
      <w:r>
        <w:t xml:space="preserve">- [ ] Citar o eliminar Jansen et al. 1976a</w:t>
      </w:r>
      <w:r>
        <w:t xml:space="preserve"> </w:t>
      </w:r>
      <w:r>
        <w:t xml:space="preserve">- [ ] Evaluar la inclusión de Ringler 2019, Mackenzie &amp; Gilbert 1991, Studnička 1895/1905, Gladstone &amp; Wakeley 1940 y Müller &amp; O’Rahilly (estadios 18–20)</w:t>
      </w:r>
    </w:p>
    <w:p>
      <w:pPr>
        <w:pStyle w:val="BodyText"/>
      </w:pPr>
      <w:r>
        <w:rPr>
          <w:bCs/>
          <w:b/>
        </w:rPr>
        <w:t xml:space="preserve">Prioridad 3: argumento</w:t>
      </w:r>
      <w:r>
        <w:t xml:space="preserve"> </w:t>
      </w:r>
      <w:r>
        <w:t xml:space="preserve">- [ ] Reformular los 4 criterios de definición (topográficos; el fenotipo como resultado; compatibles con el anlage sólido)</w:t>
      </w:r>
      <w:r>
        <w:t xml:space="preserve"> </w:t>
      </w:r>
      <w:r>
        <w:t xml:space="preserve">- [ ] Fig. 2: mapeo explícito de estados de carácter y discusión del sesgo de muestreo y de adulto frente a embrión</w:t>
      </w:r>
      <w:r>
        <w:t xml:space="preserve"> </w:t>
      </w:r>
      <w:r>
        <w:t xml:space="preserve">- [ ] Discutir la discrepancia de Shiraishi 2013 (techo diencefálico)</w:t>
      </w:r>
      <w:r>
        <w:t xml:space="preserve"> </w:t>
      </w:r>
      <w:r>
        <w:t xml:space="preserve">- [ ] Tabla de concordancia de datos humanos (Warren / Krabbe / Kappers / O’Rahilly &amp; Müller / Shiraishi)</w:t>
      </w:r>
      <w:r>
        <w:t xml:space="preserve"> </w:t>
      </w:r>
      <w:r>
        <w:t xml:space="preserve">- [ ] Recortar §6.4; etiquetar §4.3 como hipótesis</w:t>
      </w:r>
    </w:p>
    <w:p>
      <w:pPr>
        <w:pStyle w:val="BodyText"/>
      </w:pPr>
      <w:r>
        <w:rPr>
          <w:bCs/>
          <w:b/>
        </w:rPr>
        <w:t xml:space="preserve">Prioridad 4: forma y revista</w:t>
      </w:r>
      <w:r>
        <w:t xml:space="preserve"> </w:t>
      </w:r>
      <w:r>
        <w:t xml:space="preserve">- [ ] Abstract ≤ límite J Anat; revisar la extensión total y el número de referencias</w:t>
      </w:r>
      <w:r>
        <w:t xml:space="preserve"> </w:t>
      </w:r>
      <w:r>
        <w:t xml:space="preserve">- [ ] Viñetas → prosa; corregir</w:t>
      </w:r>
      <w:r>
        <w:t xml:space="preserve"> </w:t>
      </w:r>
      <w:r>
        <w:t xml:space="preserve">“</w:t>
      </w:r>
      <w:r>
        <w:t xml:space="preserve">Found</w:t>
      </w:r>
      <w:r>
        <w:t xml:space="preserve">”</w:t>
      </w:r>
      <w:r>
        <w:t xml:space="preserve"> </w:t>
      </w:r>
      <w:r>
        <w:t xml:space="preserve">en mayúscula</w:t>
      </w:r>
      <w:r>
        <w:t xml:space="preserve"> </w:t>
      </w:r>
      <w:r>
        <w:t xml:space="preserve">- [ ] Unificar</w:t>
      </w:r>
      <w:r>
        <w:t xml:space="preserve"> </w:t>
      </w:r>
      <w:r>
        <w:t xml:space="preserve">“</w:t>
      </w:r>
      <w:r>
        <w:t xml:space="preserve">paraphyseal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man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humans</w:t>
      </w:r>
      <w:r>
        <w:t xml:space="preserve">”</w:t>
      </w:r>
      <w:r>
        <w:t xml:space="preserve">; verificar TE2</w:t>
      </w:r>
      <w:r>
        <w:t xml:space="preserve"> </w:t>
      </w:r>
      <w:r>
        <w:t xml:space="preserve">- [ ] Llamar las Figs. 1–4 en el texto; terminar las Figs. 2–4; permisos de la Fig. 1; considerar micrografías originales</w:t>
      </w:r>
      <w:r>
        <w:t xml:space="preserve"> </w:t>
      </w:r>
      <w:r>
        <w:t xml:space="preserve">- [ ] Formato de referencias J Anat; depositar la matriz y el BibTeX con DOI</w:t>
      </w:r>
      <w:r>
        <w:t xml:space="preserve"> </w:t>
      </w:r>
      <w:r>
        <w:t xml:space="preserve">- [ ] Revisión final con el cruce automático de citas y referencias (script) y lectura completa</w:t>
      </w:r>
    </w:p>
    <w:bookmarkEnd w:id="25"/>
    <w:bookmarkStart w:id="26" w:name="cómo-verificar-la-v4"/>
    <w:p>
      <w:pPr>
        <w:pStyle w:val="Heading2"/>
      </w:pPr>
      <w:r>
        <w:t xml:space="preserve">Cómo verificar la v4</w:t>
      </w:r>
    </w:p>
    <w:p>
      <w:pPr>
        <w:numPr>
          <w:ilvl w:val="0"/>
          <w:numId w:val="1012"/>
        </w:numPr>
        <w:pStyle w:val="Compact"/>
      </w:pPr>
      <w:r>
        <w:t xml:space="preserve">Volver a ejecutar el cruce de citas y referencias sobre la v4 (script de Python en modo solo lectura sobre la salida de pandoc).</w:t>
      </w:r>
    </w:p>
    <w:p>
      <w:pPr>
        <w:numPr>
          <w:ilvl w:val="0"/>
          <w:numId w:val="1012"/>
        </w:numPr>
        <w:pStyle w:val="Compact"/>
      </w:pPr>
      <w:r>
        <w:t xml:space="preserve">Comprobar que la suma de los conteos de §2.4 cuadra con el diagrama PRISMA.</w:t>
      </w:r>
    </w:p>
    <w:p>
      <w:pPr>
        <w:numPr>
          <w:ilvl w:val="0"/>
          <w:numId w:val="1012"/>
        </w:numPr>
        <w:pStyle w:val="Compact"/>
      </w:pPr>
      <w:r>
        <w:t xml:space="preserve">Los ítems</w:t>
      </w:r>
      <w:r>
        <w:t xml:space="preserve"> </w:t>
      </w:r>
      <w:r>
        <w:rPr>
          <w:bCs/>
          <w:b/>
        </w:rPr>
        <w:t xml:space="preserve">[verificar]</w:t>
      </w:r>
      <w:r>
        <w:t xml:space="preserve"> </w:t>
      </w:r>
      <w:r>
        <w:t xml:space="preserve">no se dan por ciertos. Quedan como tareas para el autor.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1"/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2026-10-13T15:30:46Z</dcterms:created>
  <dcterms:modified xsi:type="dcterms:W3CDTF">2026-10-13T15:30:46Z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