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05123C" w:rsidRPr="00F65272" w14:paraId="6CDF256E" w14:textId="77777777" w:rsidTr="00865989">
        <w:trPr>
          <w:trHeight w:hRule="exact" w:val="1343"/>
        </w:trPr>
        <w:tc>
          <w:tcPr>
            <w:tcW w:w="8976" w:type="dxa"/>
          </w:tcPr>
          <w:p w14:paraId="6E098C38" w14:textId="77777777" w:rsidR="0005123C" w:rsidRPr="00F65272" w:rsidRDefault="0005123C" w:rsidP="00865989">
            <w:pPr>
              <w:tabs>
                <w:tab w:val="left" w:pos="5245"/>
              </w:tabs>
              <w:ind w:right="176"/>
              <w:jc w:val="center"/>
            </w:pPr>
            <w:r w:rsidRPr="00F65272">
              <w:rPr>
                <w:noProof/>
                <w:lang w:eastAsia="en-GB"/>
              </w:rPr>
              <w:drawing>
                <wp:inline distT="0" distB="0" distL="0" distR="0" wp14:anchorId="7481415B" wp14:editId="1DB524B1">
                  <wp:extent cx="2600325" cy="819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19150"/>
                          </a:xfrm>
                          <a:prstGeom prst="rect">
                            <a:avLst/>
                          </a:prstGeom>
                          <a:noFill/>
                          <a:ln>
                            <a:noFill/>
                          </a:ln>
                        </pic:spPr>
                      </pic:pic>
                    </a:graphicData>
                  </a:graphic>
                </wp:inline>
              </w:drawing>
            </w:r>
            <w:r w:rsidRPr="00F65272">
              <w:br/>
            </w:r>
          </w:p>
          <w:p w14:paraId="7F5527AB" w14:textId="77777777" w:rsidR="0005123C" w:rsidRPr="00F65272" w:rsidRDefault="0005123C" w:rsidP="00865989">
            <w:pPr>
              <w:tabs>
                <w:tab w:val="left" w:pos="5245"/>
              </w:tabs>
              <w:ind w:right="176"/>
              <w:jc w:val="center"/>
            </w:pPr>
          </w:p>
          <w:p w14:paraId="00DFB78C" w14:textId="77777777" w:rsidR="0005123C" w:rsidRPr="00F65272" w:rsidRDefault="0005123C" w:rsidP="00865989">
            <w:pPr>
              <w:tabs>
                <w:tab w:val="left" w:pos="5245"/>
              </w:tabs>
              <w:ind w:right="176"/>
              <w:jc w:val="center"/>
            </w:pPr>
          </w:p>
          <w:p w14:paraId="2191230B" w14:textId="77777777" w:rsidR="0005123C" w:rsidRPr="00F65272" w:rsidRDefault="0005123C" w:rsidP="00865989">
            <w:pPr>
              <w:tabs>
                <w:tab w:val="left" w:pos="5245"/>
              </w:tabs>
              <w:ind w:right="176"/>
              <w:jc w:val="center"/>
            </w:pPr>
          </w:p>
          <w:p w14:paraId="57FA24C7" w14:textId="77777777" w:rsidR="0005123C" w:rsidRPr="00F65272" w:rsidRDefault="0005123C" w:rsidP="00865989">
            <w:pPr>
              <w:tabs>
                <w:tab w:val="left" w:pos="5245"/>
              </w:tabs>
              <w:ind w:right="176"/>
              <w:jc w:val="center"/>
            </w:pPr>
          </w:p>
          <w:p w14:paraId="3261CC16" w14:textId="77777777" w:rsidR="0005123C" w:rsidRPr="00F65272" w:rsidRDefault="0005123C" w:rsidP="00865989">
            <w:pPr>
              <w:tabs>
                <w:tab w:val="left" w:pos="5245"/>
              </w:tabs>
              <w:jc w:val="center"/>
            </w:pPr>
          </w:p>
        </w:tc>
      </w:tr>
    </w:tbl>
    <w:p w14:paraId="2965B9A1" w14:textId="77777777" w:rsidR="0005123C" w:rsidRPr="00F65272" w:rsidRDefault="0005123C" w:rsidP="0005123C">
      <w:pPr>
        <w:tabs>
          <w:tab w:val="left" w:pos="5245"/>
        </w:tabs>
        <w:spacing w:after="0" w:line="240" w:lineRule="auto"/>
      </w:pPr>
    </w:p>
    <w:p w14:paraId="3E8F0FC8" w14:textId="77777777" w:rsidR="00865989" w:rsidRPr="00F65272" w:rsidRDefault="00865989" w:rsidP="0005123C">
      <w:pPr>
        <w:tabs>
          <w:tab w:val="left" w:pos="5245"/>
        </w:tabs>
        <w:spacing w:after="0" w:line="240" w:lineRule="auto"/>
        <w:sectPr w:rsidR="00865989" w:rsidRPr="00F65272">
          <w:footerReference w:type="default" r:id="rId10"/>
          <w:pgSz w:w="11906" w:h="16838"/>
          <w:pgMar w:top="1440" w:right="1440" w:bottom="1440" w:left="1440" w:header="708" w:footer="708" w:gutter="0"/>
          <w:cols w:space="708"/>
          <w:docGrid w:linePitch="360"/>
        </w:sectPr>
      </w:pPr>
    </w:p>
    <w:p w14:paraId="79BB2BDB" w14:textId="77777777" w:rsidR="00E21322" w:rsidRPr="00F65272" w:rsidRDefault="00E21322" w:rsidP="0005123C">
      <w:pPr>
        <w:tabs>
          <w:tab w:val="left" w:pos="5245"/>
        </w:tabs>
        <w:spacing w:after="0" w:line="240" w:lineRule="auto"/>
        <w:rPr>
          <w:sz w:val="20"/>
          <w:szCs w:val="20"/>
        </w:rPr>
      </w:pPr>
    </w:p>
    <w:p w14:paraId="115D51A3" w14:textId="5473CE38" w:rsidR="0005123C" w:rsidRPr="00F65272" w:rsidRDefault="0005123C" w:rsidP="00F65272">
      <w:pPr>
        <w:pStyle w:val="KeyHeadDetails"/>
      </w:pPr>
      <w:r w:rsidRPr="00F65272">
        <w:t>&lt;Name of person consulting&gt;</w:t>
      </w:r>
    </w:p>
    <w:p w14:paraId="441195DC" w14:textId="1755CAB7" w:rsidR="00865989" w:rsidRPr="00F65272" w:rsidRDefault="00442AD9" w:rsidP="00F65272">
      <w:pPr>
        <w:pStyle w:val="KeyHeadDetails"/>
      </w:pPr>
      <w:r w:rsidRPr="00F65272">
        <w:t>&lt;</w:t>
      </w:r>
      <w:r w:rsidR="0005123C" w:rsidRPr="00F65272">
        <w:t>Address of consulting organisation</w:t>
      </w:r>
      <w:r w:rsidRPr="00F65272">
        <w:t>&gt;</w:t>
      </w:r>
      <w:r w:rsidR="0005123C" w:rsidRPr="00F65272">
        <w:t xml:space="preserve"> </w:t>
      </w:r>
    </w:p>
    <w:p w14:paraId="2C0D1FC6" w14:textId="77777777" w:rsidR="00865989" w:rsidRPr="00F65272" w:rsidRDefault="00865989" w:rsidP="0005123C">
      <w:pPr>
        <w:tabs>
          <w:tab w:val="left" w:pos="5245"/>
        </w:tabs>
        <w:spacing w:after="0" w:line="240" w:lineRule="auto"/>
        <w:rPr>
          <w:sz w:val="20"/>
          <w:szCs w:val="20"/>
        </w:rPr>
      </w:pPr>
    </w:p>
    <w:p w14:paraId="2099CE61" w14:textId="77777777" w:rsidR="00E21322" w:rsidRPr="00F65272" w:rsidRDefault="00382535" w:rsidP="0005123C">
      <w:pPr>
        <w:tabs>
          <w:tab w:val="left" w:pos="5245"/>
        </w:tabs>
        <w:spacing w:after="0" w:line="240" w:lineRule="auto"/>
        <w:rPr>
          <w:sz w:val="20"/>
          <w:szCs w:val="20"/>
        </w:rPr>
      </w:pPr>
      <w:r w:rsidRPr="00F65272">
        <w:rPr>
          <w:sz w:val="20"/>
          <w:szCs w:val="20"/>
        </w:rPr>
        <w:br w:type="column"/>
      </w:r>
    </w:p>
    <w:p w14:paraId="0E88BB49" w14:textId="4D613AF4" w:rsidR="00865989" w:rsidRPr="00F65272" w:rsidRDefault="0005123C" w:rsidP="0005123C">
      <w:pPr>
        <w:tabs>
          <w:tab w:val="left" w:pos="5245"/>
        </w:tabs>
        <w:spacing w:after="0" w:line="240" w:lineRule="auto"/>
        <w:rPr>
          <w:sz w:val="20"/>
          <w:szCs w:val="20"/>
        </w:rPr>
      </w:pPr>
      <w:r w:rsidRPr="00F65272">
        <w:rPr>
          <w:sz w:val="20"/>
          <w:szCs w:val="20"/>
        </w:rPr>
        <w:t xml:space="preserve">Your Ref: </w:t>
      </w:r>
      <w:r w:rsidR="00BB3CA5" w:rsidRPr="00BB3CA5">
        <w:rPr>
          <w:sz w:val="20"/>
          <w:szCs w:val="20"/>
        </w:rPr>
        <w:t>&lt;Reference&gt;</w:t>
      </w:r>
    </w:p>
    <w:p w14:paraId="2E859685" w14:textId="77A1E0C8" w:rsidR="0005123C" w:rsidRPr="00F65272" w:rsidRDefault="00BB7A85" w:rsidP="0005123C">
      <w:pPr>
        <w:tabs>
          <w:tab w:val="left" w:pos="5245"/>
        </w:tabs>
        <w:spacing w:after="0" w:line="240" w:lineRule="auto"/>
        <w:rPr>
          <w:sz w:val="20"/>
          <w:szCs w:val="20"/>
        </w:rPr>
      </w:pPr>
      <w:r w:rsidRPr="00F65272">
        <w:rPr>
          <w:sz w:val="20"/>
          <w:szCs w:val="20"/>
        </w:rPr>
        <w:t xml:space="preserve">Our Ref: </w:t>
      </w:r>
      <w:r w:rsidR="00BB3CA5" w:rsidRPr="00BB3CA5">
        <w:rPr>
          <w:sz w:val="20"/>
          <w:szCs w:val="20"/>
        </w:rPr>
        <w:t>&lt;Primary Reference Number&gt;</w:t>
      </w:r>
    </w:p>
    <w:p w14:paraId="55EC2C3B" w14:textId="77777777" w:rsidR="0005123C" w:rsidRPr="00F65272" w:rsidRDefault="0005123C" w:rsidP="0005123C">
      <w:pPr>
        <w:tabs>
          <w:tab w:val="left" w:pos="5245"/>
        </w:tabs>
        <w:spacing w:after="0" w:line="240" w:lineRule="auto"/>
        <w:rPr>
          <w:sz w:val="20"/>
          <w:szCs w:val="20"/>
        </w:rPr>
      </w:pPr>
      <w:r w:rsidRPr="00F65272">
        <w:rPr>
          <w:sz w:val="20"/>
          <w:szCs w:val="20"/>
        </w:rPr>
        <w:tab/>
      </w:r>
      <w:r w:rsidRPr="00F65272">
        <w:rPr>
          <w:sz w:val="20"/>
          <w:szCs w:val="20"/>
        </w:rPr>
        <w:tab/>
      </w:r>
      <w:r w:rsidRPr="00F65272">
        <w:rPr>
          <w:sz w:val="20"/>
          <w:szCs w:val="20"/>
        </w:rPr>
        <w:tab/>
      </w:r>
    </w:p>
    <w:p w14:paraId="602DD850" w14:textId="77777777" w:rsidR="00D67B34" w:rsidRPr="00F65272" w:rsidRDefault="0005123C" w:rsidP="0005123C">
      <w:pPr>
        <w:tabs>
          <w:tab w:val="left" w:pos="5245"/>
        </w:tabs>
        <w:spacing w:after="0" w:line="240" w:lineRule="auto"/>
        <w:rPr>
          <w:sz w:val="20"/>
          <w:szCs w:val="20"/>
        </w:rPr>
      </w:pPr>
      <w:r w:rsidRPr="00F65272">
        <w:rPr>
          <w:sz w:val="20"/>
          <w:szCs w:val="20"/>
        </w:rPr>
        <w:t xml:space="preserve">Contact: </w:t>
      </w:r>
    </w:p>
    <w:p w14:paraId="6069AAF3" w14:textId="36253B78" w:rsidR="0005123C" w:rsidRPr="00F65272" w:rsidRDefault="00EC7C6A" w:rsidP="00F65272">
      <w:pPr>
        <w:pStyle w:val="KeyHeadDetails"/>
      </w:pPr>
      <w:r w:rsidRPr="00EC7C6A">
        <w:t>&lt;Casework Officer&gt;</w:t>
      </w:r>
    </w:p>
    <w:p w14:paraId="50D00C1C" w14:textId="3A7BEB01" w:rsidR="0005123C" w:rsidRPr="00F65272" w:rsidRDefault="00EC7C6A" w:rsidP="00F65272">
      <w:pPr>
        <w:pStyle w:val="KeyHeadDetails"/>
      </w:pPr>
      <w:r w:rsidRPr="00EC7C6A">
        <w:t>&lt;Casework Officer Number&gt;</w:t>
      </w:r>
    </w:p>
    <w:p w14:paraId="549F52E3" w14:textId="7C3B75F9" w:rsidR="00865989" w:rsidRPr="00F65272" w:rsidRDefault="00EC7C6A" w:rsidP="00F65272">
      <w:pPr>
        <w:pStyle w:val="KeyHeadDetails"/>
      </w:pPr>
      <w:r w:rsidRPr="00EC7C6A">
        <w:t>&lt;Casework Officer Email&gt;</w:t>
      </w:r>
    </w:p>
    <w:p w14:paraId="1B8A4388" w14:textId="77777777" w:rsidR="00E66F94" w:rsidRPr="00F65272" w:rsidRDefault="00E66F94" w:rsidP="0005123C">
      <w:pPr>
        <w:tabs>
          <w:tab w:val="left" w:pos="5245"/>
        </w:tabs>
        <w:spacing w:after="0" w:line="240" w:lineRule="auto"/>
        <w:rPr>
          <w:sz w:val="20"/>
          <w:szCs w:val="20"/>
        </w:rPr>
      </w:pPr>
    </w:p>
    <w:p w14:paraId="586D7439" w14:textId="327A5E8E" w:rsidR="00E66F94" w:rsidRPr="00F65272" w:rsidRDefault="00E66F94" w:rsidP="0005123C">
      <w:pPr>
        <w:tabs>
          <w:tab w:val="left" w:pos="5245"/>
        </w:tabs>
        <w:spacing w:after="0" w:line="240" w:lineRule="auto"/>
        <w:sectPr w:rsidR="00E66F94" w:rsidRPr="00F65272" w:rsidSect="00D67B34">
          <w:type w:val="continuous"/>
          <w:pgSz w:w="11906" w:h="16838"/>
          <w:pgMar w:top="1440" w:right="1440" w:bottom="1440" w:left="1440" w:header="708" w:footer="708" w:gutter="0"/>
          <w:cols w:num="2" w:space="720"/>
          <w:docGrid w:linePitch="360"/>
        </w:sectPr>
      </w:pPr>
    </w:p>
    <w:p w14:paraId="20516C1A" w14:textId="77777777" w:rsidR="00CF65FC" w:rsidRPr="00F65272" w:rsidRDefault="00CF65FC" w:rsidP="00865989">
      <w:pPr>
        <w:tabs>
          <w:tab w:val="left" w:pos="5670"/>
        </w:tabs>
        <w:spacing w:after="0" w:line="240" w:lineRule="auto"/>
      </w:pPr>
    </w:p>
    <w:p w14:paraId="01A2ACB7" w14:textId="3F6BDD73" w:rsidR="0005123C" w:rsidRPr="00F65272" w:rsidRDefault="0005123C" w:rsidP="00F65272">
      <w:pPr>
        <w:pStyle w:val="Keybody"/>
      </w:pPr>
      <w:r w:rsidRPr="00F65272">
        <w:t xml:space="preserve">                                                             </w:t>
      </w:r>
      <w:r w:rsidR="00865989" w:rsidRPr="00F65272">
        <w:t xml:space="preserve">                              </w:t>
      </w:r>
      <w:r w:rsidR="00865989" w:rsidRPr="00F65272">
        <w:tab/>
      </w:r>
      <w:r w:rsidR="00D102DC" w:rsidRPr="00D102DC">
        <w:t>&lt;Completion Date&gt;</w:t>
      </w:r>
    </w:p>
    <w:p w14:paraId="58C88F4B" w14:textId="77777777" w:rsidR="0005123C" w:rsidRPr="00F65272" w:rsidRDefault="0005123C" w:rsidP="0005123C">
      <w:pPr>
        <w:tabs>
          <w:tab w:val="left" w:pos="5245"/>
        </w:tabs>
        <w:spacing w:after="0" w:line="240" w:lineRule="auto"/>
      </w:pPr>
    </w:p>
    <w:p w14:paraId="212E0D89" w14:textId="77777777" w:rsidR="0005123C" w:rsidRPr="00F65272" w:rsidRDefault="0005123C" w:rsidP="0005123C">
      <w:pPr>
        <w:tabs>
          <w:tab w:val="left" w:pos="5245"/>
        </w:tabs>
        <w:spacing w:after="0" w:line="240" w:lineRule="auto"/>
      </w:pPr>
    </w:p>
    <w:p w14:paraId="7ECA052D" w14:textId="6FCBC6C4" w:rsidR="0005123C" w:rsidRPr="00F65272" w:rsidRDefault="0005123C" w:rsidP="0005123C">
      <w:pPr>
        <w:tabs>
          <w:tab w:val="left" w:pos="5245"/>
        </w:tabs>
        <w:spacing w:after="0" w:line="240" w:lineRule="auto"/>
      </w:pPr>
      <w:r w:rsidRPr="00F65272">
        <w:t>Dear</w:t>
      </w:r>
      <w:r w:rsidR="004E4203">
        <w:t xml:space="preserve"> </w:t>
      </w:r>
      <w:r w:rsidR="004E4203" w:rsidRPr="004E4203">
        <w:t>&lt;Contact Name&gt;</w:t>
      </w:r>
      <w:r w:rsidRPr="00F65272">
        <w:t>,</w:t>
      </w:r>
    </w:p>
    <w:p w14:paraId="27358955" w14:textId="77777777" w:rsidR="0005123C" w:rsidRPr="00F65272" w:rsidRDefault="0005123C" w:rsidP="0005123C">
      <w:pPr>
        <w:tabs>
          <w:tab w:val="left" w:pos="5245"/>
        </w:tabs>
        <w:spacing w:after="0" w:line="240" w:lineRule="auto"/>
      </w:pPr>
    </w:p>
    <w:p w14:paraId="4BE250A1" w14:textId="77777777" w:rsidR="0005123C" w:rsidRPr="00F65272" w:rsidRDefault="0005123C" w:rsidP="0005123C">
      <w:pPr>
        <w:tabs>
          <w:tab w:val="left" w:pos="5245"/>
        </w:tabs>
        <w:spacing w:after="0" w:line="240" w:lineRule="auto"/>
        <w:rPr>
          <w:b/>
        </w:rPr>
      </w:pPr>
      <w:r w:rsidRPr="00F65272">
        <w:rPr>
          <w:b/>
        </w:rPr>
        <w:t>TOWN &amp; COUNTRY PLANNING ACT 1990 (AS AMENDED)</w:t>
      </w:r>
    </w:p>
    <w:p w14:paraId="443C06A8" w14:textId="552E5C20" w:rsidR="0005123C" w:rsidRPr="00F65272" w:rsidRDefault="0005123C" w:rsidP="0005123C">
      <w:pPr>
        <w:tabs>
          <w:tab w:val="left" w:pos="5245"/>
        </w:tabs>
        <w:spacing w:after="0" w:line="240" w:lineRule="auto"/>
        <w:rPr>
          <w:b/>
        </w:rPr>
      </w:pPr>
      <w:r w:rsidRPr="00F65272">
        <w:rPr>
          <w:b/>
        </w:rPr>
        <w:t>NATIONAL PLANNING POLICY FRAMEWORK 20</w:t>
      </w:r>
      <w:r w:rsidR="0031663E" w:rsidRPr="00F65272">
        <w:rPr>
          <w:b/>
        </w:rPr>
        <w:t>21</w:t>
      </w:r>
    </w:p>
    <w:p w14:paraId="4DD83086" w14:textId="77777777" w:rsidR="0005123C" w:rsidRPr="00F65272" w:rsidRDefault="0005123C" w:rsidP="0005123C">
      <w:pPr>
        <w:tabs>
          <w:tab w:val="left" w:pos="5245"/>
        </w:tabs>
        <w:spacing w:after="0" w:line="240" w:lineRule="auto"/>
      </w:pPr>
    </w:p>
    <w:p w14:paraId="79CA682E" w14:textId="77777777" w:rsidR="0005123C" w:rsidRPr="008A17F1" w:rsidRDefault="0005123C" w:rsidP="00F65272">
      <w:pPr>
        <w:pStyle w:val="Keybody"/>
        <w:rPr>
          <w:b/>
          <w:bCs/>
        </w:rPr>
      </w:pPr>
      <w:r w:rsidRPr="008A17F1">
        <w:rPr>
          <w:b/>
          <w:bCs/>
        </w:rPr>
        <w:t>&lt;Consultation Name&gt;</w:t>
      </w:r>
    </w:p>
    <w:p w14:paraId="650BB54E" w14:textId="56950CB9" w:rsidR="0005123C" w:rsidRPr="008A17F1" w:rsidRDefault="00D102DC" w:rsidP="00F65272">
      <w:pPr>
        <w:pStyle w:val="Keybody"/>
        <w:rPr>
          <w:i/>
          <w:iCs/>
        </w:rPr>
      </w:pPr>
      <w:bookmarkStart w:id="0" w:name="_GoBack"/>
      <w:r w:rsidRPr="008A17F1">
        <w:rPr>
          <w:i/>
          <w:iCs/>
        </w:rPr>
        <w:t>&lt;Proposal Description&gt;</w:t>
      </w:r>
      <w:bookmarkEnd w:id="0"/>
    </w:p>
    <w:p w14:paraId="0D375046" w14:textId="77777777" w:rsidR="0005123C" w:rsidRPr="00F65272" w:rsidRDefault="0005123C" w:rsidP="0005123C">
      <w:pPr>
        <w:tabs>
          <w:tab w:val="left" w:pos="5245"/>
        </w:tabs>
        <w:spacing w:after="0" w:line="240" w:lineRule="auto"/>
      </w:pPr>
    </w:p>
    <w:p w14:paraId="1E0F463A" w14:textId="77777777" w:rsidR="0005123C" w:rsidRPr="00F65272" w:rsidRDefault="0005123C" w:rsidP="0005123C">
      <w:pPr>
        <w:tabs>
          <w:tab w:val="left" w:pos="5245"/>
        </w:tabs>
        <w:spacing w:after="0" w:line="240" w:lineRule="auto"/>
        <w:rPr>
          <w:b/>
          <w:u w:val="single"/>
        </w:rPr>
      </w:pPr>
      <w:r w:rsidRPr="00F65272">
        <w:rPr>
          <w:b/>
          <w:u w:val="single"/>
        </w:rPr>
        <w:t>Recommend Archaeological Historic Building Recording Condition</w:t>
      </w:r>
    </w:p>
    <w:p w14:paraId="4B05ECC5" w14:textId="77777777" w:rsidR="0005123C" w:rsidRPr="00F65272" w:rsidRDefault="0005123C" w:rsidP="0005123C">
      <w:pPr>
        <w:tabs>
          <w:tab w:val="left" w:pos="5245"/>
        </w:tabs>
        <w:spacing w:after="0" w:line="240" w:lineRule="auto"/>
      </w:pPr>
    </w:p>
    <w:p w14:paraId="3D592945" w14:textId="075D6994" w:rsidR="0005123C" w:rsidRPr="00F65272" w:rsidRDefault="0005123C" w:rsidP="0005123C">
      <w:pPr>
        <w:tabs>
          <w:tab w:val="left" w:pos="5245"/>
        </w:tabs>
        <w:spacing w:after="0" w:line="240" w:lineRule="auto"/>
      </w:pPr>
      <w:r w:rsidRPr="00F65272">
        <w:t>Thank you for your consultation received on</w:t>
      </w:r>
      <w:r w:rsidR="00346016">
        <w:t xml:space="preserve"> </w:t>
      </w:r>
      <w:r w:rsidR="00346016" w:rsidRPr="00346016">
        <w:t>&lt;Log Date&gt;</w:t>
      </w:r>
      <w:r w:rsidRPr="00F65272">
        <w:t>.</w:t>
      </w:r>
    </w:p>
    <w:p w14:paraId="2090FE88" w14:textId="77777777" w:rsidR="0005123C" w:rsidRPr="00F65272" w:rsidRDefault="0005123C" w:rsidP="0005123C">
      <w:pPr>
        <w:tabs>
          <w:tab w:val="left" w:pos="5245"/>
        </w:tabs>
        <w:spacing w:after="0" w:line="240" w:lineRule="auto"/>
      </w:pPr>
    </w:p>
    <w:p w14:paraId="75815F4D" w14:textId="77777777" w:rsidR="0005123C" w:rsidRPr="00F65272" w:rsidRDefault="0005123C" w:rsidP="0005123C">
      <w:pPr>
        <w:tabs>
          <w:tab w:val="left" w:pos="5245"/>
        </w:tabs>
        <w:spacing w:after="0" w:line="240" w:lineRule="auto"/>
      </w:pPr>
      <w:r w:rsidRPr="00F65272">
        <w:t>The Greater London Archaeological Advisory Service (GLAAS) gives advice on archaeology and planning.  Our advice follows the National Planning Policy Framework (NPPF) and the GLAAS Charter.</w:t>
      </w:r>
    </w:p>
    <w:p w14:paraId="7F31FA24" w14:textId="77777777" w:rsidR="00BB7A85" w:rsidRPr="00F65272" w:rsidRDefault="00BB7A85" w:rsidP="0005123C">
      <w:pPr>
        <w:tabs>
          <w:tab w:val="left" w:pos="5245"/>
        </w:tabs>
        <w:spacing w:after="0" w:line="240" w:lineRule="auto"/>
      </w:pPr>
    </w:p>
    <w:p w14:paraId="3B5629F2" w14:textId="77777777" w:rsidR="00BB7A85" w:rsidRPr="00F65272" w:rsidRDefault="00BB7A85" w:rsidP="0005123C">
      <w:pPr>
        <w:tabs>
          <w:tab w:val="left" w:pos="5245"/>
        </w:tabs>
        <w:spacing w:after="0" w:line="240" w:lineRule="auto"/>
        <w:rPr>
          <w:u w:val="single"/>
        </w:rPr>
      </w:pPr>
      <w:r w:rsidRPr="00F65272">
        <w:rPr>
          <w:u w:val="single"/>
        </w:rPr>
        <w:t>Assessment of Significance and Impact</w:t>
      </w:r>
    </w:p>
    <w:p w14:paraId="7393EDEC" w14:textId="32CA6DDF" w:rsidR="00BB7A85" w:rsidRPr="00DC7D31" w:rsidRDefault="00DC7D31" w:rsidP="00F65272">
      <w:pPr>
        <w:pStyle w:val="Keybody"/>
      </w:pPr>
      <w:r w:rsidRPr="00DC7D31">
        <w:t>&lt;Assessment of Significance&gt;</w:t>
      </w:r>
    </w:p>
    <w:p w14:paraId="0D1B5BBE" w14:textId="77777777" w:rsidR="0005123C" w:rsidRPr="00F65272" w:rsidRDefault="0005123C" w:rsidP="0005123C">
      <w:pPr>
        <w:tabs>
          <w:tab w:val="left" w:pos="5245"/>
        </w:tabs>
        <w:spacing w:after="0" w:line="240" w:lineRule="auto"/>
      </w:pPr>
    </w:p>
    <w:p w14:paraId="6D9B35CD" w14:textId="77777777" w:rsidR="00BB7A85" w:rsidRPr="00F65272" w:rsidRDefault="00BB7A85" w:rsidP="0005123C">
      <w:pPr>
        <w:tabs>
          <w:tab w:val="left" w:pos="5245"/>
        </w:tabs>
        <w:spacing w:after="0" w:line="240" w:lineRule="auto"/>
        <w:rPr>
          <w:u w:val="single"/>
        </w:rPr>
      </w:pPr>
      <w:r w:rsidRPr="00F65272">
        <w:rPr>
          <w:u w:val="single"/>
        </w:rPr>
        <w:t>Planning Policies</w:t>
      </w:r>
    </w:p>
    <w:p w14:paraId="766BF8FF" w14:textId="06A1DF78" w:rsidR="00BB7A85" w:rsidRPr="00F65272" w:rsidRDefault="00BB7A85" w:rsidP="00BB7A85">
      <w:pPr>
        <w:tabs>
          <w:tab w:val="left" w:pos="5245"/>
        </w:tabs>
      </w:pPr>
      <w:r w:rsidRPr="00F65272">
        <w:t>NPPF Section 16 and the London Plan (20</w:t>
      </w:r>
      <w:r w:rsidR="0031663E" w:rsidRPr="00F65272">
        <w:t>21</w:t>
      </w:r>
      <w:r w:rsidRPr="00F65272">
        <w:t xml:space="preserve"> Policy HC1) recognise the positive contribution of heritage assets of all kinds and make the conservation of archaeological interest a material planning consideration.  NPPF paragraph 19</w:t>
      </w:r>
      <w:r w:rsidR="00030676" w:rsidRPr="00F65272">
        <w:t>4</w:t>
      </w:r>
      <w:r w:rsidRPr="00F65272">
        <w:t xml:space="preserve"> says applicants should provide an archaeological assessment if their development could affect a heritage asset of </w:t>
      </w:r>
      <w:r w:rsidRPr="00F65272">
        <w:lastRenderedPageBreak/>
        <w:t xml:space="preserve">archaeological interest.   Some historic buildings are of archaeological interest and this interest can be harmed by the loss of historic fabric.  </w:t>
      </w:r>
    </w:p>
    <w:p w14:paraId="273C54D6" w14:textId="7C5B2A8B" w:rsidR="0005123C" w:rsidRPr="00F65272" w:rsidRDefault="00BB7A85" w:rsidP="00BB7A85">
      <w:pPr>
        <w:tabs>
          <w:tab w:val="left" w:pos="5245"/>
        </w:tabs>
        <w:spacing w:after="0" w:line="240" w:lineRule="auto"/>
      </w:pPr>
      <w:r w:rsidRPr="00F65272">
        <w:t xml:space="preserve">If you grant planning consent, paragraph </w:t>
      </w:r>
      <w:r w:rsidR="00030676" w:rsidRPr="00F65272">
        <w:t>205</w:t>
      </w:r>
      <w:r w:rsidRPr="00F65272">
        <w:t xml:space="preserve"> of the NPPF says that applicants should record the significance of any heritage assets that the development harms. Applicants should also improve knowledge of assets and make this public.</w:t>
      </w:r>
    </w:p>
    <w:p w14:paraId="508F5581" w14:textId="77777777" w:rsidR="0005123C" w:rsidRPr="00F65272" w:rsidRDefault="0005123C" w:rsidP="0005123C">
      <w:pPr>
        <w:tabs>
          <w:tab w:val="left" w:pos="5245"/>
        </w:tabs>
        <w:spacing w:after="0" w:line="240" w:lineRule="auto"/>
      </w:pPr>
    </w:p>
    <w:p w14:paraId="25D025CF" w14:textId="77777777" w:rsidR="0005123C" w:rsidRPr="00F65272" w:rsidRDefault="00BB7A85" w:rsidP="0005123C">
      <w:pPr>
        <w:tabs>
          <w:tab w:val="left" w:pos="5245"/>
        </w:tabs>
        <w:spacing w:after="0" w:line="240" w:lineRule="auto"/>
        <w:rPr>
          <w:u w:val="single"/>
        </w:rPr>
      </w:pPr>
      <w:r w:rsidRPr="00F65272">
        <w:rPr>
          <w:u w:val="single"/>
        </w:rPr>
        <w:t>Recommendations</w:t>
      </w:r>
    </w:p>
    <w:p w14:paraId="3D4737E9" w14:textId="77777777" w:rsidR="00BB7A85" w:rsidRPr="00F65272" w:rsidRDefault="00BB7A85" w:rsidP="00BB7A85">
      <w:pPr>
        <w:tabs>
          <w:tab w:val="left" w:pos="5245"/>
        </w:tabs>
        <w:spacing w:after="0" w:line="240" w:lineRule="auto"/>
      </w:pPr>
      <w:r w:rsidRPr="00F65272">
        <w:t>I advise that the development could cause harm to the archaeological interest of the building(s).  I therefore recommend the following condition on any consent:</w:t>
      </w:r>
    </w:p>
    <w:p w14:paraId="7038CAF2" w14:textId="77777777" w:rsidR="00BB7A85" w:rsidRPr="00F65272" w:rsidRDefault="00BB7A85" w:rsidP="00BB7A85">
      <w:pPr>
        <w:tabs>
          <w:tab w:val="left" w:pos="5245"/>
        </w:tabs>
        <w:spacing w:after="0" w:line="240" w:lineRule="auto"/>
      </w:pPr>
    </w:p>
    <w:p w14:paraId="4DCE95EE" w14:textId="77777777" w:rsidR="00F37BF2" w:rsidRPr="00F65272" w:rsidRDefault="00F37BF2" w:rsidP="00F37BF2">
      <w:pPr>
        <w:tabs>
          <w:tab w:val="left" w:pos="5245"/>
        </w:tabs>
        <w:spacing w:after="0" w:line="240" w:lineRule="auto"/>
        <w:ind w:left="1418" w:hanging="1418"/>
      </w:pPr>
      <w:r w:rsidRPr="00F65272">
        <w:t>Condition</w:t>
      </w:r>
      <w:r w:rsidRPr="00F65272">
        <w:tab/>
        <w:t xml:space="preserve">No demolition shall take place until a written scheme of historic building investigation (WSI) has been submitted to and approved by the local planning authority in writing.  For buildings that are included within the WSI, no demolition or development shall take place other than in accordance with the agreed WSI, which shall include the statement of significance and research objectives, and </w:t>
      </w:r>
    </w:p>
    <w:p w14:paraId="095ABA95" w14:textId="77777777" w:rsidR="00F37BF2" w:rsidRPr="00F65272" w:rsidRDefault="00F37BF2" w:rsidP="00F37BF2">
      <w:pPr>
        <w:tabs>
          <w:tab w:val="left" w:pos="5245"/>
        </w:tabs>
        <w:spacing w:after="0" w:line="240" w:lineRule="auto"/>
        <w:ind w:left="1701" w:hanging="283"/>
      </w:pPr>
      <w:r w:rsidRPr="00F65272">
        <w:t xml:space="preserve">A. The programme and methodology of historic building investigation and recording and the nomination of a competent person(s) or organisation to undertake the agreed works </w:t>
      </w:r>
    </w:p>
    <w:p w14:paraId="78B4A7EA" w14:textId="77777777" w:rsidR="00F37BF2" w:rsidRPr="00F65272" w:rsidRDefault="00F37BF2" w:rsidP="00F37BF2">
      <w:pPr>
        <w:tabs>
          <w:tab w:val="left" w:pos="5245"/>
        </w:tabs>
        <w:spacing w:after="0" w:line="240" w:lineRule="auto"/>
        <w:ind w:left="1701" w:hanging="283"/>
      </w:pPr>
      <w:r w:rsidRPr="00F65272">
        <w:t xml:space="preserve">B. The programme for post-investigation assessment and subsequent analysis, publication &amp; dissemination and deposition of resulting material. This part of the condition shall not be discharged until these elements have been fulfilled in accordance with the programme set out in the WSI </w:t>
      </w:r>
    </w:p>
    <w:p w14:paraId="459AA847" w14:textId="77777777" w:rsidR="00F37BF2" w:rsidRPr="00F65272" w:rsidRDefault="00F37BF2" w:rsidP="00F37BF2">
      <w:pPr>
        <w:tabs>
          <w:tab w:val="left" w:pos="5245"/>
        </w:tabs>
        <w:spacing w:after="0" w:line="240" w:lineRule="auto"/>
        <w:ind w:left="1418" w:hanging="1418"/>
      </w:pPr>
    </w:p>
    <w:p w14:paraId="593697C3" w14:textId="77777777" w:rsidR="00BB7A85" w:rsidRPr="00F65272" w:rsidRDefault="00F37BF2" w:rsidP="00F37BF2">
      <w:pPr>
        <w:tabs>
          <w:tab w:val="left" w:pos="5245"/>
        </w:tabs>
        <w:spacing w:after="0" w:line="240" w:lineRule="auto"/>
        <w:ind w:left="1418" w:hanging="1418"/>
      </w:pPr>
      <w:r w:rsidRPr="00F65272">
        <w:t>Informative</w:t>
      </w:r>
      <w:r w:rsidRPr="00F65272">
        <w:tab/>
        <w:t xml:space="preserve">The written scheme of investigation will need to be prepared and implemented by a suitably professionally accredited heritage practice in accordance with Historic England’s Guidelines for Archaeological Projects in Greater London.  </w:t>
      </w:r>
    </w:p>
    <w:p w14:paraId="1E690A3B" w14:textId="77777777" w:rsidR="00BB7A85" w:rsidRPr="00F65272" w:rsidRDefault="00BB7A85" w:rsidP="00BB7A85">
      <w:pPr>
        <w:tabs>
          <w:tab w:val="left" w:pos="5245"/>
        </w:tabs>
        <w:spacing w:after="0" w:line="240" w:lineRule="auto"/>
      </w:pPr>
    </w:p>
    <w:p w14:paraId="3EBA2C9C" w14:textId="56D9B22E" w:rsidR="00BB7A85" w:rsidRPr="00F65272" w:rsidRDefault="00BB7A85" w:rsidP="00BB7A85">
      <w:pPr>
        <w:tabs>
          <w:tab w:val="left" w:pos="5245"/>
        </w:tabs>
        <w:spacing w:after="0" w:line="240" w:lineRule="auto"/>
      </w:pPr>
      <w:r w:rsidRPr="00F65272">
        <w:t xml:space="preserve">This pre-commencement condition is necessary to safeguard the archaeological interest on this site.  Approval of the WSI before works begin on site provides clarity on what investigations are required, and their timing in relation to the development programme.   If the applicant does not agree to this pre-commencement </w:t>
      </w:r>
      <w:r w:rsidR="008519C9" w:rsidRPr="00F65272">
        <w:t>condition,</w:t>
      </w:r>
      <w:r w:rsidRPr="00F65272">
        <w:t xml:space="preserve"> please let us know their reasons and any alternatives suggested.   Without this pre-commencement condition being imposed the application should be refused as it would not comply with NPPF paragraph </w:t>
      </w:r>
      <w:r w:rsidR="00721C2C" w:rsidRPr="00F65272">
        <w:t>204</w:t>
      </w:r>
      <w:r w:rsidRPr="00F65272">
        <w:t>.</w:t>
      </w:r>
    </w:p>
    <w:p w14:paraId="074E38D6" w14:textId="77777777" w:rsidR="00BB7A85" w:rsidRPr="00F65272" w:rsidRDefault="00BB7A85" w:rsidP="00BB7A85">
      <w:pPr>
        <w:tabs>
          <w:tab w:val="left" w:pos="5245"/>
        </w:tabs>
        <w:spacing w:after="0" w:line="240" w:lineRule="auto"/>
      </w:pPr>
    </w:p>
    <w:p w14:paraId="5EE72D40" w14:textId="77777777" w:rsidR="0005123C" w:rsidRPr="00F65272" w:rsidRDefault="00BB7A85" w:rsidP="00BB7A85">
      <w:pPr>
        <w:tabs>
          <w:tab w:val="left" w:pos="5245"/>
        </w:tabs>
        <w:spacing w:after="0" w:line="240" w:lineRule="auto"/>
      </w:pPr>
      <w:r w:rsidRPr="00F65272">
        <w:t>The archaeological work should include:</w:t>
      </w:r>
    </w:p>
    <w:p w14:paraId="65BFE356" w14:textId="77777777" w:rsidR="0005123C" w:rsidRPr="00F65272" w:rsidRDefault="0005123C" w:rsidP="0005123C">
      <w:pPr>
        <w:tabs>
          <w:tab w:val="left" w:pos="5245"/>
        </w:tabs>
        <w:spacing w:after="0" w:line="240" w:lineRule="auto"/>
      </w:pPr>
    </w:p>
    <w:p w14:paraId="36779916" w14:textId="00BE8643" w:rsidR="0005123C" w:rsidRPr="004E4203" w:rsidRDefault="0005123C" w:rsidP="00F65272">
      <w:pPr>
        <w:pStyle w:val="Keybody"/>
      </w:pPr>
      <w:r w:rsidRPr="004E4203">
        <w:rPr>
          <w:iCs/>
        </w:rPr>
        <w:t>&lt;</w:t>
      </w:r>
      <w:r w:rsidR="00F37BF2" w:rsidRPr="004E4203">
        <w:t>Mitigation</w:t>
      </w:r>
      <w:r w:rsidR="00442AD9" w:rsidRPr="004E4203">
        <w:t>&gt;</w:t>
      </w:r>
      <w:r w:rsidR="00FF4C45" w:rsidRPr="004E4203">
        <w:t xml:space="preserve"> </w:t>
      </w:r>
    </w:p>
    <w:p w14:paraId="2538BA62" w14:textId="77777777" w:rsidR="0005123C" w:rsidRPr="00F65272" w:rsidRDefault="0005123C" w:rsidP="0005123C">
      <w:pPr>
        <w:tabs>
          <w:tab w:val="left" w:pos="5245"/>
        </w:tabs>
        <w:spacing w:after="0" w:line="240" w:lineRule="auto"/>
      </w:pPr>
    </w:p>
    <w:p w14:paraId="0C530FD5" w14:textId="77777777" w:rsidR="0005123C" w:rsidRPr="00F65272" w:rsidRDefault="0005123C" w:rsidP="0005123C">
      <w:pPr>
        <w:tabs>
          <w:tab w:val="left" w:pos="5245"/>
        </w:tabs>
        <w:spacing w:after="0" w:line="240" w:lineRule="auto"/>
      </w:pPr>
      <w:r w:rsidRPr="00F65272">
        <w:t xml:space="preserve">You can find more information on archaeology and planning in Greater London on our website.   </w:t>
      </w:r>
    </w:p>
    <w:p w14:paraId="699303C4" w14:textId="77777777" w:rsidR="0005123C" w:rsidRPr="00F65272" w:rsidRDefault="0005123C" w:rsidP="0005123C">
      <w:pPr>
        <w:tabs>
          <w:tab w:val="left" w:pos="5245"/>
        </w:tabs>
        <w:spacing w:after="0" w:line="240" w:lineRule="auto"/>
        <w:rPr>
          <w:b/>
          <w:u w:val="single"/>
        </w:rPr>
      </w:pPr>
    </w:p>
    <w:p w14:paraId="4804688B" w14:textId="77777777" w:rsidR="0005123C" w:rsidRPr="00F65272" w:rsidRDefault="0005123C" w:rsidP="0005123C">
      <w:pPr>
        <w:tabs>
          <w:tab w:val="left" w:pos="5245"/>
        </w:tabs>
        <w:spacing w:after="0" w:line="240" w:lineRule="auto"/>
      </w:pPr>
      <w:r w:rsidRPr="00F65272">
        <w:t>This response relates solely to archaeological considerations.  If necessary, Historic England’s Development Advice Team should be consulted separately regarding statutory matters.</w:t>
      </w:r>
    </w:p>
    <w:p w14:paraId="6C2B7D60" w14:textId="77777777" w:rsidR="0005123C" w:rsidRPr="00F65272" w:rsidRDefault="0005123C" w:rsidP="0005123C">
      <w:pPr>
        <w:tabs>
          <w:tab w:val="left" w:pos="5245"/>
        </w:tabs>
        <w:spacing w:after="0" w:line="240" w:lineRule="auto"/>
      </w:pPr>
    </w:p>
    <w:p w14:paraId="5B75C6C2" w14:textId="77777777" w:rsidR="0005123C" w:rsidRPr="00F65272" w:rsidRDefault="0005123C" w:rsidP="0005123C">
      <w:pPr>
        <w:tabs>
          <w:tab w:val="left" w:pos="5245"/>
        </w:tabs>
        <w:spacing w:after="0" w:line="240" w:lineRule="auto"/>
      </w:pPr>
      <w:r w:rsidRPr="00F65272">
        <w:t>Yours sincerely</w:t>
      </w:r>
    </w:p>
    <w:p w14:paraId="5056D61E" w14:textId="77777777" w:rsidR="0005123C" w:rsidRPr="00F65272" w:rsidRDefault="0005123C" w:rsidP="0005123C">
      <w:pPr>
        <w:tabs>
          <w:tab w:val="left" w:pos="5245"/>
        </w:tabs>
        <w:spacing w:after="0" w:line="240" w:lineRule="auto"/>
      </w:pPr>
    </w:p>
    <w:p w14:paraId="2E612E57" w14:textId="600460D5" w:rsidR="0005123C" w:rsidRPr="00F65272" w:rsidRDefault="00383BAF" w:rsidP="00F65272">
      <w:pPr>
        <w:pStyle w:val="KeySig"/>
      </w:pPr>
      <w:r w:rsidRPr="00383BAF">
        <w:t>&lt;Casework Officer&gt;</w:t>
      </w:r>
    </w:p>
    <w:p w14:paraId="613B9998" w14:textId="38CF1754" w:rsidR="0005123C" w:rsidRPr="00F65272" w:rsidRDefault="0005123C" w:rsidP="0005123C">
      <w:pPr>
        <w:tabs>
          <w:tab w:val="left" w:pos="5245"/>
        </w:tabs>
        <w:spacing w:after="0" w:line="240" w:lineRule="auto"/>
      </w:pPr>
      <w:r w:rsidRPr="00F65272">
        <w:t>Archaeology Advis</w:t>
      </w:r>
      <w:r w:rsidR="00F46B00" w:rsidRPr="00F65272">
        <w:t>e</w:t>
      </w:r>
      <w:r w:rsidRPr="00F65272">
        <w:t>r</w:t>
      </w:r>
    </w:p>
    <w:p w14:paraId="46803BD4" w14:textId="77777777" w:rsidR="0005123C" w:rsidRPr="00F65272" w:rsidRDefault="0005123C" w:rsidP="0005123C">
      <w:pPr>
        <w:tabs>
          <w:tab w:val="left" w:pos="5245"/>
        </w:tabs>
        <w:spacing w:after="0" w:line="240" w:lineRule="auto"/>
      </w:pPr>
      <w:r w:rsidRPr="00F65272">
        <w:t>Greater London Archaeological Advisory Service</w:t>
      </w:r>
    </w:p>
    <w:p w14:paraId="4084052A" w14:textId="77777777" w:rsidR="0005123C" w:rsidRPr="00F65272" w:rsidRDefault="0005123C" w:rsidP="0005123C">
      <w:pPr>
        <w:tabs>
          <w:tab w:val="left" w:pos="5245"/>
        </w:tabs>
        <w:spacing w:after="0" w:line="240" w:lineRule="auto"/>
      </w:pPr>
      <w:r w:rsidRPr="00F65272">
        <w:t>London and South East Region</w:t>
      </w:r>
    </w:p>
    <w:p w14:paraId="23C6EB3C" w14:textId="77777777" w:rsidR="0005123C" w:rsidRPr="00F65272" w:rsidRDefault="0005123C" w:rsidP="0005123C">
      <w:pPr>
        <w:tabs>
          <w:tab w:val="left" w:pos="5245"/>
        </w:tabs>
        <w:spacing w:after="0" w:line="240" w:lineRule="auto"/>
      </w:pPr>
    </w:p>
    <w:p w14:paraId="213B2182" w14:textId="77777777" w:rsidR="00852A81" w:rsidRPr="00F65272" w:rsidRDefault="00852A81"/>
    <w:sectPr w:rsidR="00852A81" w:rsidRPr="00F65272" w:rsidSect="00F37BF2">
      <w:type w:val="continuous"/>
      <w:pgSz w:w="11906" w:h="16838"/>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6D889" w14:textId="77777777" w:rsidR="0075591D" w:rsidRDefault="0075591D" w:rsidP="00BB7A85">
      <w:pPr>
        <w:spacing w:after="0" w:line="240" w:lineRule="auto"/>
      </w:pPr>
      <w:r>
        <w:separator/>
      </w:r>
    </w:p>
  </w:endnote>
  <w:endnote w:type="continuationSeparator" w:id="0">
    <w:p w14:paraId="65AE70EE" w14:textId="77777777" w:rsidR="0075591D" w:rsidRDefault="0075591D" w:rsidP="00BB7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865989" w:rsidRPr="006B0A48" w14:paraId="533A0339" w14:textId="77777777" w:rsidTr="00865989">
      <w:trPr>
        <w:trHeight w:val="68"/>
        <w:jc w:val="center"/>
      </w:trPr>
      <w:tc>
        <w:tcPr>
          <w:tcW w:w="1515" w:type="dxa"/>
        </w:tcPr>
        <w:p w14:paraId="335BFD64" w14:textId="77777777" w:rsidR="00865989" w:rsidRPr="006B0A48" w:rsidRDefault="00865989" w:rsidP="00865989">
          <w:pPr>
            <w:tabs>
              <w:tab w:val="center" w:pos="4153"/>
              <w:tab w:val="right" w:pos="8306"/>
            </w:tabs>
            <w:rPr>
              <w:sz w:val="21"/>
            </w:rPr>
          </w:pPr>
          <w:r>
            <w:rPr>
              <w:noProof/>
              <w:sz w:val="21"/>
              <w:lang w:eastAsia="en-GB"/>
            </w:rPr>
            <w:drawing>
              <wp:inline distT="0" distB="0" distL="0" distR="0" wp14:anchorId="192BAB33" wp14:editId="3B537D26">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6B14BECA" w14:textId="77777777" w:rsidR="00865989" w:rsidRPr="006B0A48" w:rsidRDefault="00865989" w:rsidP="00865989">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15E846F1" w14:textId="77777777" w:rsidR="00865989" w:rsidRPr="006B0A48" w:rsidRDefault="00865989" w:rsidP="00865989">
          <w:pPr>
            <w:spacing w:after="40"/>
            <w:jc w:val="center"/>
            <w:rPr>
              <w:rFonts w:eastAsia="Calibri"/>
              <w:spacing w:val="5"/>
              <w:sz w:val="16"/>
            </w:rPr>
          </w:pPr>
          <w:r w:rsidRPr="006B0A48">
            <w:rPr>
              <w:rFonts w:eastAsia="Calibri"/>
              <w:spacing w:val="5"/>
              <w:sz w:val="16"/>
            </w:rPr>
            <w:t>Telephone 020 7973 3700  Facsimile 020 7973 3001</w:t>
          </w:r>
        </w:p>
        <w:p w14:paraId="0AF65343" w14:textId="77777777" w:rsidR="00865989" w:rsidRPr="006B0A48" w:rsidRDefault="00865989" w:rsidP="00865989">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26E4DE4C" w14:textId="77777777" w:rsidR="00865989" w:rsidRPr="006B0A48" w:rsidRDefault="00865989" w:rsidP="00865989">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3530E2DA" w14:textId="77777777" w:rsidR="00865989" w:rsidRPr="006B0A48" w:rsidRDefault="00865989" w:rsidP="00865989">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2F7B857C" w14:textId="77777777" w:rsidR="00865989" w:rsidRPr="006B0A48" w:rsidRDefault="00865989" w:rsidP="00865989">
          <w:pPr>
            <w:tabs>
              <w:tab w:val="center" w:pos="4153"/>
              <w:tab w:val="right" w:pos="8306"/>
            </w:tabs>
            <w:jc w:val="right"/>
            <w:rPr>
              <w:sz w:val="21"/>
            </w:rPr>
          </w:pPr>
          <w:r>
            <w:rPr>
              <w:noProof/>
              <w:sz w:val="21"/>
              <w:lang w:eastAsia="en-GB"/>
            </w:rPr>
            <w:drawing>
              <wp:inline distT="0" distB="0" distL="0" distR="0" wp14:anchorId="0CF4E86F" wp14:editId="2A85A4B2">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0BCBA0B" w14:textId="77777777" w:rsidR="00865989" w:rsidRPr="006B0A48" w:rsidRDefault="00865989" w:rsidP="00865989">
          <w:pPr>
            <w:tabs>
              <w:tab w:val="center" w:pos="4153"/>
              <w:tab w:val="right" w:pos="8306"/>
            </w:tabs>
            <w:rPr>
              <w:sz w:val="21"/>
            </w:rPr>
          </w:pPr>
        </w:p>
      </w:tc>
    </w:tr>
  </w:tbl>
  <w:p w14:paraId="739A89A1" w14:textId="77777777" w:rsidR="00865989" w:rsidRDefault="008659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EAA21" w14:textId="77777777" w:rsidR="0075591D" w:rsidRDefault="0075591D" w:rsidP="00BB7A85">
      <w:pPr>
        <w:spacing w:after="0" w:line="240" w:lineRule="auto"/>
      </w:pPr>
      <w:r>
        <w:separator/>
      </w:r>
    </w:p>
  </w:footnote>
  <w:footnote w:type="continuationSeparator" w:id="0">
    <w:p w14:paraId="7E40C9AA" w14:textId="77777777" w:rsidR="0075591D" w:rsidRDefault="0075591D" w:rsidP="00BB7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123C"/>
    <w:rsid w:val="00003464"/>
    <w:rsid w:val="000138B7"/>
    <w:rsid w:val="00030676"/>
    <w:rsid w:val="0005123C"/>
    <w:rsid w:val="001B5968"/>
    <w:rsid w:val="001C74A2"/>
    <w:rsid w:val="001E1CC5"/>
    <w:rsid w:val="002A6288"/>
    <w:rsid w:val="00313D6E"/>
    <w:rsid w:val="0031663E"/>
    <w:rsid w:val="00346016"/>
    <w:rsid w:val="00382535"/>
    <w:rsid w:val="00383BAF"/>
    <w:rsid w:val="0039241F"/>
    <w:rsid w:val="00442AD9"/>
    <w:rsid w:val="004A5DCA"/>
    <w:rsid w:val="004E4203"/>
    <w:rsid w:val="00602853"/>
    <w:rsid w:val="00635F60"/>
    <w:rsid w:val="006D2F30"/>
    <w:rsid w:val="00703C94"/>
    <w:rsid w:val="00721C2C"/>
    <w:rsid w:val="007311CE"/>
    <w:rsid w:val="0075591D"/>
    <w:rsid w:val="00797C13"/>
    <w:rsid w:val="007C3D8E"/>
    <w:rsid w:val="00827887"/>
    <w:rsid w:val="008519C9"/>
    <w:rsid w:val="00852A81"/>
    <w:rsid w:val="00865989"/>
    <w:rsid w:val="00876CF4"/>
    <w:rsid w:val="008A17F1"/>
    <w:rsid w:val="008C3A6E"/>
    <w:rsid w:val="00944866"/>
    <w:rsid w:val="00961C69"/>
    <w:rsid w:val="00966352"/>
    <w:rsid w:val="009C5F9B"/>
    <w:rsid w:val="00A11842"/>
    <w:rsid w:val="00A12844"/>
    <w:rsid w:val="00A2208C"/>
    <w:rsid w:val="00A77E6D"/>
    <w:rsid w:val="00AA623C"/>
    <w:rsid w:val="00AC1E17"/>
    <w:rsid w:val="00AC4A1B"/>
    <w:rsid w:val="00AE074C"/>
    <w:rsid w:val="00AF09B6"/>
    <w:rsid w:val="00B12DBA"/>
    <w:rsid w:val="00B364DC"/>
    <w:rsid w:val="00BA1502"/>
    <w:rsid w:val="00BB3CA5"/>
    <w:rsid w:val="00BB7A85"/>
    <w:rsid w:val="00CC0520"/>
    <w:rsid w:val="00CF65FC"/>
    <w:rsid w:val="00D102DC"/>
    <w:rsid w:val="00D67B34"/>
    <w:rsid w:val="00DC7D31"/>
    <w:rsid w:val="00E21322"/>
    <w:rsid w:val="00E66F94"/>
    <w:rsid w:val="00E767B9"/>
    <w:rsid w:val="00EC7C6A"/>
    <w:rsid w:val="00F37BF2"/>
    <w:rsid w:val="00F46B00"/>
    <w:rsid w:val="00F65272"/>
    <w:rsid w:val="00FF4C4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65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05123C"/>
    <w:rPr>
      <w:sz w:val="16"/>
      <w:szCs w:val="16"/>
    </w:rPr>
  </w:style>
  <w:style w:type="paragraph" w:styleId="CommentText">
    <w:name w:val="annotation text"/>
    <w:basedOn w:val="Normal"/>
    <w:link w:val="CommentTextChar"/>
    <w:unhideWhenUsed/>
    <w:rsid w:val="0005123C"/>
    <w:pPr>
      <w:spacing w:line="240" w:lineRule="auto"/>
    </w:pPr>
    <w:rPr>
      <w:sz w:val="20"/>
      <w:szCs w:val="20"/>
    </w:rPr>
  </w:style>
  <w:style w:type="character" w:customStyle="1" w:styleId="CommentTextChar">
    <w:name w:val="Comment Text Char"/>
    <w:basedOn w:val="DefaultParagraphFont"/>
    <w:link w:val="CommentText"/>
    <w:rsid w:val="0005123C"/>
    <w:rPr>
      <w:sz w:val="20"/>
      <w:szCs w:val="20"/>
    </w:rPr>
  </w:style>
  <w:style w:type="paragraph" w:styleId="BalloonText">
    <w:name w:val="Balloon Text"/>
    <w:basedOn w:val="Normal"/>
    <w:link w:val="BalloonTextChar"/>
    <w:uiPriority w:val="99"/>
    <w:semiHidden/>
    <w:unhideWhenUsed/>
    <w:rsid w:val="0005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3C"/>
    <w:rPr>
      <w:rFonts w:ascii="Tahoma" w:hAnsi="Tahoma" w:cs="Tahoma"/>
      <w:sz w:val="16"/>
      <w:szCs w:val="16"/>
    </w:rPr>
  </w:style>
  <w:style w:type="paragraph" w:styleId="Header">
    <w:name w:val="header"/>
    <w:basedOn w:val="Normal"/>
    <w:link w:val="HeaderChar"/>
    <w:uiPriority w:val="99"/>
    <w:unhideWhenUsed/>
    <w:rsid w:val="00BB7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A85"/>
  </w:style>
  <w:style w:type="paragraph" w:styleId="Footer">
    <w:name w:val="footer"/>
    <w:basedOn w:val="Normal"/>
    <w:link w:val="FooterChar"/>
    <w:uiPriority w:val="99"/>
    <w:unhideWhenUsed/>
    <w:rsid w:val="00BB7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A85"/>
  </w:style>
  <w:style w:type="paragraph" w:styleId="CommentSubject">
    <w:name w:val="annotation subject"/>
    <w:basedOn w:val="CommentText"/>
    <w:next w:val="CommentText"/>
    <w:link w:val="CommentSubjectChar"/>
    <w:uiPriority w:val="99"/>
    <w:semiHidden/>
    <w:unhideWhenUsed/>
    <w:rsid w:val="00F37BF2"/>
    <w:rPr>
      <w:b/>
      <w:bCs/>
    </w:rPr>
  </w:style>
  <w:style w:type="character" w:customStyle="1" w:styleId="CommentSubjectChar">
    <w:name w:val="Comment Subject Char"/>
    <w:basedOn w:val="CommentTextChar"/>
    <w:link w:val="CommentSubject"/>
    <w:uiPriority w:val="99"/>
    <w:semiHidden/>
    <w:rsid w:val="00F37BF2"/>
    <w:rPr>
      <w:b/>
      <w:bCs/>
      <w:sz w:val="20"/>
      <w:szCs w:val="20"/>
    </w:rPr>
  </w:style>
  <w:style w:type="paragraph" w:customStyle="1" w:styleId="KeyHeadDetails">
    <w:name w:val="Key_HeadDetails"/>
    <w:basedOn w:val="Normal"/>
    <w:link w:val="KeyHeadDetailsChar"/>
    <w:qFormat/>
    <w:rsid w:val="00F65272"/>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F65272"/>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F65272"/>
    <w:pPr>
      <w:tabs>
        <w:tab w:val="left" w:pos="5245"/>
      </w:tabs>
      <w:spacing w:after="0" w:line="240" w:lineRule="auto"/>
    </w:pPr>
    <w:rPr>
      <w:rFonts w:cs="Arial"/>
      <w:noProof/>
    </w:rPr>
  </w:style>
  <w:style w:type="character" w:customStyle="1" w:styleId="KeybodyChar">
    <w:name w:val="Key_body Char"/>
    <w:basedOn w:val="DefaultParagraphFont"/>
    <w:link w:val="Keybody"/>
    <w:rsid w:val="00F65272"/>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F65272"/>
    <w:rPr>
      <w:rFonts w:ascii="Source Sans Pro" w:hAnsi="Source Sans Pro"/>
    </w:rPr>
  </w:style>
  <w:style w:type="character" w:customStyle="1" w:styleId="KeySigChar">
    <w:name w:val="Key_Sig Char"/>
    <w:basedOn w:val="KeybodyChar"/>
    <w:link w:val="KeySig"/>
    <w:rsid w:val="00F65272"/>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D02CF-878C-4FC7-BC50-B392CD9CCE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AA71C7-6E28-4641-8A2B-3BD6B35E4619}">
  <ds:schemaRefs>
    <ds:schemaRef ds:uri="http://schemas.microsoft.com/sharepoint/v3/contenttype/forms"/>
  </ds:schemaRefs>
</ds:datastoreItem>
</file>

<file path=customXml/itemProps3.xml><?xml version="1.0" encoding="utf-8"?>
<ds:datastoreItem xmlns:ds="http://schemas.openxmlformats.org/officeDocument/2006/customXml" ds:itemID="{90D27471-1BB4-40EC-86AB-9CF1CB160F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2020-12-08T15:34:00Z</dcterms:created>
  <dcterms:modified xsi:type="dcterms:W3CDTF">2022-06-01T14:11:00Z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