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17A669BF" w14:textId="77777777" w:rsidR="00835A7E" w:rsidRDefault="00835A7E" w:rsidP="00102D61">
      <w:pPr>
        <w:pStyle w:val="KeyHeadDetails"/>
      </w:pPr>
    </w:p>
    <w:p w14:paraId="61B7D1DE" w14:textId="77777777" w:rsidR="00835A7E" w:rsidRDefault="00835A7E" w:rsidP="00102D61">
      <w:pPr>
        <w:pStyle w:val="KeyHeadDetails"/>
      </w:pPr>
    </w:p>
    <w:p w14:paraId="31CF0241" w14:textId="77777777" w:rsidR="00835A7E" w:rsidRDefault="00835A7E" w:rsidP="00102D61">
      <w:pPr>
        <w:pStyle w:val="KeyHeadDetails"/>
      </w:pPr>
    </w:p>
    <w:p w14:paraId="3F985267" w14:textId="63FB112E" w:rsidR="00102D61" w:rsidRPr="00C227ED" w:rsidRDefault="00102D61" w:rsidP="00102D61">
      <w:pPr>
        <w:pStyle w:val="KeyHeadDetails"/>
      </w:pPr>
      <w:r w:rsidRPr="00C227ED">
        <w:tab/>
      </w:r>
      <w:r w:rsidRPr="00C227ED">
        <w:tab/>
      </w:r>
      <w:r w:rsidRPr="00C227ED">
        <w:tab/>
      </w:r>
      <w:r w:rsidRPr="00C227ED">
        <w:tab/>
      </w:r>
    </w:p>
    <w:p w14:paraId="3A91A2EA" w14:textId="57B1E6D3" w:rsidR="00102D61" w:rsidRPr="00C227ED" w:rsidRDefault="00102D61" w:rsidP="00102D61">
      <w:pPr>
        <w:pStyle w:val="KeyHeadDetails"/>
      </w:pPr>
      <w:r w:rsidRPr="00C227ED">
        <w:t>Contact: &lt;Casework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4B7F5618"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Date||%Y-%m-%d||%d %B %Y&gt;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39BCEC74" w:rsidR="00B3351A" w:rsidRPr="00C227ED" w:rsidRDefault="00B3351A" w:rsidP="00B3351A">
      <w:pPr>
        <w:tabs>
          <w:tab w:val="left" w:pos="5245"/>
        </w:tabs>
        <w:spacing w:after="0" w:line="240" w:lineRule="auto"/>
        <w:rPr>
          <w:b/>
        </w:rPr>
      </w:pPr>
      <w:r w:rsidRPr="00C227ED">
        <w:rPr>
          <w:b/>
        </w:rPr>
        <w:t>NATIONAL PLANNING POLICY FRAMEWORK 202</w:t>
      </w:r>
      <w:r w:rsidR="00835A7E">
        <w:rPr>
          <w:b/>
        </w:rPr>
        <w:t>3</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9164BE8" w:rsidR="00B3351A" w:rsidRPr="00C90519" w:rsidRDefault="00B3351A" w:rsidP="00B3351A">
      <w:pPr>
        <w:tabs>
          <w:tab w:val="left" w:pos="5245"/>
        </w:tabs>
        <w:spacing w:after="0" w:line="240" w:lineRule="auto"/>
        <w:rPr>
          <w:rFonts w:cs="Arial"/>
          <w:i/>
          <w:iCs/>
        </w:rPr>
      </w:pPr>
      <w:r w:rsidRPr="00C90519">
        <w:rPr>
          <w:rFonts w:cs="Arial"/>
          <w:i/>
          <w:iCs/>
        </w:rPr>
        <w:t>&lt;Proposal Description||HTML||PLAIN&gt;</w:t>
      </w:r>
    </w:p>
    <w:p w14:paraId="7CFE0DBD" w14:textId="77777777" w:rsidR="00B3351A" w:rsidRPr="00C227ED" w:rsidRDefault="00B3351A" w:rsidP="00B3351A">
      <w:pPr>
        <w:tabs>
          <w:tab w:val="left" w:pos="5245"/>
        </w:tabs>
        <w:spacing w:after="0" w:line="240" w:lineRule="auto"/>
        <w:rPr>
          <w:rFonts w:cstheme="minorBidi"/>
        </w:rPr>
      </w:pPr>
    </w:p>
    <w:p w14:paraId="3962100F" w14:textId="06C6C332" w:rsidR="00B3351A" w:rsidRPr="00C227ED" w:rsidRDefault="00B3351A" w:rsidP="00B3351A">
      <w:pPr>
        <w:tabs>
          <w:tab w:val="left" w:pos="5245"/>
        </w:tabs>
        <w:spacing w:after="0" w:line="240" w:lineRule="auto"/>
        <w:rPr>
          <w:b/>
          <w:u w:val="single"/>
        </w:rPr>
      </w:pPr>
      <w:r w:rsidRPr="00C227ED">
        <w:rPr>
          <w:b/>
          <w:u w:val="single"/>
        </w:rPr>
        <w:t>Recommend Archaeological Condition</w:t>
      </w:r>
    </w:p>
    <w:p w14:paraId="020EE7CB" w14:textId="77777777" w:rsidR="00B3351A" w:rsidRPr="00C227ED" w:rsidRDefault="00B3351A" w:rsidP="00B3351A">
      <w:pPr>
        <w:tabs>
          <w:tab w:val="left" w:pos="5245"/>
        </w:tabs>
        <w:spacing w:after="0" w:line="240" w:lineRule="auto"/>
      </w:pPr>
    </w:p>
    <w:p w14:paraId="10DF1025" w14:textId="2D3091BE" w:rsidR="00B3351A" w:rsidRPr="00C227ED" w:rsidRDefault="00B3351A" w:rsidP="00B3351A">
      <w:pPr>
        <w:tabs>
          <w:tab w:val="left" w:pos="5245"/>
        </w:tabs>
        <w:spacing w:after="0" w:line="240" w:lineRule="auto"/>
      </w:pPr>
      <w:r w:rsidRPr="00C227ED">
        <w:t>Thank you for your consultation received on &lt;Log Date||%Y-%m-%d||%d %B %Y&gt;.</w:t>
      </w:r>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AF914B8" w:rsidR="00B3351A" w:rsidRPr="00C227ED" w:rsidRDefault="00B3351A" w:rsidP="00B3351A">
      <w:pPr>
        <w:tabs>
          <w:tab w:val="left" w:pos="5245"/>
        </w:tabs>
        <w:spacing w:after="0" w:line="240" w:lineRule="auto"/>
      </w:pPr>
      <w:r w:rsidRPr="00C227ED">
        <w:t xml:space="preserve">NPPF Section 16 and the London Plan (2021 Policy HC1) recognise the positive contribution of heritage assets of all kinds and make the conservation of archaeological interest a material planning consideration.  NPPF paragraph </w:t>
      </w:r>
      <w:r w:rsidR="00835A7E">
        <w:t>200</w:t>
      </w:r>
      <w:r w:rsidRPr="00C227ED">
        <w:t xml:space="preserve"> says applicants should provide an </w:t>
      </w:r>
      <w:r w:rsidRPr="00C227ED">
        <w:lastRenderedPageBreak/>
        <w:t xml:space="preserve">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56830C9E" w:rsidR="00B3351A" w:rsidRPr="00C227ED" w:rsidRDefault="00B3351A" w:rsidP="00B3351A">
      <w:pPr>
        <w:tabs>
          <w:tab w:val="left" w:pos="5245"/>
        </w:tabs>
        <w:spacing w:after="0" w:line="240" w:lineRule="auto"/>
      </w:pPr>
      <w:r w:rsidRPr="00C227ED">
        <w:t xml:space="preserve">NPPF paragraphs </w:t>
      </w:r>
      <w:r w:rsidR="00835A7E">
        <w:t>195</w:t>
      </w:r>
      <w:r w:rsidRPr="00C227ED">
        <w:t xml:space="preserve"> and </w:t>
      </w:r>
      <w:r w:rsidR="00835A7E">
        <w:t>203</w:t>
      </w:r>
      <w:r w:rsidRPr="00C227ED">
        <w:t xml:space="preserve">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6D4700A8" w:rsidR="00B3351A" w:rsidRPr="00C227ED" w:rsidRDefault="00B3351A" w:rsidP="00B3351A">
      <w:pPr>
        <w:tabs>
          <w:tab w:val="left" w:pos="5245"/>
        </w:tabs>
        <w:spacing w:after="0" w:line="240" w:lineRule="auto"/>
      </w:pPr>
      <w:r w:rsidRPr="00C227ED">
        <w:t xml:space="preserve">If planning consent is granted, paragraph </w:t>
      </w:r>
      <w:r w:rsidR="00835A7E">
        <w:t>211</w:t>
      </w:r>
      <w:r w:rsidRPr="00C227ED">
        <w:t xml:space="preserve">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 xml:space="preserve">This Initial Pre-application advice relates solely to archaeological considerations, is provided without prejudice to the local authority’s decision-making </w:t>
      </w:r>
      <w:proofErr w:type="gramStart"/>
      <w:r w:rsidRPr="00C227ED">
        <w:t>role, and</w:t>
      </w:r>
      <w:proofErr w:type="gramEnd"/>
      <w:r w:rsidRPr="00C227ED">
        <w:t xml:space="preserve">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560455" w:rsidRDefault="00B3351A" w:rsidP="00B3351A">
      <w:pPr>
        <w:tabs>
          <w:tab w:val="left" w:pos="5245"/>
        </w:tabs>
        <w:spacing w:after="0" w:line="240" w:lineRule="auto"/>
        <w:rPr>
          <w:b/>
          <w:bCs/>
        </w:rPr>
      </w:pPr>
      <w:r w:rsidRPr="00560455">
        <w:rPr>
          <w:b/>
          <w:bCs/>
        </w:rPr>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lastRenderedPageBreak/>
        <w:t xml:space="preserve">London and </w:t>
      </w:r>
      <w:proofErr w:type="gramStart"/>
      <w:r w:rsidRPr="00C227ED">
        <w:t>South East</w:t>
      </w:r>
      <w:proofErr w:type="gramEnd"/>
      <w:r w:rsidRPr="00C227ED">
        <w:t xml:space="preserve"> Region</w:t>
      </w:r>
    </w:p>
    <w:sectPr w:rsidR="00852A81" w:rsidRPr="00C227ED"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2F39" w14:textId="77777777" w:rsidR="009A5A3C" w:rsidRDefault="009A5A3C" w:rsidP="00E4693D">
      <w:pPr>
        <w:spacing w:after="0" w:line="240" w:lineRule="auto"/>
      </w:pPr>
      <w:r>
        <w:separator/>
      </w:r>
    </w:p>
  </w:endnote>
  <w:endnote w:type="continuationSeparator" w:id="0">
    <w:p w14:paraId="4673E987" w14:textId="77777777" w:rsidR="009A5A3C" w:rsidRDefault="009A5A3C"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569291BD" w:rsidR="00E4693D" w:rsidRPr="006B0A48" w:rsidRDefault="00E4693D" w:rsidP="000E2876">
          <w:pPr>
            <w:tabs>
              <w:tab w:val="center" w:pos="4153"/>
              <w:tab w:val="right" w:pos="8306"/>
            </w:tabs>
            <w:jc w:val="right"/>
            <w:rPr>
              <w:sz w:val="21"/>
            </w:rPr>
          </w:pP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3439" w14:textId="77777777" w:rsidR="009A5A3C" w:rsidRDefault="009A5A3C" w:rsidP="00E4693D">
      <w:pPr>
        <w:spacing w:after="0" w:line="240" w:lineRule="auto"/>
      </w:pPr>
      <w:r>
        <w:separator/>
      </w:r>
    </w:p>
  </w:footnote>
  <w:footnote w:type="continuationSeparator" w:id="0">
    <w:p w14:paraId="0311FD05" w14:textId="77777777" w:rsidR="009A5A3C" w:rsidRDefault="009A5A3C"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63FBB"/>
    <w:rsid w:val="00181501"/>
    <w:rsid w:val="00190C16"/>
    <w:rsid w:val="00234CE8"/>
    <w:rsid w:val="002510DE"/>
    <w:rsid w:val="00266BD9"/>
    <w:rsid w:val="00337186"/>
    <w:rsid w:val="00343D1B"/>
    <w:rsid w:val="003535E4"/>
    <w:rsid w:val="003E4DB6"/>
    <w:rsid w:val="004158FF"/>
    <w:rsid w:val="00433864"/>
    <w:rsid w:val="00436959"/>
    <w:rsid w:val="004801BB"/>
    <w:rsid w:val="00492C44"/>
    <w:rsid w:val="004E5E4E"/>
    <w:rsid w:val="0050577C"/>
    <w:rsid w:val="00560455"/>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35A7E"/>
    <w:rsid w:val="00847A38"/>
    <w:rsid w:val="00852A81"/>
    <w:rsid w:val="00880216"/>
    <w:rsid w:val="00885B50"/>
    <w:rsid w:val="008C20B3"/>
    <w:rsid w:val="008C32B8"/>
    <w:rsid w:val="008C3600"/>
    <w:rsid w:val="008E6E6E"/>
    <w:rsid w:val="008E7A3B"/>
    <w:rsid w:val="009109E9"/>
    <w:rsid w:val="0095524B"/>
    <w:rsid w:val="009736BB"/>
    <w:rsid w:val="009A5A3C"/>
    <w:rsid w:val="009C6100"/>
    <w:rsid w:val="009F7C15"/>
    <w:rsid w:val="00A0603B"/>
    <w:rsid w:val="00A71883"/>
    <w:rsid w:val="00AD0B25"/>
    <w:rsid w:val="00B174DD"/>
    <w:rsid w:val="00B3351A"/>
    <w:rsid w:val="00B72BBF"/>
    <w:rsid w:val="00B80718"/>
    <w:rsid w:val="00BE6FC8"/>
    <w:rsid w:val="00BF6D9D"/>
    <w:rsid w:val="00C227ED"/>
    <w:rsid w:val="00C90519"/>
    <w:rsid w:val="00C92565"/>
    <w:rsid w:val="00CE50A6"/>
    <w:rsid w:val="00D0602A"/>
    <w:rsid w:val="00D76654"/>
    <w:rsid w:val="00D83D84"/>
    <w:rsid w:val="00D96ADC"/>
    <w:rsid w:val="00DC59C1"/>
    <w:rsid w:val="00DF312C"/>
    <w:rsid w:val="00E06437"/>
    <w:rsid w:val="00E06CE9"/>
    <w:rsid w:val="00E34C57"/>
    <w:rsid w:val="00E4693D"/>
    <w:rsid w:val="00E92158"/>
    <w:rsid w:val="00E95A60"/>
    <w:rsid w:val="00EB1882"/>
    <w:rsid w:val="00EF6F7D"/>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customXml/itemProps3.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4.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2024-06-24T09:42:00Z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