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FB6665">
        <w:fldChar w:fldCharType="begin"/>
      </w:r>
      <w:r w:rsidR="00FB6665">
        <w:instrText xml:space="preserve"> DOCPROPERTY  Version  \* MERGEFORMAT </w:instrText>
      </w:r>
      <w:r w:rsidR="00FB6665">
        <w:fldChar w:fldCharType="separate"/>
      </w:r>
      <w:r w:rsidR="00883FF5" w:rsidRPr="00FF6990">
        <w:t>1.</w:t>
      </w:r>
      <w:r w:rsidR="00FD30A9">
        <w:t>0</w:t>
      </w:r>
      <w:r w:rsidR="00FB6665">
        <w:fldChar w:fldCharType="end"/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83FF5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sz w:val="28"/>
          <w:lang w:val="fr-FR"/>
        </w:rPr>
        <w:fldChar w:fldCharType="begin"/>
      </w:r>
      <w:r w:rsidRPr="00FF6990">
        <w:rPr>
          <w:sz w:val="28"/>
          <w:lang w:val="fr-FR"/>
        </w:rPr>
        <w:instrText xml:space="preserve"> DOCPROPERTY  Date  \* MERGEFORMAT </w:instrText>
      </w:r>
      <w:r w:rsidRPr="00FF6990">
        <w:rPr>
          <w:sz w:val="28"/>
          <w:lang w:val="fr-FR"/>
        </w:rPr>
        <w:fldChar w:fldCharType="separate"/>
      </w:r>
      <w:r w:rsidR="00FD30A9">
        <w:rPr>
          <w:sz w:val="28"/>
          <w:lang w:val="fr-FR"/>
        </w:rPr>
        <w:t>31</w:t>
      </w:r>
      <w:r w:rsidRPr="00FF6990">
        <w:rPr>
          <w:sz w:val="28"/>
          <w:lang w:val="fr-FR"/>
        </w:rPr>
        <w:t>/03/201</w:t>
      </w:r>
      <w:r w:rsidR="00FD30A9">
        <w:rPr>
          <w:sz w:val="28"/>
          <w:lang w:val="fr-FR"/>
        </w:rPr>
        <w:t>5</w:t>
      </w:r>
      <w:r w:rsidRPr="00FF6990">
        <w:rPr>
          <w:sz w:val="28"/>
          <w:lang w:val="fr-FR"/>
        </w:rPr>
        <w:fldChar w:fldCharType="end"/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E76127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E76127" w:rsidRPr="00AA3974">
        <w:rPr>
          <w:noProof/>
          <w:lang w:val="fr-FR"/>
        </w:rPr>
        <w:t>1</w:t>
      </w:r>
      <w:r w:rsidR="00E76127">
        <w:rPr>
          <w:b w:val="0"/>
          <w:noProof/>
          <w:sz w:val="22"/>
          <w:lang w:val="fr-FR" w:eastAsia="fr-FR" w:bidi="ar-SA"/>
        </w:rPr>
        <w:tab/>
      </w:r>
      <w:r w:rsidR="00E76127" w:rsidRPr="00AA3974">
        <w:rPr>
          <w:noProof/>
          <w:lang w:val="fr-FR"/>
        </w:rPr>
        <w:t>Introduction</w:t>
      </w:r>
      <w:r w:rsidR="00E76127" w:rsidRPr="000C27A2">
        <w:rPr>
          <w:noProof/>
          <w:lang w:val="fr-FR"/>
        </w:rPr>
        <w:tab/>
      </w:r>
      <w:r w:rsidR="00E76127">
        <w:rPr>
          <w:noProof/>
        </w:rPr>
        <w:fldChar w:fldCharType="begin"/>
      </w:r>
      <w:r w:rsidR="00E76127" w:rsidRPr="000C27A2">
        <w:rPr>
          <w:noProof/>
          <w:lang w:val="fr-FR"/>
        </w:rPr>
        <w:instrText xml:space="preserve"> PAGEREF _Toc415584129 \h </w:instrText>
      </w:r>
      <w:r w:rsidR="00E76127">
        <w:rPr>
          <w:noProof/>
        </w:rPr>
      </w:r>
      <w:r w:rsidR="00E76127">
        <w:rPr>
          <w:noProof/>
        </w:rPr>
        <w:fldChar w:fldCharType="separate"/>
      </w:r>
      <w:r w:rsidR="00E76127" w:rsidRPr="000C27A2">
        <w:rPr>
          <w:noProof/>
          <w:lang w:val="fr-FR"/>
        </w:rPr>
        <w:t>4</w:t>
      </w:r>
      <w:r w:rsidR="00E76127"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Mission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Objectifs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_Toc415584131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1.3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Glossaire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_Toc415584132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0C27A2">
        <w:rPr>
          <w:noProof/>
          <w:lang w:val="fr-FR"/>
        </w:rPr>
        <w:t>2</w:t>
      </w:r>
      <w:r>
        <w:rPr>
          <w:b w:val="0"/>
          <w:noProof/>
          <w:sz w:val="22"/>
          <w:lang w:val="fr-FR" w:eastAsia="fr-FR" w:bidi="ar-SA"/>
        </w:rPr>
        <w:tab/>
      </w:r>
      <w:r w:rsidRPr="000C27A2">
        <w:rPr>
          <w:noProof/>
          <w:lang w:val="fr-FR"/>
        </w:rPr>
        <w:t>Description générale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_Toc415584133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Acteurs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_Toc415584134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_Toc415584135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3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_Toc415584136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Carte de navigation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_Toc415584137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Détails des 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_Toc415584138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4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non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_Toc415584139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Contraintes de conception et d’implémentation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_Toc415584140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F339B" w:rsidRPr="00FF6990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2F339B" w:rsidRPr="00FF6990" w:rsidRDefault="002F339B" w:rsidP="002F339B">
      <w:pPr>
        <w:rPr>
          <w:lang w:val="fr-FR"/>
        </w:rPr>
        <w:sectPr w:rsidR="002F339B" w:rsidRPr="00FF6990">
          <w:pgSz w:w="11906" w:h="16838"/>
          <w:pgMar w:top="1134" w:right="1418" w:bottom="1134" w:left="1418" w:header="567" w:footer="567" w:gutter="0"/>
          <w:cols w:space="720"/>
        </w:sectPr>
      </w:pPr>
    </w:p>
    <w:p w:rsidR="00376E83" w:rsidRPr="00FF6990" w:rsidRDefault="00376E83" w:rsidP="00BD5C6E">
      <w:pPr>
        <w:pStyle w:val="Commentaires"/>
      </w:pPr>
      <w:r w:rsidRPr="00FF6990">
        <w:lastRenderedPageBreak/>
        <w:t xml:space="preserve">Les spécifications </w:t>
      </w:r>
      <w:r w:rsidR="001B050F">
        <w:t>sont</w:t>
      </w:r>
      <w:r w:rsidR="008C6BBA" w:rsidRPr="00FF6990">
        <w:t xml:space="preserve"> à la base de l’accord entre le client et </w:t>
      </w:r>
      <w:r w:rsidR="00BD653B" w:rsidRPr="00FF6990">
        <w:t>l’équipe réalisatrice sur ce que le système devra faire et ce qu’il ne devra pas faire.</w:t>
      </w:r>
    </w:p>
    <w:p w:rsidR="00665F15" w:rsidRPr="00FF6990" w:rsidRDefault="00D27B15" w:rsidP="00BD5C6E">
      <w:pPr>
        <w:pStyle w:val="Commentaires"/>
      </w:pPr>
      <w:r w:rsidRPr="00FF6990">
        <w:t>C</w:t>
      </w:r>
      <w:r w:rsidR="00665F15" w:rsidRPr="00FF6990">
        <w:t>e document est adapté à une description des fonctionnalités s</w:t>
      </w:r>
      <w:r w:rsidRPr="00FF6990">
        <w:t>ous for</w:t>
      </w:r>
      <w:r w:rsidR="00665F15" w:rsidRPr="00FF6990">
        <w:t>m</w:t>
      </w:r>
      <w:r w:rsidRPr="00FF6990">
        <w:t>e d</w:t>
      </w:r>
      <w:r w:rsidR="00665F15" w:rsidRPr="00FF6990">
        <w:t>e</w:t>
      </w:r>
      <w:r w:rsidRPr="00FF6990">
        <w:t xml:space="preserve"> c</w:t>
      </w:r>
      <w:r w:rsidR="00665F15" w:rsidRPr="00FF6990">
        <w:t>as d’utilisation.</w:t>
      </w:r>
    </w:p>
    <w:p w:rsidR="009D32B7" w:rsidRDefault="009D32B7" w:rsidP="009D32B7">
      <w:pPr>
        <w:pStyle w:val="Commentaires"/>
      </w:pPr>
      <w:r w:rsidRPr="00FF6990">
        <w:t>Critères d’évaluations lors de l’avant-projet</w:t>
      </w:r>
      <w:r>
        <w:t xml:space="preserve"> ou avant chaque début d’itération (*)</w:t>
      </w:r>
      <w:r w:rsidRPr="00FF6990">
        <w:t> :</w:t>
      </w:r>
    </w:p>
    <w:p w:rsidR="009D32B7" w:rsidRDefault="009D32B7" w:rsidP="009D32B7">
      <w:pPr>
        <w:pStyle w:val="Commentaires"/>
      </w:pPr>
      <w:r>
        <w:t>Spécifications fonctionnelles :</w:t>
      </w:r>
    </w:p>
    <w:p w:rsidR="009D32B7" w:rsidRPr="00851E7D" w:rsidRDefault="009D32B7" w:rsidP="009D32B7">
      <w:pPr>
        <w:pStyle w:val="Commentaires"/>
        <w:numPr>
          <w:ilvl w:val="0"/>
          <w:numId w:val="40"/>
        </w:numPr>
      </w:pPr>
      <w:r w:rsidRPr="00851E7D">
        <w:t>Les acteurs (visiteur, administrateur, …) sont identifiés</w:t>
      </w:r>
    </w:p>
    <w:p w:rsidR="009D32B7" w:rsidRPr="00851E7D" w:rsidRDefault="009D32B7" w:rsidP="009D32B7">
      <w:pPr>
        <w:pStyle w:val="Commentaires"/>
        <w:numPr>
          <w:ilvl w:val="0"/>
          <w:numId w:val="40"/>
        </w:numPr>
      </w:pPr>
      <w:r w:rsidRPr="00851E7D">
        <w:t>Les cas d’utilisations sont listés</w:t>
      </w:r>
    </w:p>
    <w:p w:rsidR="009D32B7" w:rsidRPr="00851E7D" w:rsidRDefault="009D32B7" w:rsidP="009D32B7">
      <w:pPr>
        <w:pStyle w:val="Commentaires"/>
        <w:numPr>
          <w:ilvl w:val="0"/>
          <w:numId w:val="40"/>
        </w:numPr>
      </w:pPr>
      <w:r w:rsidRPr="00851E7D">
        <w:t>Les cas d’utilisations ont été détaillés  + maquette (**</w:t>
      </w:r>
      <w:r w:rsidR="009C5E6A">
        <w:t>)</w:t>
      </w:r>
    </w:p>
    <w:p w:rsidR="009D32B7" w:rsidRPr="00851E7D" w:rsidRDefault="009D32B7" w:rsidP="009D32B7">
      <w:pPr>
        <w:pStyle w:val="Commentaires"/>
        <w:numPr>
          <w:ilvl w:val="0"/>
          <w:numId w:val="40"/>
        </w:numPr>
      </w:pPr>
      <w:r w:rsidRPr="00851E7D">
        <w:t>La carte de navigation du logiciel est présente (*</w:t>
      </w:r>
      <w:r w:rsidR="009C5E6A">
        <w:t>)</w:t>
      </w:r>
    </w:p>
    <w:p w:rsidR="009D32B7" w:rsidRPr="008C7514" w:rsidRDefault="009D32B7" w:rsidP="009D32B7">
      <w:pPr>
        <w:pStyle w:val="Commentaires"/>
      </w:pPr>
      <w:r>
        <w:t>Spécifications non-fonctionnelles</w:t>
      </w:r>
    </w:p>
    <w:p w:rsidR="009D32B7" w:rsidRPr="00851E7D" w:rsidRDefault="009D32B7" w:rsidP="009D32B7">
      <w:pPr>
        <w:pStyle w:val="Commentaires"/>
        <w:numPr>
          <w:ilvl w:val="0"/>
          <w:numId w:val="40"/>
        </w:numPr>
      </w:pPr>
      <w:r w:rsidRPr="00851E7D">
        <w:t>Les contraintes de conception et d’implémentation ont été listées</w:t>
      </w:r>
    </w:p>
    <w:p w:rsidR="009D32B7" w:rsidRDefault="00E76127" w:rsidP="009D32B7">
      <w:pPr>
        <w:pStyle w:val="Commentaires"/>
      </w:pPr>
      <w:r>
        <w:t xml:space="preserve"> </w:t>
      </w:r>
      <w:r w:rsidR="009D32B7">
        <w:t>(*) D</w:t>
      </w:r>
      <w:r w:rsidR="009D32B7" w:rsidRPr="001B050F">
        <w:t>ans le cas d’un processus itératif, les spécifications détaillées</w:t>
      </w:r>
      <w:r w:rsidR="009D32B7">
        <w:t xml:space="preserve"> (paragraphe 3) peuvent concerner l’itération courante ou plusieurs itérations</w:t>
      </w:r>
    </w:p>
    <w:p w:rsidR="009D32B7" w:rsidRPr="00C62533" w:rsidRDefault="009D32B7" w:rsidP="009D32B7">
      <w:pPr>
        <w:rPr>
          <w:lang w:val="fr-FR"/>
        </w:rPr>
      </w:pPr>
      <w:r w:rsidRPr="00C62533">
        <w:rPr>
          <w:lang w:val="fr-FR"/>
        </w:rPr>
        <w:t xml:space="preserve"> </w:t>
      </w:r>
      <w:r w:rsidRPr="008631D5">
        <w:rPr>
          <w:iCs/>
          <w:color w:val="0000FF"/>
          <w:sz w:val="20"/>
          <w:lang w:val="fr-FR"/>
        </w:rPr>
        <w:t>(**) Dans le cas d’un processus itératif, les spécifications détaillées sont validés par le client à chaque début d’itération</w:t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15584129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15584130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D77216" w:rsidRPr="00D77216" w:rsidRDefault="00D77216" w:rsidP="00D77216">
      <w:pPr>
        <w:rPr>
          <w:lang w:val="fr-FR"/>
        </w:rPr>
      </w:pPr>
      <w:r w:rsidRPr="00D77216">
        <w:rPr>
          <w:lang w:val="fr-FR"/>
        </w:rPr>
        <w:t>Proposer et développer un jeu en 2D isométrique à caractère pédagogique sur le thème de l’histoire.</w:t>
      </w:r>
    </w:p>
    <w:p w:rsidR="00376E83" w:rsidRPr="00FF6990" w:rsidRDefault="00376E83" w:rsidP="002F339B">
      <w:pPr>
        <w:pStyle w:val="Corpsdetexte"/>
        <w:rPr>
          <w:lang w:val="fr-FR"/>
        </w:rPr>
      </w:pP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15584131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1 – Mettre au point une interface claire et attrayante. 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2 – Définir trois thèmes contenant quatre sous-parties.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3 -  Recherche historique afin de l’intégrer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4 –  Mettre en place le gameplay.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indépendant.</w:t>
      </w:r>
    </w:p>
    <w:p w:rsidR="00376E83" w:rsidRDefault="00376E83" w:rsidP="002F339B">
      <w:pPr>
        <w:pStyle w:val="Corpsdetexte"/>
        <w:rPr>
          <w:lang w:val="fr-FR"/>
        </w:rPr>
      </w:pPr>
    </w:p>
    <w:p w:rsidR="00525CB5" w:rsidRDefault="00525CB5" w:rsidP="002F339B">
      <w:pPr>
        <w:pStyle w:val="Corpsdetexte"/>
        <w:rPr>
          <w:lang w:val="fr-FR"/>
        </w:rPr>
      </w:pPr>
    </w:p>
    <w:p w:rsidR="00525CB5" w:rsidRDefault="00525CB5" w:rsidP="002F339B">
      <w:pPr>
        <w:pStyle w:val="Corpsdetexte"/>
        <w:rPr>
          <w:lang w:val="fr-FR"/>
        </w:rPr>
      </w:pP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15584132"/>
      <w:r w:rsidRPr="00FF6990">
        <w:rPr>
          <w:lang w:val="fr-FR"/>
        </w:rPr>
        <w:lastRenderedPageBreak/>
        <w:t>Glossaire</w:t>
      </w:r>
      <w:bookmarkEnd w:id="3"/>
    </w:p>
    <w:p w:rsidR="002F339B" w:rsidRPr="00FF6990" w:rsidRDefault="002F339B" w:rsidP="00BD5C6E">
      <w:pPr>
        <w:pStyle w:val="Commentaires"/>
      </w:pPr>
      <w:r w:rsidRPr="00FF6990">
        <w:t>Définir les termes propres au domaine de l'application, les sigles et les abréviations, les termes techniques nécessaires à une bonne compréhension et interprétation du document</w:t>
      </w:r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Pr="00525CB5" w:rsidRDefault="00525CB5" w:rsidP="00525CB5">
      <w:pPr>
        <w:rPr>
          <w:lang w:val="fr-FR" w:eastAsia="x-none" w:bidi="ar-SA"/>
        </w:rPr>
      </w:pPr>
    </w:p>
    <w:p w:rsidR="00D378AF" w:rsidRDefault="00525CB5" w:rsidP="00D378AF">
      <w:pPr>
        <w:rPr>
          <w:lang w:val="fr-FR"/>
        </w:rPr>
      </w:pPr>
      <w:r>
        <w:rPr>
          <w:lang w:val="fr-FR"/>
        </w:rPr>
        <w:t xml:space="preserve">Nous n’avons aucuns termes concernant le domaine. </w:t>
      </w:r>
    </w:p>
    <w:p w:rsidR="00525CB5" w:rsidRPr="00FF6990" w:rsidRDefault="00525CB5" w:rsidP="00D378AF">
      <w:pPr>
        <w:rPr>
          <w:lang w:val="fr-FR"/>
        </w:rPr>
      </w:pPr>
    </w:p>
    <w:p w:rsidR="002F339B" w:rsidRDefault="002F339B" w:rsidP="00D378AF">
      <w:pPr>
        <w:pStyle w:val="Titre3"/>
      </w:pPr>
      <w:r w:rsidRPr="00FF6990"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Pr="00525CB5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D76824" w:rsidRPr="00FF6990" w:rsidRDefault="00E76127" w:rsidP="00E76127">
      <w:pPr>
        <w:pStyle w:val="Titre1"/>
      </w:pPr>
      <w:r>
        <w:br w:type="page"/>
      </w:r>
      <w:bookmarkStart w:id="4" w:name="_Toc204692624"/>
      <w:bookmarkStart w:id="5" w:name="_Toc415584133"/>
      <w:r w:rsidR="00D76824" w:rsidRPr="00FF6990">
        <w:lastRenderedPageBreak/>
        <w:t>Description générale</w:t>
      </w:r>
      <w:bookmarkEnd w:id="4"/>
      <w:bookmarkEnd w:id="5"/>
    </w:p>
    <w:p w:rsidR="00665F15" w:rsidRPr="00FF6990" w:rsidRDefault="00665F15" w:rsidP="00D378AF">
      <w:pPr>
        <w:pStyle w:val="Titre2"/>
        <w:rPr>
          <w:lang w:val="fr-FR"/>
        </w:rPr>
      </w:pPr>
      <w:bookmarkStart w:id="6" w:name="_Toc415584134"/>
      <w:bookmarkStart w:id="7" w:name="_Toc204692626"/>
      <w:r w:rsidRPr="00FF6990">
        <w:rPr>
          <w:lang w:val="fr-FR"/>
        </w:rPr>
        <w:t>Acteurs</w:t>
      </w:r>
      <w:bookmarkEnd w:id="6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4C7855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4C7855" w:rsidRDefault="00D27B15" w:rsidP="00665F15"/>
    <w:p w:rsidR="00B7064C" w:rsidRDefault="00BD5C6E" w:rsidP="00D378AF">
      <w:pPr>
        <w:pStyle w:val="Titre2"/>
      </w:pPr>
      <w:bookmarkStart w:id="8" w:name="_Toc415584135"/>
      <w:bookmarkEnd w:id="7"/>
      <w:r w:rsidRPr="004C7855">
        <w:t>C</w:t>
      </w:r>
      <w:r w:rsidR="00D27B15" w:rsidRPr="004C7855">
        <w:t>as d’utilisations</w:t>
      </w:r>
      <w:bookmarkEnd w:id="8"/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Nous n’</w:t>
      </w:r>
      <w:r w:rsidR="00A0589C">
        <w:rPr>
          <w:lang w:val="fr-FR" w:eastAsia="x-none" w:bidi="ar-SA"/>
        </w:rPr>
        <w:t>avons</w:t>
      </w:r>
      <w:r>
        <w:rPr>
          <w:lang w:val="fr-FR" w:eastAsia="x-none" w:bidi="ar-SA"/>
        </w:rPr>
        <w:t xml:space="preserve"> pas de cas d’utilisation dans le cadre notre projet, celui-ci étant un jeu accessible au plus jeune.</w:t>
      </w:r>
    </w:p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9" w:name="OLE_LINK2"/>
      <w:bookmarkStart w:id="10" w:name="OLE_LINK3"/>
    </w:p>
    <w:bookmarkEnd w:id="9"/>
    <w:bookmarkEnd w:id="10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BD5C6E" w:rsidRPr="00FF6990" w:rsidRDefault="004C7855" w:rsidP="00BD5C6E">
      <w:pPr>
        <w:rPr>
          <w:lang w:val="fr-FR"/>
        </w:rPr>
      </w:pPr>
      <w:r>
        <w:rPr>
          <w:lang w:val="fr-FR"/>
        </w:rPr>
        <w:t>N/A</w:t>
      </w:r>
    </w:p>
    <w:p w:rsidR="00BD5C6E" w:rsidRPr="00FF6990" w:rsidRDefault="00BD5C6E" w:rsidP="00B7064C">
      <w:pPr>
        <w:rPr>
          <w:lang w:val="fr-FR"/>
        </w:rPr>
      </w:pP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15584136"/>
      <w:r w:rsidR="00BC23CA" w:rsidRPr="00FF6990">
        <w:rPr>
          <w:lang w:val="fr-FR"/>
        </w:rPr>
        <w:t>Spécifications fonctionnelles</w:t>
      </w:r>
      <w:bookmarkEnd w:id="11"/>
    </w:p>
    <w:p w:rsidR="00FF6990" w:rsidRP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15584137"/>
      <w:r w:rsidRPr="00FF6990">
        <w:rPr>
          <w:lang w:val="fr-FR"/>
        </w:rPr>
        <w:t>Carte de navigation</w:t>
      </w:r>
      <w:bookmarkEnd w:id="12"/>
      <w:bookmarkEnd w:id="13"/>
    </w:p>
    <w:p w:rsidR="00FF6990" w:rsidRPr="00FF6990" w:rsidRDefault="00FF6990" w:rsidP="00FF6990">
      <w:pPr>
        <w:pStyle w:val="Commentaires"/>
      </w:pPr>
      <w:r w:rsidRPr="00FF6990"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 w:rsidR="00FF6990" w:rsidRPr="00FF6990" w:rsidRDefault="00FF6990" w:rsidP="00312D2A">
      <w:pPr>
        <w:pStyle w:val="Commentaires"/>
        <w:rPr>
          <w:lang w:val="fr-FR"/>
        </w:rPr>
      </w:pPr>
      <w:r w:rsidRPr="00FF6990">
        <w:t>Un diagramme de navigation peut être représenté grâce à un diagramme d’activité</w:t>
      </w:r>
    </w:p>
    <w:p w:rsidR="00FF6990" w:rsidRDefault="00FF6990" w:rsidP="00FF6990">
      <w:pPr>
        <w:pStyle w:val="Titre2"/>
        <w:rPr>
          <w:lang w:val="fr-FR"/>
        </w:rPr>
      </w:pPr>
      <w:bookmarkStart w:id="14" w:name="_Toc415584138"/>
      <w:r w:rsidRPr="00FF6990">
        <w:rPr>
          <w:lang w:val="fr-FR"/>
        </w:rPr>
        <w:t>Détails des cas d’utilisations</w:t>
      </w:r>
      <w:bookmarkEnd w:id="14"/>
    </w:p>
    <w:p w:rsidR="00A211D4" w:rsidRPr="006D507B" w:rsidRDefault="004D21D1" w:rsidP="00A211D4">
      <w:pPr>
        <w:rPr>
          <w:lang w:val="fr-FR" w:eastAsia="x-none" w:bidi="ar-SA"/>
        </w:rPr>
      </w:pPr>
      <w:r>
        <w:rPr>
          <w:lang w:val="fr-FR" w:eastAsia="x-none" w:bidi="ar-SA"/>
        </w:rPr>
        <w:t>Comme indiqué précedement notre projet n’a pas de cas d’utilisation.</w:t>
      </w:r>
      <w:bookmarkStart w:id="15" w:name="_Toc415584139"/>
      <w:bookmarkStart w:id="16" w:name="_GoBack"/>
      <w:bookmarkEnd w:id="16"/>
    </w:p>
    <w:p w:rsidR="00BC23CA" w:rsidRPr="00FF6990" w:rsidRDefault="00BC23CA" w:rsidP="004D21D1">
      <w:pPr>
        <w:pStyle w:val="Titre1"/>
      </w:pPr>
      <w:r w:rsidRPr="00FF6990">
        <w:t>Spécifications non fonctionnelles</w:t>
      </w:r>
      <w:bookmarkEnd w:id="15"/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29"/>
      <w:bookmarkStart w:id="18" w:name="_Toc415584140"/>
      <w:r w:rsidRPr="00FF6990">
        <w:rPr>
          <w:lang w:val="fr-FR"/>
        </w:rPr>
        <w:t>Contraintes de conception et d’implémentation</w:t>
      </w:r>
      <w:bookmarkEnd w:id="17"/>
      <w:bookmarkEnd w:id="18"/>
    </w:p>
    <w:p w:rsidR="00AA3C2F" w:rsidRPr="00FF6990" w:rsidRDefault="00AA3C2F" w:rsidP="00AA3C2F">
      <w:pPr>
        <w:pStyle w:val="Commentaires"/>
      </w:pPr>
      <w:r w:rsidRPr="00FF6990">
        <w:t>Décrire tous les facteurs qui vont restreindre la liberté des concepteurs, donner la raison de chaque contrainte</w:t>
      </w:r>
    </w:p>
    <w:p w:rsidR="00AA3C2F" w:rsidRPr="00FF6990" w:rsidRDefault="00AA3C2F" w:rsidP="00AA3C2F">
      <w:pPr>
        <w:pStyle w:val="Commentaires"/>
      </w:pPr>
      <w:r w:rsidRPr="00FF6990">
        <w:t xml:space="preserve">Types de contraintes : 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Technologies, outils, langages de programmation, bases de données, spécifiques imposées ou interdites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Restriction sur la version du système d’exploitation ou du navigateur Web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Règles ou conventions imposées dans l’entreprise : structure de la documentation technique destinée à une future maintenance par exemple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Compatibilité avec des produits plus anciens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Limitations imposées par les règles du métier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Limitations liées au matériel disponible : temps de réponse, taille mémoire, vitesse du processeur, taille, poids, matériaux, coûts</w:t>
      </w:r>
    </w:p>
    <w:p w:rsidR="00AA3C2F" w:rsidRPr="00FF6990" w:rsidRDefault="00AA3C2F" w:rsidP="00AA3C2F">
      <w:pPr>
        <w:pStyle w:val="Commentaires"/>
        <w:numPr>
          <w:ilvl w:val="0"/>
          <w:numId w:val="25"/>
        </w:numPr>
      </w:pPr>
      <w:r w:rsidRPr="00FF6990">
        <w:t>Conventions liées à l’interface utilisateur, lors d’une extension par exemple</w:t>
      </w:r>
    </w:p>
    <w:p w:rsidR="00AA3C2F" w:rsidRDefault="00AA3C2F" w:rsidP="00AA3C2F">
      <w:pPr>
        <w:pStyle w:val="Commentaires"/>
        <w:numPr>
          <w:ilvl w:val="0"/>
          <w:numId w:val="25"/>
        </w:numPr>
      </w:pPr>
      <w:r w:rsidRPr="00FF6990">
        <w:t>Format standards d’échange d</w:t>
      </w:r>
      <w:r w:rsidR="006F499B">
        <w:t>’information : XML par exemple</w:t>
      </w:r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 de contrainte technique, nous allons concevoir notre jeu à l’aide de Windows Forms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2C5292" w:rsidRPr="002C5292" w:rsidRDefault="002C5292" w:rsidP="002C5292">
      <w:pPr>
        <w:pStyle w:val="Commentaires"/>
        <w:rPr>
          <w:lang w:val="fr-FR"/>
        </w:rPr>
      </w:pP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9" w:name="_Toc204692630"/>
      <w:bookmarkStart w:id="20" w:name="_Toc415584141"/>
      <w:r w:rsidRPr="00FF6990">
        <w:rPr>
          <w:lang w:val="fr-FR"/>
        </w:rPr>
        <w:t>Documentation utilisateur</w:t>
      </w:r>
      <w:bookmarkEnd w:id="19"/>
      <w:bookmarkEnd w:id="20"/>
    </w:p>
    <w:p w:rsidR="00AA3C2F" w:rsidRPr="00FF6990" w:rsidRDefault="00AA3C2F" w:rsidP="00AA3C2F">
      <w:pPr>
        <w:pStyle w:val="Commentaires"/>
      </w:pPr>
      <w:r w:rsidRPr="00FF6990">
        <w:t>Lister les composants de la documentation à destination des utilisateurs qui sera livrée avec le produit</w:t>
      </w:r>
    </w:p>
    <w:p w:rsidR="00AA3C2F" w:rsidRPr="00FF6990" w:rsidRDefault="00AA3C2F" w:rsidP="00AA3C2F">
      <w:pPr>
        <w:pStyle w:val="Commentaires"/>
      </w:pPr>
      <w:r w:rsidRPr="00FF6990">
        <w:t>Ceci comprend : les manuels utilisateurs, l’aide en ligne et les tutoriaux</w:t>
      </w:r>
    </w:p>
    <w:p w:rsidR="005B44CF" w:rsidRPr="00413726" w:rsidRDefault="00AA3C2F" w:rsidP="00413726">
      <w:pPr>
        <w:pStyle w:val="Commentaires"/>
        <w:rPr>
          <w:lang w:val="fr-FR"/>
        </w:rPr>
      </w:pPr>
      <w:r w:rsidRPr="00FF6990">
        <w:t>Identifier pour chaque document le format, les standards à respecter, les outils à utiliser</w:t>
      </w:r>
    </w:p>
    <w:sectPr w:rsidR="005B44CF" w:rsidRPr="00413726" w:rsidSect="003F1B5A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65" w:rsidRDefault="00FB6665">
      <w:r>
        <w:separator/>
      </w:r>
    </w:p>
  </w:endnote>
  <w:endnote w:type="continuationSeparator" w:id="0">
    <w:p w:rsidR="00FB6665" w:rsidRDefault="00FB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FB6665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A211D4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A211D4">
      <w:rPr>
        <w:rStyle w:val="Numrodepage"/>
        <w:noProof/>
      </w:rPr>
      <w:t>8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65" w:rsidRDefault="00FB6665">
      <w:r>
        <w:separator/>
      </w:r>
    </w:p>
  </w:footnote>
  <w:footnote w:type="continuationSeparator" w:id="0">
    <w:p w:rsidR="00FB6665" w:rsidRDefault="00FB6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ja-JP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FB6665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681D99" w:rsidRPr="002E3ECC">
            <w:t>Spécifications</w:t>
          </w:r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r w:rsidR="00FB6665">
            <w:fldChar w:fldCharType="begin"/>
          </w:r>
          <w:r w:rsidR="00FB6665">
            <w:instrText xml:space="preserve"> DOCPROPERTY  Version  \* MERGEFORMAT </w:instrText>
          </w:r>
          <w:r w:rsidR="00FB6665">
            <w:fldChar w:fldCharType="separate"/>
          </w:r>
          <w:r w:rsidR="00681D99" w:rsidRPr="002E3ECC">
            <w:t>1.</w:t>
          </w:r>
          <w:r w:rsidR="00517B7E">
            <w:t>0</w:t>
          </w:r>
          <w:r w:rsidR="00FB6665">
            <w:fldChar w:fldCharType="end"/>
          </w:r>
        </w:p>
      </w:tc>
      <w:tc>
        <w:tcPr>
          <w:tcW w:w="2958" w:type="dxa"/>
          <w:vAlign w:val="center"/>
        </w:tcPr>
        <w:p w:rsidR="00650096" w:rsidRPr="002E3ECC" w:rsidRDefault="00FB6665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6A44D1">
            <w:t>12/04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4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22"/>
  </w:num>
  <w:num w:numId="12">
    <w:abstractNumId w:val="8"/>
  </w:num>
  <w:num w:numId="13">
    <w:abstractNumId w:val="9"/>
  </w:num>
  <w:num w:numId="14">
    <w:abstractNumId w:val="9"/>
  </w:num>
  <w:num w:numId="15">
    <w:abstractNumId w:val="19"/>
  </w:num>
  <w:num w:numId="16">
    <w:abstractNumId w:val="12"/>
  </w:num>
  <w:num w:numId="17">
    <w:abstractNumId w:val="9"/>
  </w:num>
  <w:num w:numId="18">
    <w:abstractNumId w:val="10"/>
  </w:num>
  <w:num w:numId="19">
    <w:abstractNumId w:val="25"/>
  </w:num>
  <w:num w:numId="20">
    <w:abstractNumId w:val="6"/>
  </w:num>
  <w:num w:numId="21">
    <w:abstractNumId w:val="27"/>
  </w:num>
  <w:num w:numId="22">
    <w:abstractNumId w:val="18"/>
  </w:num>
  <w:num w:numId="23">
    <w:abstractNumId w:val="15"/>
  </w:num>
  <w:num w:numId="24">
    <w:abstractNumId w:val="16"/>
  </w:num>
  <w:num w:numId="25">
    <w:abstractNumId w:val="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0"/>
  </w:num>
  <w:num w:numId="29">
    <w:abstractNumId w:val="29"/>
  </w:num>
  <w:num w:numId="30">
    <w:abstractNumId w:val="20"/>
    <w:lvlOverride w:ilvl="0">
      <w:startOverride w:val="1"/>
    </w:lvlOverride>
  </w:num>
  <w:num w:numId="31">
    <w:abstractNumId w:val="9"/>
  </w:num>
  <w:num w:numId="32">
    <w:abstractNumId w:val="28"/>
  </w:num>
  <w:num w:numId="33">
    <w:abstractNumId w:val="21"/>
  </w:num>
  <w:num w:numId="34">
    <w:abstractNumId w:val="7"/>
  </w:num>
  <w:num w:numId="35">
    <w:abstractNumId w:val="14"/>
    <w:lvlOverride w:ilvl="0">
      <w:startOverride w:val="1"/>
    </w:lvlOverride>
  </w:num>
  <w:num w:numId="36">
    <w:abstractNumId w:val="9"/>
  </w:num>
  <w:num w:numId="37">
    <w:abstractNumId w:val="9"/>
  </w:num>
  <w:num w:numId="38">
    <w:abstractNumId w:val="9"/>
  </w:num>
  <w:num w:numId="39">
    <w:abstractNumId w:val="14"/>
    <w:lvlOverride w:ilvl="0">
      <w:startOverride w:val="1"/>
    </w:lvlOverride>
  </w:num>
  <w:num w:numId="40">
    <w:abstractNumId w:val="1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C0ADE"/>
    <w:rsid w:val="000C27A2"/>
    <w:rsid w:val="000C7DA3"/>
    <w:rsid w:val="000D4E9D"/>
    <w:rsid w:val="000E7853"/>
    <w:rsid w:val="00103D19"/>
    <w:rsid w:val="001205E6"/>
    <w:rsid w:val="00120AAE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55327"/>
    <w:rsid w:val="00365DA5"/>
    <w:rsid w:val="00376E83"/>
    <w:rsid w:val="00382A82"/>
    <w:rsid w:val="00382AD9"/>
    <w:rsid w:val="00385277"/>
    <w:rsid w:val="003A1691"/>
    <w:rsid w:val="003A5F82"/>
    <w:rsid w:val="003A6DFE"/>
    <w:rsid w:val="003A76E4"/>
    <w:rsid w:val="003B5302"/>
    <w:rsid w:val="003F1B5A"/>
    <w:rsid w:val="00413726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43A7"/>
    <w:rsid w:val="00583A0C"/>
    <w:rsid w:val="005B44CF"/>
    <w:rsid w:val="005C58C6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1398"/>
    <w:rsid w:val="00665F15"/>
    <w:rsid w:val="00681D99"/>
    <w:rsid w:val="00687D91"/>
    <w:rsid w:val="006A2C19"/>
    <w:rsid w:val="006A44D1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815B96"/>
    <w:rsid w:val="008340B6"/>
    <w:rsid w:val="00851E7D"/>
    <w:rsid w:val="00860BD2"/>
    <w:rsid w:val="00860C3C"/>
    <w:rsid w:val="0087754D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96CEA"/>
    <w:rsid w:val="00AA3C2F"/>
    <w:rsid w:val="00AA4C3F"/>
    <w:rsid w:val="00AE7C13"/>
    <w:rsid w:val="00AF2906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104B"/>
    <w:rsid w:val="00CB350B"/>
    <w:rsid w:val="00CD4585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5FB8A6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6DA0-49CF-4752-82D5-A00554B6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5</TotalTime>
  <Pages>8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6109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... ...</cp:lastModifiedBy>
  <cp:revision>7</cp:revision>
  <cp:lastPrinted>2005-09-28T10:33:00Z</cp:lastPrinted>
  <dcterms:created xsi:type="dcterms:W3CDTF">2016-04-12T08:57:00Z</dcterms:created>
  <dcterms:modified xsi:type="dcterms:W3CDTF">2016-04-12T09:20:00Z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