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b/>
          <w:color w:val="C8102E"/>
          <w:sz w:val="26"/>
        </w:rPr>
        <w:t>Hitachi Rail</w:t>
      </w:r>
    </w:p>
    <w:p>
      <w:pPr>
        <w:spacing w:after="40"/>
      </w:pPr>
      <w:r>
        <w:rPr>
          <w:b/>
          <w:color w:val="1F1F1F"/>
          <w:sz w:val="68"/>
        </w:rPr>
        <w:t>Outlook Interaction</w:t>
      </w:r>
    </w:p>
    <w:p>
      <w:pPr>
        <w:spacing w:after="520"/>
      </w:pPr>
      <w:r>
        <w:rPr>
          <w:color w:val="606060"/>
          <w:sz w:val="38"/>
        </w:rPr>
        <w:t>Cyber Certificate</w:t>
      </w:r>
    </w:p>
    <w:p>
      <w:pPr>
        <w:spacing w:after="600"/>
      </w:pPr>
      <w:r>
        <w:rPr>
          <w:i/>
          <w:color w:val="606060"/>
          <w:sz w:val="23"/>
        </w:rPr>
        <w:t>What was checked before this skill was released, how each check was decided, and -- as plainly -- what the certificate does not claim.</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shd w:val="clear" w:fill="C8102E"/>
          </w:tcPr>
          <w:p>
            <w:pPr>
              <w:spacing w:after="40"/>
            </w:pPr>
            <w:r/>
            <w:r>
              <w:rPr>
                <w:b/>
                <w:color w:val="FFFFFF"/>
                <w:sz w:val="18"/>
              </w:rPr>
              <w:t>Field</w:t>
            </w:r>
          </w:p>
        </w:tc>
        <w:tc>
          <w:tcPr>
            <w:tcW w:type="dxa" w:w="7200"/>
            <w:shd w:val="clear" w:fill="C8102E"/>
          </w:tcPr>
          <w:p>
            <w:pPr>
              <w:spacing w:after="40"/>
            </w:pPr>
            <w:r/>
            <w:r>
              <w:rPr>
                <w:b/>
                <w:color w:val="FFFFFF"/>
                <w:sz w:val="18"/>
              </w:rPr>
              <w:t>Value</w:t>
            </w:r>
          </w:p>
        </w:tc>
      </w:tr>
      <w:tr>
        <w:tc>
          <w:tcPr>
            <w:tcW w:type="dxa" w:w="2448"/>
          </w:tcPr>
          <w:p>
            <w:pPr>
              <w:spacing w:after="40"/>
            </w:pPr>
            <w:r/>
            <w:r>
              <w:rPr>
                <w:sz w:val="18"/>
              </w:rPr>
              <w:t>Document type</w:t>
            </w:r>
          </w:p>
        </w:tc>
        <w:tc>
          <w:tcPr>
            <w:tcW w:type="dxa" w:w="7200"/>
          </w:tcPr>
          <w:p>
            <w:pPr>
              <w:spacing w:after="40"/>
            </w:pPr>
            <w:r/>
            <w:r>
              <w:rPr>
                <w:sz w:val="18"/>
              </w:rPr>
              <w:t>Skill release certificate</w:t>
            </w:r>
          </w:p>
        </w:tc>
      </w:tr>
      <w:tr>
        <w:tc>
          <w:tcPr>
            <w:tcW w:type="dxa" w:w="2448"/>
          </w:tcPr>
          <w:p>
            <w:pPr>
              <w:spacing w:after="40"/>
            </w:pPr>
            <w:r/>
            <w:r>
              <w:rPr>
                <w:sz w:val="18"/>
              </w:rPr>
              <w:t>Skill</w:t>
            </w:r>
          </w:p>
        </w:tc>
        <w:tc>
          <w:tcPr>
            <w:tcW w:type="dxa" w:w="7200"/>
          </w:tcPr>
          <w:p>
            <w:pPr>
              <w:spacing w:after="40"/>
            </w:pPr>
            <w:r/>
            <w:r>
              <w:rPr>
                <w:sz w:val="18"/>
              </w:rPr>
              <w:t>SRS-SKILL-0010  -  Outlook Interaction</w:t>
            </w:r>
          </w:p>
        </w:tc>
      </w:tr>
      <w:tr>
        <w:tc>
          <w:tcPr>
            <w:tcW w:type="dxa" w:w="2448"/>
          </w:tcPr>
          <w:p>
            <w:pPr>
              <w:spacing w:after="40"/>
            </w:pPr>
            <w:r/>
            <w:r>
              <w:rPr>
                <w:sz w:val="18"/>
              </w:rPr>
              <w:t>Version</w:t>
            </w:r>
          </w:p>
        </w:tc>
        <w:tc>
          <w:tcPr>
            <w:tcW w:type="dxa" w:w="7200"/>
          </w:tcPr>
          <w:p>
            <w:pPr>
              <w:spacing w:after="40"/>
            </w:pPr>
            <w:r/>
            <w:r>
              <w:rPr>
                <w:sz w:val="18"/>
              </w:rPr>
              <w:t>1.3.1  (2026-09-18)</w:t>
            </w:r>
          </w:p>
        </w:tc>
      </w:tr>
      <w:tr>
        <w:tc>
          <w:tcPr>
            <w:tcW w:type="dxa" w:w="2448"/>
          </w:tcPr>
          <w:p>
            <w:pPr>
              <w:spacing w:after="40"/>
            </w:pPr>
            <w:r/>
            <w:r>
              <w:rPr>
                <w:sz w:val="18"/>
              </w:rPr>
              <w:t>Status</w:t>
            </w:r>
          </w:p>
        </w:tc>
        <w:tc>
          <w:tcPr>
            <w:tcW w:type="dxa" w:w="7200"/>
          </w:tcPr>
          <w:p>
            <w:pPr>
              <w:spacing w:after="40"/>
            </w:pPr>
            <w:r/>
            <w:r>
              <w:rPr>
                <w:sz w:val="18"/>
              </w:rPr>
              <w:t>released</w:t>
            </w:r>
          </w:p>
        </w:tc>
      </w:tr>
      <w:tr>
        <w:tc>
          <w:tcPr>
            <w:tcW w:type="dxa" w:w="2448"/>
          </w:tcPr>
          <w:p>
            <w:pPr>
              <w:spacing w:after="40"/>
            </w:pPr>
            <w:r/>
            <w:r>
              <w:rPr>
                <w:sz w:val="18"/>
              </w:rPr>
              <w:t>Owner</w:t>
            </w:r>
          </w:p>
        </w:tc>
        <w:tc>
          <w:tcPr>
            <w:tcW w:type="dxa" w:w="7200"/>
          </w:tcPr>
          <w:p>
            <w:pPr>
              <w:spacing w:after="40"/>
            </w:pPr>
            <w:r/>
            <w:r>
              <w:rPr>
                <w:sz w:val="18"/>
              </w:rPr>
              <w:t>Frederick Bourgoin</w:t>
            </w:r>
          </w:p>
        </w:tc>
      </w:tr>
      <w:tr>
        <w:tc>
          <w:tcPr>
            <w:tcW w:type="dxa" w:w="2448"/>
          </w:tcPr>
          <w:p>
            <w:pPr>
              <w:spacing w:after="40"/>
            </w:pPr>
            <w:r/>
            <w:r>
              <w:rPr>
                <w:sz w:val="18"/>
              </w:rPr>
              <w:t>Classification</w:t>
            </w:r>
          </w:p>
        </w:tc>
        <w:tc>
          <w:tcPr>
            <w:tcW w:type="dxa" w:w="7200"/>
          </w:tcPr>
          <w:p>
            <w:pPr>
              <w:spacing w:after="40"/>
            </w:pPr>
            <w:r/>
            <w:r>
              <w:rPr>
                <w:sz w:val="18"/>
              </w:rPr>
              <w:t>Hitachi Rail - Confidential</w:t>
            </w:r>
          </w:p>
        </w:tc>
      </w:tr>
      <w:tr>
        <w:tc>
          <w:tcPr>
            <w:tcW w:type="dxa" w:w="2448"/>
          </w:tcPr>
          <w:p>
            <w:pPr>
              <w:spacing w:after="40"/>
            </w:pPr>
            <w:r/>
            <w:r>
              <w:rPr>
                <w:sz w:val="18"/>
              </w:rPr>
              <w:t>Install target</w:t>
            </w:r>
          </w:p>
        </w:tc>
        <w:tc>
          <w:tcPr>
            <w:tcW w:type="dxa" w:w="7200"/>
          </w:tcPr>
          <w:p>
            <w:pPr>
              <w:spacing w:after="40"/>
            </w:pPr>
            <w:r/>
            <w:r>
              <w:rPr>
                <w:rFonts w:ascii="Consolas" w:hAnsi="Consolas"/>
                <w:sz w:val="17"/>
              </w:rPr>
              <w:t>.github/skills</w:t>
            </w:r>
          </w:p>
        </w:tc>
      </w:tr>
      <w:tr>
        <w:tc>
          <w:tcPr>
            <w:tcW w:type="dxa" w:w="2448"/>
          </w:tcPr>
          <w:p>
            <w:pPr>
              <w:spacing w:after="40"/>
            </w:pPr>
            <w:r/>
            <w:r>
              <w:rPr>
                <w:sz w:val="18"/>
              </w:rPr>
              <w:t>Generated</w:t>
            </w:r>
          </w:p>
        </w:tc>
        <w:tc>
          <w:tcPr>
            <w:tcW w:type="dxa" w:w="7200"/>
          </w:tcPr>
          <w:p>
            <w:pPr>
              <w:spacing w:after="40"/>
            </w:pPr>
            <w:r/>
            <w:r>
              <w:rPr>
                <w:sz w:val="18"/>
              </w:rPr>
              <w:t>2026-09-18</w:t>
            </w:r>
          </w:p>
        </w:tc>
      </w:tr>
    </w:tbl>
    <w:tbl>
      <w:tblPr>
        <w:tblW w:type="auto" w:w="0"/>
        <w:tblLook w:firstColumn="1" w:firstRow="1" w:lastColumn="0" w:lastRow="0" w:noHBand="0" w:noVBand="1" w:val="04A0"/>
      </w:tblPr>
      <w:tblGrid>
        <w:gridCol w:w="9792"/>
      </w:tblGrid>
      <w:tr>
        <w:tc>
          <w:tcPr>
            <w:tcW w:type="dxa" w:w="9792"/>
            <w:shd w:val="clear" w:fill="FDECEE"/>
          </w:tcPr>
          <w:p>
            <w:pPr>
              <w:spacing w:after="40"/>
            </w:pPr>
            <w:r/>
            <w:r>
              <w:rPr>
                <w:b/>
                <w:color w:val="C8102E"/>
                <w:sz w:val="19"/>
              </w:rPr>
              <w:t>What this certificate asserts</w:t>
            </w:r>
          </w:p>
          <w:p>
            <w:pPr>
              <w:spacing w:after="40"/>
            </w:pPr>
            <w:r>
              <w:rPr>
                <w:sz w:val="19"/>
              </w:rPr>
              <w:t>Every check in section 2 is deterministic: reproducible from the bytes of this package, with no model judgement involved. The release decision rests on those checks and on nothing else. The certificate is void if any file hash in MANIFEST.json differs from the file shipped.</w:t>
            </w:r>
          </w:p>
        </w:tc>
      </w:tr>
    </w:tbl>
    <w:p>
      <w:pPr>
        <w:spacing w:after="120"/>
      </w:pPr>
    </w:p>
    <w:tbl>
      <w:tblPr>
        <w:tblW w:type="auto" w:w="0"/>
        <w:tblLook w:firstColumn="1" w:firstRow="1" w:lastColumn="0" w:lastRow="0" w:noHBand="0" w:noVBand="1" w:val="04A0"/>
      </w:tblPr>
      <w:tblGrid>
        <w:gridCol w:w="9792"/>
      </w:tblGrid>
      <w:tr>
        <w:tc>
          <w:tcPr>
            <w:tcW w:type="dxa" w:w="9792"/>
            <w:shd w:val="clear" w:fill="FFF6E5"/>
          </w:tcPr>
          <w:p>
            <w:pPr>
              <w:spacing w:after="40"/>
            </w:pPr>
            <w:r/>
            <w:r>
              <w:rPr>
                <w:b/>
                <w:color w:val="C8102E"/>
                <w:sz w:val="19"/>
              </w:rPr>
              <w:t>Limitations, and where responsibility sits</w:t>
            </w:r>
          </w:p>
          <w:p>
            <w:pPr>
              <w:spacing w:after="40"/>
            </w:pPr>
            <w:r>
              <w:rPr>
                <w:sz w:val="19"/>
              </w:rPr>
              <w:t>This skill is deliberately limited in line with Hitachi Rail governance: it acts only with the user's own access, holds no credentials, and does not send, delete or destroy. This certificate records the SHA-256 of every file in the package and is void if any of them differs, so a modified copy is uncertified. Governance applies to the action rather than to the tool: anyone who modifies this skill beyond its stated limits is responsible for that decision and for what follows from it.</w:t>
            </w:r>
          </w:p>
        </w:tc>
      </w:tr>
    </w:tbl>
    <w:p>
      <w:pPr>
        <w:spacing w:after="120"/>
      </w:pPr>
    </w:p>
    <w:p>
      <w:pPr>
        <w:pStyle w:val="Heading2"/>
      </w:pPr>
      <w:r>
        <w:t>1. Identification</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448"/>
            <w:shd w:val="clear" w:fill="C8102E"/>
          </w:tcPr>
          <w:p>
            <w:pPr>
              <w:spacing w:after="40"/>
            </w:pPr>
            <w:r/>
            <w:r>
              <w:rPr>
                <w:b/>
                <w:color w:val="FFFFFF"/>
                <w:sz w:val="18"/>
              </w:rPr>
              <w:t>Field</w:t>
            </w:r>
          </w:p>
        </w:tc>
        <w:tc>
          <w:tcPr>
            <w:tcW w:type="dxa" w:w="7200"/>
            <w:shd w:val="clear" w:fill="C8102E"/>
          </w:tcPr>
          <w:p>
            <w:pPr>
              <w:spacing w:after="40"/>
            </w:pPr>
            <w:r/>
            <w:r>
              <w:rPr>
                <w:b/>
                <w:color w:val="FFFFFF"/>
                <w:sz w:val="18"/>
              </w:rPr>
              <w:t>Value</w:t>
            </w:r>
          </w:p>
        </w:tc>
      </w:tr>
      <w:tr>
        <w:tc>
          <w:tcPr>
            <w:tcW w:type="dxa" w:w="2448"/>
          </w:tcPr>
          <w:p>
            <w:pPr>
              <w:spacing w:after="40"/>
            </w:pPr>
            <w:r/>
            <w:r>
              <w:rPr>
                <w:sz w:val="18"/>
              </w:rPr>
              <w:t>Certificate</w:t>
            </w:r>
          </w:p>
        </w:tc>
        <w:tc>
          <w:tcPr>
            <w:tcW w:type="dxa" w:w="7200"/>
          </w:tcPr>
          <w:p>
            <w:pPr>
              <w:spacing w:after="40"/>
            </w:pPr>
            <w:r/>
            <w:r>
              <w:rPr>
                <w:rFonts w:ascii="Consolas" w:hAnsi="Consolas"/>
                <w:sz w:val="17"/>
              </w:rPr>
              <w:t>SRS-CERT-0010-1.3.1</w:t>
            </w:r>
          </w:p>
        </w:tc>
      </w:tr>
      <w:tr>
        <w:tc>
          <w:tcPr>
            <w:tcW w:type="dxa" w:w="2448"/>
          </w:tcPr>
          <w:p>
            <w:pPr>
              <w:spacing w:after="40"/>
            </w:pPr>
            <w:r/>
            <w:r>
              <w:rPr>
                <w:sz w:val="18"/>
              </w:rPr>
              <w:t>Recorded in</w:t>
            </w:r>
          </w:p>
        </w:tc>
        <w:tc>
          <w:tcPr>
            <w:tcW w:type="dxa" w:w="7200"/>
          </w:tcPr>
          <w:p>
            <w:pPr>
              <w:spacing w:after="40"/>
            </w:pPr>
            <w:r/>
            <w:r>
              <w:rPr>
                <w:sz w:val="18"/>
              </w:rPr>
              <w:t>CERTIFICATE.json, in this package</w:t>
            </w:r>
          </w:p>
        </w:tc>
      </w:tr>
      <w:tr>
        <w:tc>
          <w:tcPr>
            <w:tcW w:type="dxa" w:w="2448"/>
          </w:tcPr>
          <w:p>
            <w:pPr>
              <w:spacing w:after="40"/>
            </w:pPr>
            <w:r/>
            <w:r>
              <w:rPr>
                <w:sz w:val="18"/>
              </w:rPr>
              <w:t>Issued</w:t>
            </w:r>
          </w:p>
        </w:tc>
        <w:tc>
          <w:tcPr>
            <w:tcW w:type="dxa" w:w="7200"/>
          </w:tcPr>
          <w:p>
            <w:pPr>
              <w:spacing w:after="40"/>
            </w:pPr>
            <w:r/>
            <w:r>
              <w:rPr>
                <w:sz w:val="18"/>
              </w:rPr>
              <w:t>2026-09-18T12:00:00Z</w:t>
            </w:r>
          </w:p>
        </w:tc>
      </w:tr>
      <w:tr>
        <w:tc>
          <w:tcPr>
            <w:tcW w:type="dxa" w:w="2448"/>
          </w:tcPr>
          <w:p>
            <w:pPr>
              <w:spacing w:after="40"/>
            </w:pPr>
            <w:r/>
            <w:r>
              <w:rPr>
                <w:sz w:val="18"/>
              </w:rPr>
              <w:t>Issued by</w:t>
            </w:r>
          </w:p>
        </w:tc>
        <w:tc>
          <w:tcPr>
            <w:tcW w:type="dxa" w:w="7200"/>
          </w:tcPr>
          <w:p>
            <w:pPr>
              <w:spacing w:after="40"/>
            </w:pPr>
            <w:r/>
            <w:r>
              <w:rPr>
                <w:sz w:val="18"/>
              </w:rPr>
              <w:t>Frederick Bourgoin</w:t>
            </w:r>
          </w:p>
        </w:tc>
      </w:tr>
      <w:tr>
        <w:tc>
          <w:tcPr>
            <w:tcW w:type="dxa" w:w="2448"/>
          </w:tcPr>
          <w:p>
            <w:pPr>
              <w:spacing w:after="40"/>
            </w:pPr>
            <w:r/>
            <w:r>
              <w:rPr>
                <w:sz w:val="18"/>
              </w:rPr>
              <w:t>Gate</w:t>
            </w:r>
          </w:p>
        </w:tc>
        <w:tc>
          <w:tcPr>
            <w:tcW w:type="dxa" w:w="7200"/>
          </w:tcPr>
          <w:p>
            <w:pPr>
              <w:spacing w:after="40"/>
            </w:pPr>
            <w:r/>
            <w:r>
              <w:rPr>
                <w:sz w:val="18"/>
              </w:rPr>
              <w:t>SRS-SKILL-0001 1.0.0</w:t>
            </w:r>
          </w:p>
        </w:tc>
      </w:tr>
      <w:tr>
        <w:tc>
          <w:tcPr>
            <w:tcW w:type="dxa" w:w="2448"/>
          </w:tcPr>
          <w:p>
            <w:pPr>
              <w:spacing w:after="40"/>
            </w:pPr>
            <w:r/>
            <w:r>
              <w:rPr>
                <w:sz w:val="18"/>
              </w:rPr>
              <w:t>Expires</w:t>
            </w:r>
          </w:p>
        </w:tc>
        <w:tc>
          <w:tcPr>
            <w:tcW w:type="dxa" w:w="7200"/>
          </w:tcPr>
          <w:p>
            <w:pPr>
              <w:spacing w:after="40"/>
            </w:pPr>
            <w:r/>
            <w:r>
              <w:rPr>
                <w:sz w:val="18"/>
              </w:rPr>
              <w:t>2027-09-18</w:t>
            </w:r>
          </w:p>
        </w:tc>
      </w:tr>
      <w:tr>
        <w:tc>
          <w:tcPr>
            <w:tcW w:type="dxa" w:w="2448"/>
          </w:tcPr>
          <w:p>
            <w:pPr>
              <w:spacing w:after="40"/>
            </w:pPr>
            <w:r/>
            <w:r>
              <w:rPr>
                <w:sz w:val="18"/>
              </w:rPr>
              <w:t>Manifest SHA-256</w:t>
            </w:r>
          </w:p>
        </w:tc>
        <w:tc>
          <w:tcPr>
            <w:tcW w:type="dxa" w:w="7200"/>
          </w:tcPr>
          <w:p>
            <w:pPr>
              <w:spacing w:after="40"/>
            </w:pPr>
            <w:r/>
            <w:r>
              <w:rPr>
                <w:rFonts w:ascii="Consolas" w:hAnsi="Consolas"/>
                <w:sz w:val="17"/>
              </w:rPr>
              <w:t>ba6f1933aae173048dcec4be4e22820f6a1e41dee7d947a6061cf7510ee2618a</w:t>
            </w:r>
          </w:p>
        </w:tc>
      </w:tr>
    </w:tbl>
    <w:p>
      <w:pPr>
        <w:spacing w:after="240"/>
      </w:pPr>
      <w:r>
        <w:rPr>
          <w:i/>
          <w:color w:val="606060"/>
          <w:sz w:val="17"/>
        </w:rPr>
        <w:t>Table 1  -  Certificate identification</w:t>
      </w:r>
    </w:p>
    <w:p>
      <w:pPr>
        <w:pStyle w:val="Heading2"/>
      </w:pPr>
      <w:r>
        <w:t>2. Deterministic checks</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2664"/>
            <w:shd w:val="clear" w:fill="C8102E"/>
          </w:tcPr>
          <w:p>
            <w:pPr>
              <w:spacing w:after="40"/>
            </w:pPr>
            <w:r/>
            <w:r>
              <w:rPr>
                <w:b/>
                <w:color w:val="FFFFFF"/>
                <w:sz w:val="18"/>
              </w:rPr>
              <w:t>Check</w:t>
            </w:r>
          </w:p>
        </w:tc>
        <w:tc>
          <w:tcPr>
            <w:tcW w:type="dxa" w:w="936"/>
            <w:shd w:val="clear" w:fill="C8102E"/>
          </w:tcPr>
          <w:p>
            <w:pPr>
              <w:spacing w:after="40"/>
            </w:pPr>
            <w:r/>
            <w:r>
              <w:rPr>
                <w:b/>
                <w:color w:val="FFFFFF"/>
                <w:sz w:val="18"/>
              </w:rPr>
              <w:t>Result</w:t>
            </w:r>
          </w:p>
        </w:tc>
        <w:tc>
          <w:tcPr>
            <w:tcW w:type="dxa" w:w="6048"/>
            <w:shd w:val="clear" w:fill="C8102E"/>
          </w:tcPr>
          <w:p>
            <w:pPr>
              <w:spacing w:after="40"/>
            </w:pPr>
            <w:r/>
            <w:r>
              <w:rPr>
                <w:b/>
                <w:color w:val="FFFFFF"/>
                <w:sz w:val="18"/>
              </w:rPr>
              <w:t>Detail</w:t>
            </w:r>
          </w:p>
        </w:tc>
      </w:tr>
      <w:tr>
        <w:tc>
          <w:tcPr>
            <w:tcW w:type="dxa" w:w="2664"/>
          </w:tcPr>
          <w:p>
            <w:pPr>
              <w:spacing w:after="40"/>
            </w:pPr>
            <w:r/>
            <w:r>
              <w:rPr>
                <w:rFonts w:ascii="Consolas" w:hAnsi="Consolas"/>
                <w:sz w:val="17"/>
              </w:rPr>
              <w:t>package_not_empty</w:t>
            </w:r>
          </w:p>
        </w:tc>
        <w:tc>
          <w:tcPr>
            <w:tcW w:type="dxa" w:w="936"/>
          </w:tcPr>
          <w:p>
            <w:pPr>
              <w:spacing w:after="40"/>
            </w:pPr>
            <w:r/>
            <w:r>
              <w:rPr>
                <w:sz w:val="18"/>
              </w:rPr>
              <w:t>PASS</w:t>
            </w:r>
          </w:p>
        </w:tc>
        <w:tc>
          <w:tcPr>
            <w:tcW w:type="dxa" w:w="6048"/>
          </w:tcPr>
          <w:p>
            <w:pPr>
              <w:spacing w:after="40"/>
            </w:pPr>
            <w:r/>
            <w:r>
              <w:rPr>
                <w:sz w:val="18"/>
              </w:rPr>
              <w:t>11 file(s) staged, required files present</w:t>
            </w:r>
          </w:p>
        </w:tc>
      </w:tr>
      <w:tr>
        <w:tc>
          <w:tcPr>
            <w:tcW w:type="dxa" w:w="2664"/>
          </w:tcPr>
          <w:p>
            <w:pPr>
              <w:spacing w:after="40"/>
            </w:pPr>
            <w:r/>
            <w:r>
              <w:rPr>
                <w:rFonts w:ascii="Consolas" w:hAnsi="Consolas"/>
                <w:sz w:val="17"/>
              </w:rPr>
              <w:t>python_compiles</w:t>
            </w:r>
          </w:p>
        </w:tc>
        <w:tc>
          <w:tcPr>
            <w:tcW w:type="dxa" w:w="936"/>
          </w:tcPr>
          <w:p>
            <w:pPr>
              <w:spacing w:after="40"/>
            </w:pPr>
            <w:r/>
            <w:r>
              <w:rPr>
                <w:sz w:val="18"/>
              </w:rPr>
              <w:t>PASS</w:t>
            </w:r>
          </w:p>
        </w:tc>
        <w:tc>
          <w:tcPr>
            <w:tcW w:type="dxa" w:w="6048"/>
          </w:tcPr>
          <w:p>
            <w:pPr>
              <w:spacing w:after="40"/>
            </w:pPr>
            <w:r/>
            <w:r>
              <w:rPr>
                <w:sz w:val="18"/>
              </w:rPr>
              <w:t>6/6 modules parse</w:t>
            </w:r>
          </w:p>
        </w:tc>
      </w:tr>
      <w:tr>
        <w:tc>
          <w:tcPr>
            <w:tcW w:type="dxa" w:w="2664"/>
          </w:tcPr>
          <w:p>
            <w:pPr>
              <w:spacing w:after="40"/>
            </w:pPr>
            <w:r/>
            <w:r>
              <w:rPr>
                <w:rFonts w:ascii="Consolas" w:hAnsi="Consolas"/>
                <w:sz w:val="17"/>
              </w:rPr>
              <w:t>powershell_parses</w:t>
            </w:r>
          </w:p>
        </w:tc>
        <w:tc>
          <w:tcPr>
            <w:tcW w:type="dxa" w:w="936"/>
          </w:tcPr>
          <w:p>
            <w:pPr>
              <w:spacing w:after="40"/>
            </w:pPr>
            <w:r/>
            <w:r>
              <w:rPr>
                <w:sz w:val="18"/>
              </w:rPr>
              <w:t>PASS</w:t>
            </w:r>
          </w:p>
        </w:tc>
        <w:tc>
          <w:tcPr>
            <w:tcW w:type="dxa" w:w="6048"/>
          </w:tcPr>
          <w:p>
            <w:pPr>
              <w:spacing w:after="40"/>
            </w:pPr>
            <w:r/>
            <w:r>
              <w:rPr>
                <w:sz w:val="18"/>
              </w:rPr>
              <w:t>no .ps1 files</w:t>
            </w:r>
          </w:p>
        </w:tc>
      </w:tr>
      <w:tr>
        <w:tc>
          <w:tcPr>
            <w:tcW w:type="dxa" w:w="2664"/>
          </w:tcPr>
          <w:p>
            <w:pPr>
              <w:spacing w:after="40"/>
            </w:pPr>
            <w:r/>
            <w:r>
              <w:rPr>
                <w:rFonts w:ascii="Consolas" w:hAnsi="Consolas"/>
                <w:sz w:val="17"/>
              </w:rPr>
              <w:t>no_secrets</w:t>
            </w:r>
          </w:p>
        </w:tc>
        <w:tc>
          <w:tcPr>
            <w:tcW w:type="dxa" w:w="936"/>
          </w:tcPr>
          <w:p>
            <w:pPr>
              <w:spacing w:after="40"/>
            </w:pPr>
            <w:r/>
            <w:r>
              <w:rPr>
                <w:sz w:val="18"/>
              </w:rPr>
              <w:t>PASS</w:t>
            </w:r>
          </w:p>
        </w:tc>
        <w:tc>
          <w:tcPr>
            <w:tcW w:type="dxa" w:w="6048"/>
          </w:tcPr>
          <w:p>
            <w:pPr>
              <w:spacing w:after="40"/>
            </w:pPr>
            <w:r/>
            <w:r>
              <w:rPr>
                <w:sz w:val="18"/>
              </w:rPr>
              <w:t>0 findings</w:t>
            </w:r>
          </w:p>
        </w:tc>
      </w:tr>
      <w:tr>
        <w:tc>
          <w:tcPr>
            <w:tcW w:type="dxa" w:w="2664"/>
          </w:tcPr>
          <w:p>
            <w:pPr>
              <w:spacing w:after="40"/>
            </w:pPr>
            <w:r/>
            <w:r>
              <w:rPr>
                <w:rFonts w:ascii="Consolas" w:hAnsi="Consolas"/>
                <w:sz w:val="17"/>
              </w:rPr>
              <w:t>no_site_specifics</w:t>
            </w:r>
          </w:p>
        </w:tc>
        <w:tc>
          <w:tcPr>
            <w:tcW w:type="dxa" w:w="936"/>
          </w:tcPr>
          <w:p>
            <w:pPr>
              <w:spacing w:after="40"/>
            </w:pPr>
            <w:r/>
            <w:r>
              <w:rPr>
                <w:sz w:val="18"/>
              </w:rPr>
              <w:t>PASS</w:t>
            </w:r>
          </w:p>
        </w:tc>
        <w:tc>
          <w:tcPr>
            <w:tcW w:type="dxa" w:w="6048"/>
          </w:tcPr>
          <w:p>
            <w:pPr>
              <w:spacing w:after="40"/>
            </w:pPr>
            <w:r/>
            <w:r>
              <w:rPr>
                <w:sz w:val="18"/>
              </w:rPr>
              <w:t>0 findings, 0 blocking</w:t>
            </w:r>
          </w:p>
        </w:tc>
      </w:tr>
      <w:tr>
        <w:tc>
          <w:tcPr>
            <w:tcW w:type="dxa" w:w="2664"/>
          </w:tcPr>
          <w:p>
            <w:pPr>
              <w:spacing w:after="40"/>
            </w:pPr>
            <w:r/>
            <w:r>
              <w:rPr>
                <w:rFonts w:ascii="Consolas" w:hAnsi="Consolas"/>
                <w:sz w:val="17"/>
              </w:rPr>
              <w:t>no_personal_data</w:t>
            </w:r>
          </w:p>
        </w:tc>
        <w:tc>
          <w:tcPr>
            <w:tcW w:type="dxa" w:w="936"/>
          </w:tcPr>
          <w:p>
            <w:pPr>
              <w:spacing w:after="40"/>
            </w:pPr>
            <w:r/>
            <w:r>
              <w:rPr>
                <w:sz w:val="18"/>
              </w:rPr>
              <w:t>PASS</w:t>
            </w:r>
          </w:p>
        </w:tc>
        <w:tc>
          <w:tcPr>
            <w:tcW w:type="dxa" w:w="6048"/>
          </w:tcPr>
          <w:p>
            <w:pPr>
              <w:spacing w:after="40"/>
            </w:pPr>
            <w:r/>
            <w:r>
              <w:rPr>
                <w:sz w:val="18"/>
              </w:rPr>
              <w:t>0 findings (mail addresses; declared support contact allowed; personal names are not machine-checkable and are not asserted)</w:t>
            </w:r>
          </w:p>
        </w:tc>
      </w:tr>
      <w:tr>
        <w:tc>
          <w:tcPr>
            <w:tcW w:type="dxa" w:w="2664"/>
          </w:tcPr>
          <w:p>
            <w:pPr>
              <w:spacing w:after="40"/>
            </w:pPr>
            <w:r/>
            <w:r>
              <w:rPr>
                <w:rFonts w:ascii="Consolas" w:hAnsi="Consolas"/>
                <w:sz w:val="17"/>
              </w:rPr>
              <w:t>no_personal_names</w:t>
            </w:r>
          </w:p>
        </w:tc>
        <w:tc>
          <w:tcPr>
            <w:tcW w:type="dxa" w:w="936"/>
          </w:tcPr>
          <w:p>
            <w:pPr>
              <w:spacing w:after="40"/>
            </w:pPr>
            <w:r/>
            <w:r>
              <w:rPr>
                <w:sz w:val="18"/>
              </w:rPr>
              <w:t>PASS</w:t>
            </w:r>
          </w:p>
        </w:tc>
        <w:tc>
          <w:tcPr>
            <w:tcW w:type="dxa" w:w="6048"/>
          </w:tcPr>
          <w:p>
            <w:pPr>
              <w:spacing w:after="40"/>
            </w:pPr>
            <w:r/>
            <w:r>
              <w:rPr>
                <w:sz w:val="18"/>
              </w:rPr>
              <w:t>6 listed name(s) from private-names.txt; 0 finding(s)</w:t>
            </w:r>
          </w:p>
        </w:tc>
      </w:tr>
      <w:tr>
        <w:tc>
          <w:tcPr>
            <w:tcW w:type="dxa" w:w="2664"/>
          </w:tcPr>
          <w:p>
            <w:pPr>
              <w:spacing w:after="40"/>
            </w:pPr>
            <w:r/>
            <w:r>
              <w:rPr>
                <w:rFonts w:ascii="Consolas" w:hAnsi="Consolas"/>
                <w:sz w:val="17"/>
              </w:rPr>
              <w:t>dangerous_operations</w:t>
            </w:r>
          </w:p>
        </w:tc>
        <w:tc>
          <w:tcPr>
            <w:tcW w:type="dxa" w:w="936"/>
          </w:tcPr>
          <w:p>
            <w:pPr>
              <w:spacing w:after="40"/>
            </w:pPr>
            <w:r/>
            <w:r>
              <w:rPr>
                <w:sz w:val="18"/>
              </w:rPr>
              <w:t>PASS</w:t>
            </w:r>
          </w:p>
        </w:tc>
        <w:tc>
          <w:tcPr>
            <w:tcW w:type="dxa" w:w="6048"/>
          </w:tcPr>
          <w:p>
            <w:pPr>
              <w:spacing w:after="40"/>
            </w:pPr>
            <w:r/>
            <w:r>
              <w:rPr>
                <w:sz w:val="18"/>
              </w:rPr>
              <w:t>0 findings, 0 blocking in executable code, 0 in documentation</w:t>
            </w:r>
          </w:p>
        </w:tc>
      </w:tr>
      <w:tr>
        <w:tc>
          <w:tcPr>
            <w:tcW w:type="dxa" w:w="2664"/>
          </w:tcPr>
          <w:p>
            <w:pPr>
              <w:spacing w:after="40"/>
            </w:pPr>
            <w:r/>
            <w:r>
              <w:rPr>
                <w:rFonts w:ascii="Consolas" w:hAnsi="Consolas"/>
                <w:sz w:val="17"/>
              </w:rPr>
              <w:t>dependencies_allowlist</w:t>
            </w:r>
          </w:p>
        </w:tc>
        <w:tc>
          <w:tcPr>
            <w:tcW w:type="dxa" w:w="936"/>
          </w:tcPr>
          <w:p>
            <w:pPr>
              <w:spacing w:after="40"/>
            </w:pPr>
            <w:r/>
            <w:r>
              <w:rPr>
                <w:sz w:val="18"/>
              </w:rPr>
              <w:t>PASS</w:t>
            </w:r>
          </w:p>
        </w:tc>
        <w:tc>
          <w:tcPr>
            <w:tcW w:type="dxa" w:w="6048"/>
          </w:tcPr>
          <w:p>
            <w:pPr>
              <w:spacing w:after="40"/>
            </w:pPr>
            <w:r/>
            <w:r>
              <w:rPr>
                <w:sz w:val="18"/>
              </w:rPr>
              <w:t>17 distinct imports, 0 not yet on the known list</w:t>
            </w:r>
          </w:p>
        </w:tc>
      </w:tr>
      <w:tr>
        <w:tc>
          <w:tcPr>
            <w:tcW w:type="dxa" w:w="2664"/>
          </w:tcPr>
          <w:p>
            <w:pPr>
              <w:spacing w:after="40"/>
            </w:pPr>
            <w:r/>
            <w:r>
              <w:rPr>
                <w:rFonts w:ascii="Consolas" w:hAnsi="Consolas"/>
                <w:sz w:val="17"/>
              </w:rPr>
              <w:t>no_binaries</w:t>
            </w:r>
          </w:p>
        </w:tc>
        <w:tc>
          <w:tcPr>
            <w:tcW w:type="dxa" w:w="936"/>
          </w:tcPr>
          <w:p>
            <w:pPr>
              <w:spacing w:after="40"/>
            </w:pPr>
            <w:r/>
            <w:r>
              <w:rPr>
                <w:sz w:val="18"/>
              </w:rPr>
              <w:t>PASS</w:t>
            </w:r>
          </w:p>
        </w:tc>
        <w:tc>
          <w:tcPr>
            <w:tcW w:type="dxa" w:w="6048"/>
          </w:tcPr>
          <w:p>
            <w:pPr>
              <w:spacing w:after="40"/>
            </w:pPr>
            <w:r/>
            <w:r>
              <w:rPr>
                <w:sz w:val="18"/>
              </w:rPr>
              <w:t>0 findings</w:t>
            </w:r>
          </w:p>
        </w:tc>
      </w:tr>
      <w:tr>
        <w:tc>
          <w:tcPr>
            <w:tcW w:type="dxa" w:w="2664"/>
          </w:tcPr>
          <w:p>
            <w:pPr>
              <w:spacing w:after="40"/>
            </w:pPr>
            <w:r/>
            <w:r>
              <w:rPr>
                <w:rFonts w:ascii="Consolas" w:hAnsi="Consolas"/>
                <w:sz w:val="17"/>
              </w:rPr>
              <w:t>frontmatter_schema</w:t>
            </w:r>
          </w:p>
        </w:tc>
        <w:tc>
          <w:tcPr>
            <w:tcW w:type="dxa" w:w="936"/>
          </w:tcPr>
          <w:p>
            <w:pPr>
              <w:spacing w:after="40"/>
            </w:pPr>
            <w:r/>
            <w:r>
              <w:rPr>
                <w:sz w:val="18"/>
              </w:rPr>
              <w:t>PASS</w:t>
            </w:r>
          </w:p>
        </w:tc>
        <w:tc>
          <w:tcPr>
            <w:tcW w:type="dxa" w:w="6048"/>
          </w:tcPr>
          <w:p>
            <w:pPr>
              <w:spacing w:after="40"/>
            </w:pPr>
            <w:r/>
            <w:r>
              <w:rPr>
                <w:sz w:val="18"/>
              </w:rPr>
              <w:t>13 keys checked, 0 problems</w:t>
            </w:r>
          </w:p>
        </w:tc>
      </w:tr>
      <w:tr>
        <w:tc>
          <w:tcPr>
            <w:tcW w:type="dxa" w:w="2664"/>
          </w:tcPr>
          <w:p>
            <w:pPr>
              <w:spacing w:after="40"/>
            </w:pPr>
            <w:r/>
            <w:r>
              <w:rPr>
                <w:rFonts w:ascii="Consolas" w:hAnsi="Consolas"/>
                <w:sz w:val="17"/>
              </w:rPr>
              <w:t>description_length</w:t>
            </w:r>
          </w:p>
        </w:tc>
        <w:tc>
          <w:tcPr>
            <w:tcW w:type="dxa" w:w="936"/>
          </w:tcPr>
          <w:p>
            <w:pPr>
              <w:spacing w:after="40"/>
            </w:pPr>
            <w:r/>
            <w:r>
              <w:rPr>
                <w:sz w:val="18"/>
              </w:rPr>
              <w:t>PASS</w:t>
            </w:r>
          </w:p>
        </w:tc>
        <w:tc>
          <w:tcPr>
            <w:tcW w:type="dxa" w:w="6048"/>
          </w:tcPr>
          <w:p>
            <w:pPr>
              <w:spacing w:after="40"/>
            </w:pPr>
            <w:r/>
            <w:r>
              <w:rPr>
                <w:sz w:val="18"/>
              </w:rPr>
              <w:t>668 characters (budget 200-900)</w:t>
            </w:r>
          </w:p>
        </w:tc>
      </w:tr>
      <w:tr>
        <w:tc>
          <w:tcPr>
            <w:tcW w:type="dxa" w:w="2664"/>
          </w:tcPr>
          <w:p>
            <w:pPr>
              <w:spacing w:after="40"/>
            </w:pPr>
            <w:r/>
            <w:r>
              <w:rPr>
                <w:rFonts w:ascii="Consolas" w:hAnsi="Consolas"/>
                <w:sz w:val="17"/>
              </w:rPr>
              <w:t>changelog_matches</w:t>
            </w:r>
          </w:p>
        </w:tc>
        <w:tc>
          <w:tcPr>
            <w:tcW w:type="dxa" w:w="936"/>
          </w:tcPr>
          <w:p>
            <w:pPr>
              <w:spacing w:after="40"/>
            </w:pPr>
            <w:r/>
            <w:r>
              <w:rPr>
                <w:sz w:val="18"/>
              </w:rPr>
              <w:t>PASS</w:t>
            </w:r>
          </w:p>
        </w:tc>
        <w:tc>
          <w:tcPr>
            <w:tcW w:type="dxa" w:w="6048"/>
          </w:tcPr>
          <w:p>
            <w:pPr>
              <w:spacing w:after="40"/>
            </w:pPr>
            <w:r/>
            <w:r>
              <w:rPr>
                <w:sz w:val="18"/>
              </w:rPr>
              <w:t>entry for 1.3.1 present</w:t>
            </w:r>
          </w:p>
        </w:tc>
      </w:tr>
      <w:tr>
        <w:tc>
          <w:tcPr>
            <w:tcW w:type="dxa" w:w="2664"/>
          </w:tcPr>
          <w:p>
            <w:pPr>
              <w:spacing w:after="40"/>
            </w:pPr>
            <w:r/>
            <w:r>
              <w:rPr>
                <w:rFonts w:ascii="Consolas" w:hAnsi="Consolas"/>
                <w:sz w:val="17"/>
              </w:rPr>
              <w:t>documented_flags</w:t>
            </w:r>
          </w:p>
        </w:tc>
        <w:tc>
          <w:tcPr>
            <w:tcW w:type="dxa" w:w="936"/>
          </w:tcPr>
          <w:p>
            <w:pPr>
              <w:spacing w:after="40"/>
            </w:pPr>
            <w:r/>
            <w:r>
              <w:rPr>
                <w:sz w:val="18"/>
              </w:rPr>
              <w:t>PASS</w:t>
            </w:r>
          </w:p>
        </w:tc>
        <w:tc>
          <w:tcPr>
            <w:tcW w:type="dxa" w:w="6048"/>
          </w:tcPr>
          <w:p>
            <w:pPr>
              <w:spacing w:after="40"/>
            </w:pPr>
            <w:r/>
            <w:r>
              <w:rPr>
                <w:sz w:val="18"/>
              </w:rPr>
              <w:t>15 documented flag(s) reconciled across 3 script(s) with an argument parser, 2 by literal match only (selftest.py, srs_m365.py)</w:t>
            </w:r>
          </w:p>
        </w:tc>
      </w:tr>
      <w:tr>
        <w:tc>
          <w:tcPr>
            <w:tcW w:type="dxa" w:w="2664"/>
          </w:tcPr>
          <w:p>
            <w:pPr>
              <w:spacing w:after="40"/>
            </w:pPr>
            <w:r/>
            <w:r>
              <w:rPr>
                <w:rFonts w:ascii="Consolas" w:hAnsi="Consolas"/>
                <w:sz w:val="17"/>
              </w:rPr>
              <w:t>evals_present</w:t>
            </w:r>
          </w:p>
        </w:tc>
        <w:tc>
          <w:tcPr>
            <w:tcW w:type="dxa" w:w="936"/>
          </w:tcPr>
          <w:p>
            <w:pPr>
              <w:spacing w:after="40"/>
            </w:pPr>
            <w:r/>
            <w:r>
              <w:rPr>
                <w:sz w:val="18"/>
              </w:rPr>
              <w:t>PASS</w:t>
            </w:r>
          </w:p>
        </w:tc>
        <w:tc>
          <w:tcPr>
            <w:tcW w:type="dxa" w:w="6048"/>
          </w:tcPr>
          <w:p>
            <w:pPr>
              <w:spacing w:after="40"/>
            </w:pPr>
            <w:r/>
            <w:r>
              <w:rPr>
                <w:sz w:val="18"/>
              </w:rPr>
              <w:t>8 scenarios (minimum 3)</w:t>
            </w:r>
          </w:p>
        </w:tc>
      </w:tr>
      <w:tr>
        <w:tc>
          <w:tcPr>
            <w:tcW w:type="dxa" w:w="2664"/>
          </w:tcPr>
          <w:p>
            <w:pPr>
              <w:spacing w:after="40"/>
            </w:pPr>
            <w:r/>
            <w:r>
              <w:rPr>
                <w:rFonts w:ascii="Consolas" w:hAnsi="Consolas"/>
                <w:sz w:val="17"/>
              </w:rPr>
              <w:t>evals_wellformed</w:t>
            </w:r>
          </w:p>
        </w:tc>
        <w:tc>
          <w:tcPr>
            <w:tcW w:type="dxa" w:w="936"/>
          </w:tcPr>
          <w:p>
            <w:pPr>
              <w:spacing w:after="40"/>
            </w:pPr>
            <w:r/>
            <w:r>
              <w:rPr>
                <w:sz w:val="18"/>
              </w:rPr>
              <w:t>PASS</w:t>
            </w:r>
          </w:p>
        </w:tc>
        <w:tc>
          <w:tcPr>
            <w:tcW w:type="dxa" w:w="6048"/>
          </w:tcPr>
          <w:p>
            <w:pPr>
              <w:spacing w:after="40"/>
            </w:pPr>
            <w:r/>
            <w:r>
              <w:rPr>
                <w:sz w:val="18"/>
              </w:rPr>
              <w:t>8 scenarios structurally valid; behavioural execution is a separate recorded activity and is not asserted here</w:t>
            </w:r>
          </w:p>
        </w:tc>
      </w:tr>
      <w:tr>
        <w:tc>
          <w:tcPr>
            <w:tcW w:type="dxa" w:w="2664"/>
          </w:tcPr>
          <w:p>
            <w:pPr>
              <w:spacing w:after="40"/>
            </w:pPr>
            <w:r/>
            <w:r>
              <w:rPr>
                <w:rFonts w:ascii="Consolas" w:hAnsi="Consolas"/>
                <w:sz w:val="17"/>
              </w:rPr>
              <w:t>selftest</w:t>
            </w:r>
          </w:p>
        </w:tc>
        <w:tc>
          <w:tcPr>
            <w:tcW w:type="dxa" w:w="936"/>
          </w:tcPr>
          <w:p>
            <w:pPr>
              <w:spacing w:after="40"/>
            </w:pPr>
            <w:r/>
            <w:r>
              <w:rPr>
                <w:sz w:val="18"/>
              </w:rPr>
              <w:t>PASS</w:t>
            </w:r>
          </w:p>
        </w:tc>
        <w:tc>
          <w:tcPr>
            <w:tcW w:type="dxa" w:w="6048"/>
          </w:tcPr>
          <w:p>
            <w:pPr>
              <w:spacing w:after="40"/>
            </w:pPr>
            <w:r/>
            <w:r>
              <w:rPr>
                <w:sz w:val="18"/>
              </w:rPr>
              <w:t>62 self-reported assertion(s), corroborated by assertions present in the source; run with this user's privileges in a temporary directory, NOT a sandbox</w:t>
            </w:r>
          </w:p>
        </w:tc>
      </w:tr>
      <w:tr>
        <w:tc>
          <w:tcPr>
            <w:tcW w:type="dxa" w:w="2664"/>
          </w:tcPr>
          <w:p>
            <w:pPr>
              <w:spacing w:after="40"/>
            </w:pPr>
            <w:r/>
            <w:r>
              <w:rPr>
                <w:rFonts w:ascii="Consolas" w:hAnsi="Consolas"/>
                <w:sz w:val="17"/>
              </w:rPr>
              <w:t>manifest_complete</w:t>
            </w:r>
          </w:p>
        </w:tc>
        <w:tc>
          <w:tcPr>
            <w:tcW w:type="dxa" w:w="936"/>
          </w:tcPr>
          <w:p>
            <w:pPr>
              <w:spacing w:after="40"/>
            </w:pPr>
            <w:r/>
            <w:r>
              <w:rPr>
                <w:sz w:val="18"/>
              </w:rPr>
              <w:t>PASS</w:t>
            </w:r>
          </w:p>
        </w:tc>
        <w:tc>
          <w:tcPr>
            <w:tcW w:type="dxa" w:w="6048"/>
          </w:tcPr>
          <w:p>
            <w:pPr>
              <w:spacing w:after="40"/>
            </w:pPr>
            <w:r/>
            <w:r>
              <w:rPr>
                <w:sz w:val="18"/>
              </w:rPr>
              <w:t>11/11 files reconciled, 11 hash(es) re-computed and matched</w:t>
            </w:r>
          </w:p>
        </w:tc>
      </w:tr>
    </w:tbl>
    <w:p>
      <w:pPr>
        <w:spacing w:after="240"/>
      </w:pPr>
      <w:r>
        <w:rPr>
          <w:i/>
          <w:color w:val="606060"/>
          <w:sz w:val="17"/>
        </w:rPr>
        <w:t>Table 2  -  Every check, its result and its scope</w:t>
      </w:r>
    </w:p>
    <w:p>
      <w:r>
        <w:br w:type="page"/>
      </w:r>
    </w:p>
    <w:p>
      <w:pPr>
        <w:pStyle w:val="Heading2"/>
      </w:pPr>
      <w:r>
        <w:t>4. Governance documents referenced</w:t>
      </w:r>
    </w:p>
    <w:p>
      <w:pPr>
        <w:spacing w:after="140"/>
      </w:pPr>
      <w:r>
        <w:rPr>
          <w:i w:val="0"/>
          <w:color w:val="1F1F1F"/>
          <w:sz w:val="21"/>
        </w:rPr>
        <w:t>Versions are those held in the GBMS knowledge store. Each row carries the reference needed to find the document in COSMO.</w:t>
      </w:r>
    </w:p>
    <w:tbl>
      <w:tblPr>
        <w:tblStyle w:val="TableGrid"/>
        <w:tblW w:type="auto" w:w="0"/>
        <w:jc w:val="center"/>
        <w:tblLook w:firstColumn="1" w:firstRow="1" w:lastColumn="0" w:lastRow="0" w:noHBand="0" w:noVBand="1" w:val="04A0"/>
      </w:tblPr>
      <w:tblGrid>
        <w:gridCol w:w="3264"/>
        <w:gridCol w:w="3264"/>
        <w:gridCol w:w="3264"/>
      </w:tblGrid>
      <w:tr>
        <w:trPr>
          <w:tblHeader w:val="true"/>
        </w:trPr>
        <w:tc>
          <w:tcPr>
            <w:tcW w:type="dxa" w:w="5616"/>
            <w:shd w:val="clear" w:fill="C8102E"/>
          </w:tcPr>
          <w:p>
            <w:pPr>
              <w:spacing w:after="40"/>
            </w:pPr>
            <w:r/>
            <w:r>
              <w:rPr>
                <w:b/>
                <w:color w:val="FFFFFF"/>
                <w:sz w:val="18"/>
              </w:rPr>
              <w:t>Document</w:t>
            </w:r>
          </w:p>
        </w:tc>
        <w:tc>
          <w:tcPr>
            <w:tcW w:type="dxa" w:w="2016"/>
            <w:shd w:val="clear" w:fill="C8102E"/>
          </w:tcPr>
          <w:p>
            <w:pPr>
              <w:spacing w:after="40"/>
            </w:pPr>
            <w:r/>
            <w:r>
              <w:rPr>
                <w:b/>
                <w:color w:val="FFFFFF"/>
                <w:sz w:val="18"/>
              </w:rPr>
              <w:t>Hitachi Rail ref</w:t>
            </w:r>
          </w:p>
        </w:tc>
        <w:tc>
          <w:tcPr>
            <w:tcW w:type="dxa" w:w="2016"/>
            <w:shd w:val="clear" w:fill="C8102E"/>
          </w:tcPr>
          <w:p>
            <w:pPr>
              <w:spacing w:after="40"/>
            </w:pPr>
            <w:r/>
            <w:r>
              <w:rPr>
                <w:b/>
                <w:color w:val="FFFFFF"/>
                <w:sz w:val="18"/>
              </w:rPr>
              <w:t>Version</w:t>
            </w:r>
          </w:p>
        </w:tc>
      </w:tr>
      <w:tr>
        <w:tc>
          <w:tcPr>
            <w:tcW w:type="dxa" w:w="5616"/>
          </w:tcPr>
          <w:p>
            <w:pPr>
              <w:spacing w:after="40"/>
            </w:pPr>
            <w:r/>
            <w:r>
              <w:rPr>
                <w:sz w:val="18"/>
              </w:rPr>
              <w:t>Information Classification Standard</w:t>
            </w:r>
          </w:p>
        </w:tc>
        <w:tc>
          <w:tcPr>
            <w:tcW w:type="dxa" w:w="2016"/>
          </w:tcPr>
          <w:p>
            <w:pPr>
              <w:spacing w:after="40"/>
            </w:pPr>
            <w:r/>
            <w:r>
              <w:rPr>
                <w:rFonts w:ascii="Consolas" w:hAnsi="Consolas"/>
                <w:sz w:val="17"/>
              </w:rPr>
              <w:t>CYB-STD-009</w:t>
            </w:r>
          </w:p>
        </w:tc>
        <w:tc>
          <w:tcPr>
            <w:tcW w:type="dxa" w:w="2016"/>
          </w:tcPr>
          <w:p>
            <w:pPr>
              <w:spacing w:after="40"/>
            </w:pPr>
            <w:r/>
            <w:r>
              <w:rPr>
                <w:sz w:val="18"/>
              </w:rPr>
              <w:t>2.9</w:t>
            </w:r>
          </w:p>
        </w:tc>
      </w:tr>
      <w:tr>
        <w:tc>
          <w:tcPr>
            <w:tcW w:type="dxa" w:w="5616"/>
          </w:tcPr>
          <w:p>
            <w:pPr>
              <w:spacing w:after="40"/>
            </w:pPr>
            <w:r/>
            <w:r>
              <w:rPr>
                <w:sz w:val="18"/>
              </w:rPr>
              <w:t>Global Change Control Standard</w:t>
            </w:r>
          </w:p>
        </w:tc>
        <w:tc>
          <w:tcPr>
            <w:tcW w:type="dxa" w:w="2016"/>
          </w:tcPr>
          <w:p>
            <w:pPr>
              <w:spacing w:after="40"/>
            </w:pPr>
            <w:r/>
            <w:r>
              <w:rPr>
                <w:rFonts w:ascii="Consolas" w:hAnsi="Consolas"/>
                <w:sz w:val="17"/>
              </w:rPr>
              <w:t>CYB-STD-021</w:t>
            </w:r>
          </w:p>
        </w:tc>
        <w:tc>
          <w:tcPr>
            <w:tcW w:type="dxa" w:w="2016"/>
          </w:tcPr>
          <w:p>
            <w:pPr>
              <w:spacing w:after="40"/>
            </w:pPr>
            <w:r/>
            <w:r>
              <w:rPr>
                <w:sz w:val="18"/>
              </w:rPr>
              <w:t>1.7</w:t>
            </w:r>
          </w:p>
        </w:tc>
      </w:tr>
      <w:tr>
        <w:tc>
          <w:tcPr>
            <w:tcW w:type="dxa" w:w="5616"/>
          </w:tcPr>
          <w:p>
            <w:pPr>
              <w:spacing w:after="40"/>
            </w:pPr>
            <w:r/>
            <w:r>
              <w:rPr>
                <w:sz w:val="18"/>
              </w:rPr>
              <w:t>Cryptography and Key Management Standard</w:t>
            </w:r>
          </w:p>
        </w:tc>
        <w:tc>
          <w:tcPr>
            <w:tcW w:type="dxa" w:w="2016"/>
          </w:tcPr>
          <w:p>
            <w:pPr>
              <w:spacing w:after="40"/>
            </w:pPr>
            <w:r/>
            <w:r>
              <w:rPr>
                <w:rFonts w:ascii="Consolas" w:hAnsi="Consolas"/>
                <w:sz w:val="17"/>
              </w:rPr>
              <w:t>CYB-STD-026</w:t>
            </w:r>
          </w:p>
        </w:tc>
        <w:tc>
          <w:tcPr>
            <w:tcW w:type="dxa" w:w="2016"/>
          </w:tcPr>
          <w:p>
            <w:pPr>
              <w:spacing w:after="40"/>
            </w:pPr>
            <w:r/>
            <w:r>
              <w:rPr>
                <w:sz w:val="18"/>
              </w:rPr>
              <w:t>1.3</w:t>
            </w:r>
          </w:p>
        </w:tc>
      </w:tr>
      <w:tr>
        <w:tc>
          <w:tcPr>
            <w:tcW w:type="dxa" w:w="5616"/>
          </w:tcPr>
          <w:p>
            <w:pPr>
              <w:spacing w:after="40"/>
            </w:pPr>
            <w:r/>
            <w:r>
              <w:rPr>
                <w:sz w:val="18"/>
              </w:rPr>
              <w:t>HRL - Data Protection and Privacy Standard</w:t>
            </w:r>
          </w:p>
        </w:tc>
        <w:tc>
          <w:tcPr>
            <w:tcW w:type="dxa" w:w="2016"/>
          </w:tcPr>
          <w:p>
            <w:pPr>
              <w:spacing w:after="40"/>
            </w:pPr>
            <w:r/>
            <w:r>
              <w:rPr>
                <w:rFonts w:ascii="Consolas" w:hAnsi="Consolas"/>
                <w:sz w:val="17"/>
              </w:rPr>
              <w:t>CYB-STD-028</w:t>
            </w:r>
          </w:p>
        </w:tc>
        <w:tc>
          <w:tcPr>
            <w:tcW w:type="dxa" w:w="2016"/>
          </w:tcPr>
          <w:p>
            <w:pPr>
              <w:spacing w:after="40"/>
            </w:pPr>
            <w:r/>
            <w:r>
              <w:rPr>
                <w:sz w:val="18"/>
              </w:rPr>
              <w:t>1.2</w:t>
            </w:r>
          </w:p>
        </w:tc>
      </w:tr>
      <w:tr>
        <w:tc>
          <w:tcPr>
            <w:tcW w:type="dxa" w:w="5616"/>
          </w:tcPr>
          <w:p>
            <w:pPr>
              <w:spacing w:after="40"/>
            </w:pPr>
            <w:r/>
            <w:r>
              <w:rPr>
                <w:sz w:val="18"/>
              </w:rPr>
              <w:t>Intellectual Property Protection Standard</w:t>
            </w:r>
          </w:p>
        </w:tc>
        <w:tc>
          <w:tcPr>
            <w:tcW w:type="dxa" w:w="2016"/>
          </w:tcPr>
          <w:p>
            <w:pPr>
              <w:spacing w:after="40"/>
            </w:pPr>
            <w:r/>
            <w:r>
              <w:rPr>
                <w:rFonts w:ascii="Consolas" w:hAnsi="Consolas"/>
                <w:sz w:val="17"/>
              </w:rPr>
              <w:t>CYB-STD-016</w:t>
            </w:r>
          </w:p>
        </w:tc>
        <w:tc>
          <w:tcPr>
            <w:tcW w:type="dxa" w:w="2016"/>
          </w:tcPr>
          <w:p>
            <w:pPr>
              <w:spacing w:after="40"/>
            </w:pPr>
            <w:r/>
            <w:r>
              <w:rPr>
                <w:sz w:val="18"/>
              </w:rPr>
              <w:t>1.7</w:t>
            </w:r>
          </w:p>
        </w:tc>
      </w:tr>
      <w:tr>
        <w:tc>
          <w:tcPr>
            <w:tcW w:type="dxa" w:w="5616"/>
          </w:tcPr>
          <w:p>
            <w:pPr>
              <w:spacing w:after="40"/>
            </w:pPr>
            <w:r/>
            <w:r>
              <w:rPr>
                <w:sz w:val="18"/>
              </w:rPr>
              <w:t>Access Control and User Management Standard</w:t>
            </w:r>
          </w:p>
        </w:tc>
        <w:tc>
          <w:tcPr>
            <w:tcW w:type="dxa" w:w="2016"/>
          </w:tcPr>
          <w:p>
            <w:pPr>
              <w:spacing w:after="40"/>
            </w:pPr>
            <w:r/>
            <w:r>
              <w:rPr>
                <w:rFonts w:ascii="Consolas" w:hAnsi="Consolas"/>
                <w:sz w:val="17"/>
              </w:rPr>
              <w:t>CYB-STD-007</w:t>
            </w:r>
          </w:p>
        </w:tc>
        <w:tc>
          <w:tcPr>
            <w:tcW w:type="dxa" w:w="2016"/>
          </w:tcPr>
          <w:p>
            <w:pPr>
              <w:spacing w:after="40"/>
            </w:pPr>
            <w:r/>
            <w:r>
              <w:rPr>
                <w:sz w:val="18"/>
              </w:rPr>
              <w:t>1.8</w:t>
            </w:r>
          </w:p>
        </w:tc>
      </w:tr>
      <w:tr>
        <w:tc>
          <w:tcPr>
            <w:tcW w:type="dxa" w:w="5616"/>
          </w:tcPr>
          <w:p>
            <w:pPr>
              <w:spacing w:after="40"/>
            </w:pPr>
            <w:r/>
            <w:r>
              <w:rPr>
                <w:sz w:val="18"/>
              </w:rPr>
              <w:t>Software and Business Application Management Standard</w:t>
            </w:r>
          </w:p>
        </w:tc>
        <w:tc>
          <w:tcPr>
            <w:tcW w:type="dxa" w:w="2016"/>
          </w:tcPr>
          <w:p>
            <w:pPr>
              <w:spacing w:after="40"/>
            </w:pPr>
            <w:r/>
            <w:r>
              <w:rPr>
                <w:rFonts w:ascii="Consolas" w:hAnsi="Consolas"/>
                <w:sz w:val="17"/>
              </w:rPr>
              <w:t>-</w:t>
            </w:r>
          </w:p>
        </w:tc>
        <w:tc>
          <w:tcPr>
            <w:tcW w:type="dxa" w:w="2016"/>
          </w:tcPr>
          <w:p>
            <w:pPr>
              <w:spacing w:after="40"/>
            </w:pPr>
            <w:r/>
            <w:r>
              <w:rPr>
                <w:sz w:val="18"/>
              </w:rPr>
              <w:t>1.8</w:t>
            </w:r>
          </w:p>
        </w:tc>
      </w:tr>
      <w:tr>
        <w:tc>
          <w:tcPr>
            <w:tcW w:type="dxa" w:w="5616"/>
          </w:tcPr>
          <w:p>
            <w:pPr>
              <w:spacing w:after="40"/>
            </w:pPr>
            <w:r/>
            <w:r>
              <w:rPr>
                <w:sz w:val="18"/>
              </w:rPr>
              <w:t>Information Transfer Standard</w:t>
            </w:r>
          </w:p>
        </w:tc>
        <w:tc>
          <w:tcPr>
            <w:tcW w:type="dxa" w:w="2016"/>
          </w:tcPr>
          <w:p>
            <w:pPr>
              <w:spacing w:after="40"/>
            </w:pPr>
            <w:r/>
            <w:r>
              <w:rPr>
                <w:rFonts w:ascii="Consolas" w:hAnsi="Consolas"/>
                <w:sz w:val="17"/>
              </w:rPr>
              <w:t>-</w:t>
            </w:r>
          </w:p>
        </w:tc>
        <w:tc>
          <w:tcPr>
            <w:tcW w:type="dxa" w:w="2016"/>
          </w:tcPr>
          <w:p>
            <w:pPr>
              <w:spacing w:after="40"/>
            </w:pPr>
            <w:r/>
            <w:r>
              <w:rPr>
                <w:sz w:val="18"/>
              </w:rPr>
              <w:t>1.5</w:t>
            </w:r>
          </w:p>
        </w:tc>
      </w:tr>
      <w:tr>
        <w:tc>
          <w:tcPr>
            <w:tcW w:type="dxa" w:w="5616"/>
          </w:tcPr>
          <w:p>
            <w:pPr>
              <w:spacing w:after="40"/>
            </w:pPr>
            <w:r/>
            <w:r>
              <w:rPr>
                <w:sz w:val="18"/>
              </w:rPr>
              <w:t>Malware Protection Standard</w:t>
            </w:r>
          </w:p>
        </w:tc>
        <w:tc>
          <w:tcPr>
            <w:tcW w:type="dxa" w:w="2016"/>
          </w:tcPr>
          <w:p>
            <w:pPr>
              <w:spacing w:after="40"/>
            </w:pPr>
            <w:r/>
            <w:r>
              <w:rPr>
                <w:rFonts w:ascii="Consolas" w:hAnsi="Consolas"/>
                <w:sz w:val="17"/>
              </w:rPr>
              <w:t>CYB-STD-036</w:t>
            </w:r>
          </w:p>
        </w:tc>
        <w:tc>
          <w:tcPr>
            <w:tcW w:type="dxa" w:w="2016"/>
          </w:tcPr>
          <w:p>
            <w:pPr>
              <w:spacing w:after="40"/>
            </w:pPr>
            <w:r/>
            <w:r>
              <w:rPr>
                <w:sz w:val="18"/>
              </w:rPr>
              <w:t>1.2</w:t>
            </w:r>
          </w:p>
        </w:tc>
      </w:tr>
      <w:tr>
        <w:tc>
          <w:tcPr>
            <w:tcW w:type="dxa" w:w="5616"/>
          </w:tcPr>
          <w:p>
            <w:pPr>
              <w:spacing w:after="40"/>
            </w:pPr>
            <w:r/>
            <w:r>
              <w:rPr>
                <w:sz w:val="18"/>
              </w:rPr>
              <w:t>Logging and Monitoring Standard</w:t>
            </w:r>
          </w:p>
        </w:tc>
        <w:tc>
          <w:tcPr>
            <w:tcW w:type="dxa" w:w="2016"/>
          </w:tcPr>
          <w:p>
            <w:pPr>
              <w:spacing w:after="40"/>
            </w:pPr>
            <w:r/>
            <w:r>
              <w:rPr>
                <w:rFonts w:ascii="Consolas" w:hAnsi="Consolas"/>
                <w:sz w:val="17"/>
              </w:rPr>
              <w:t>-</w:t>
            </w:r>
          </w:p>
        </w:tc>
        <w:tc>
          <w:tcPr>
            <w:tcW w:type="dxa" w:w="2016"/>
          </w:tcPr>
          <w:p>
            <w:pPr>
              <w:spacing w:after="40"/>
            </w:pPr>
            <w:r/>
            <w:r>
              <w:rPr>
                <w:sz w:val="18"/>
              </w:rPr>
              <w:t>1.9</w:t>
            </w:r>
          </w:p>
        </w:tc>
      </w:tr>
    </w:tbl>
    <w:p>
      <w:pPr>
        <w:spacing w:after="240"/>
      </w:pPr>
      <w:r>
        <w:rPr>
          <w:i/>
          <w:color w:val="606060"/>
          <w:sz w:val="17"/>
        </w:rPr>
        <w:t>Table 3  -  The governance set considered</w:t>
      </w:r>
    </w:p>
    <w:tbl>
      <w:tblPr>
        <w:tblW w:type="auto" w:w="0"/>
        <w:tblLook w:firstColumn="1" w:firstRow="1" w:lastColumn="0" w:lastRow="0" w:noHBand="0" w:noVBand="1" w:val="04A0"/>
      </w:tblPr>
      <w:tblGrid>
        <w:gridCol w:w="9792"/>
      </w:tblGrid>
      <w:tr>
        <w:tc>
          <w:tcPr>
            <w:tcW w:type="dxa" w:w="9792"/>
            <w:shd w:val="clear" w:fill="FFF6E5"/>
          </w:tcPr>
          <w:p>
            <w:pPr>
              <w:spacing w:after="40"/>
            </w:pPr>
            <w:r/>
            <w:r>
              <w:rPr>
                <w:b/>
                <w:color w:val="C8102E"/>
                <w:sz w:val="19"/>
              </w:rPr>
              <w:t>On currency</w:t>
            </w:r>
          </w:p>
          <w:p>
            <w:pPr>
              <w:spacing w:after="40"/>
            </w:pPr>
            <w:r>
              <w:rPr>
                <w:sz w:val="19"/>
              </w:rPr>
              <w:t>Versions are those held in the GBMS knowledge store, retrieved 2026-08-03. The store does not record a last-modified date for these files, so currency at the time of reading cannot be asserted from it. Each entry carries its source URL; follow it to confirm the version in force before relying on this certificate.</w:t>
            </w:r>
          </w:p>
        </w:tc>
      </w:tr>
    </w:tbl>
    <w:p>
      <w:pPr>
        <w:spacing w:after="120"/>
      </w:pPr>
    </w:p>
    <w:p>
      <w:pPr>
        <w:pStyle w:val="Heading2"/>
      </w:pPr>
      <w:r>
        <w:t>5. What each check rests on</w:t>
      </w:r>
    </w:p>
    <w:p>
      <w:pPr>
        <w:spacing w:after="140"/>
      </w:pPr>
      <w:r>
        <w:rPr>
          <w:i w:val="0"/>
          <w:color w:val="1F1F1F"/>
          <w:sz w:val="21"/>
        </w:rPr>
        <w:t>Retrieval produced a candidate clause for every check. Those that did not survive reading are listed in section 6 rather than quoted here, because a citation that does not say what it is claimed to say is worse than no citation at all.</w:t>
      </w:r>
    </w:p>
    <w:p>
      <w:pPr>
        <w:pStyle w:val="Heading3"/>
      </w:pPr>
      <w:r>
        <w:t>frontmatter_schema</w:t>
      </w:r>
    </w:p>
    <w:p>
      <w:pPr>
        <w:spacing w:after="140"/>
      </w:pPr>
      <w:r>
        <w:rPr>
          <w:b/>
          <w:i w:val="0"/>
          <w:sz w:val="21"/>
        </w:rPr>
        <w:t xml:space="preserve">Source:  </w:t>
      </w:r>
      <w:r>
        <w:rPr>
          <w:b w:val="0"/>
          <w:i w:val="0"/>
          <w:sz w:val="21"/>
        </w:rPr>
        <w:t>Information Classification Standard v2.9.pdf</w:t>
      </w:r>
      <w:r>
        <w:rPr>
          <w:b w:val="0"/>
          <w:i/>
          <w:sz w:val="21"/>
        </w:rPr>
        <w:t xml:space="preserve">   (retrieved 2026-08-03)</w:t>
      </w:r>
    </w:p>
    <w:tbl>
      <w:tblPr>
        <w:tblW w:type="auto" w:w="0"/>
        <w:jc w:val="center"/>
        <w:tblLook w:firstColumn="1" w:firstRow="1" w:lastColumn="0" w:lastRow="0" w:noHBand="0" w:noVBand="1" w:val="04A0"/>
      </w:tblPr>
      <w:tblGrid>
        <w:gridCol w:w="9792"/>
      </w:tblGrid>
      <w:tr>
        <w:tc>
          <w:tcPr>
            <w:tcW w:type="dxa" w:w="9792"/>
            <w:shd w:val="clear" w:fill="F6F6F4"/>
          </w:tcPr>
          <w:p>
            <w:pPr>
              <w:spacing w:after="0" w:line="240" w:lineRule="auto"/>
            </w:pPr>
            <w:r/>
            <w:r>
              <w:rPr>
                <w:rFonts w:ascii="Consolas" w:hAnsi="Consolas"/>
                <w:color w:val="242424"/>
                <w:sz w:val="16"/>
              </w:rPr>
              <w:t>ed on the highest classification of data that they store, process, protect, or otherwise handle (for example, payroll systems, may contain “Internal”, “Confidential”, plus “Strictly Confidential” information, so therefore would be classified as “Strictly Confidential”). [A.8.2.1→5.12] [IM1.2.3] 2.2.6 All business applications, spreadsheets, and databases must be classified in line with the highest</w:t>
            </w:r>
          </w:p>
        </w:tc>
      </w:tr>
    </w:tbl>
    <w:p>
      <w:pPr>
        <w:spacing w:after="200"/>
      </w:pPr>
      <w:r>
        <w:rPr>
          <w:i/>
          <w:color w:val="606060"/>
          <w:sz w:val="16"/>
        </w:rPr>
        <w:t>Verbatim from Information Classification Standard v2.9.pdf</w:t>
      </w:r>
    </w:p>
    <w:p>
      <w:pPr>
        <w:spacing w:after="140"/>
      </w:pPr>
      <w:r>
        <w:rPr>
          <w:b/>
          <w:i w:val="0"/>
          <w:sz w:val="21"/>
        </w:rPr>
        <w:t xml:space="preserve">Taken to support:  </w:t>
      </w:r>
      <w:r>
        <w:rPr>
          <w:b w:val="0"/>
          <w:i w:val="0"/>
          <w:sz w:val="21"/>
        </w:rPr>
        <w:t>Requires every asset to carry a classification, and to take the highest classification of what it contains. The gate refuses a package whose front matter omits or misspells the classification, and the four permitted values are this standard's own labels.</w:t>
      </w:r>
    </w:p>
    <w:p>
      <w:pPr>
        <w:spacing w:after="140"/>
      </w:pPr>
      <w:r>
        <w:rPr>
          <w:i w:val="0"/>
          <w:color w:val="606060"/>
          <w:sz w:val="16"/>
        </w:rPr>
        <w:t>https://urbanandmainlines.sharepoint.com/sites/cosmolite/GBMS/ISMS/Standards/Information%20Classification%20Standard%20v2.9.pdf</w:t>
      </w:r>
    </w:p>
    <w:p>
      <w:pPr>
        <w:pStyle w:val="Heading3"/>
      </w:pPr>
      <w:r>
        <w:t>no_site_specifics</w:t>
      </w:r>
    </w:p>
    <w:p>
      <w:pPr>
        <w:spacing w:after="140"/>
      </w:pPr>
      <w:r>
        <w:rPr>
          <w:b/>
          <w:i w:val="0"/>
          <w:sz w:val="21"/>
        </w:rPr>
        <w:t xml:space="preserve">Source:  </w:t>
      </w:r>
      <w:r>
        <w:rPr>
          <w:b w:val="0"/>
          <w:i w:val="0"/>
          <w:sz w:val="21"/>
        </w:rPr>
        <w:t>Information Classification Standard v2.9.pdf</w:t>
      </w:r>
      <w:r>
        <w:rPr>
          <w:b w:val="0"/>
          <w:i/>
          <w:sz w:val="21"/>
        </w:rPr>
        <w:t xml:space="preserve">   (retrieved 2026-08-03)</w:t>
      </w:r>
    </w:p>
    <w:tbl>
      <w:tblPr>
        <w:tblW w:type="auto" w:w="0"/>
        <w:jc w:val="center"/>
        <w:tblLook w:firstColumn="1" w:firstRow="1" w:lastColumn="0" w:lastRow="0" w:noHBand="0" w:noVBand="1" w:val="04A0"/>
      </w:tblPr>
      <w:tblGrid>
        <w:gridCol w:w="9792"/>
      </w:tblGrid>
      <w:tr>
        <w:tc>
          <w:tcPr>
            <w:tcW w:type="dxa" w:w="9792"/>
            <w:shd w:val="clear" w:fill="F6F6F4"/>
          </w:tcPr>
          <w:p>
            <w:pPr>
              <w:spacing w:after="0" w:line="240" w:lineRule="auto"/>
            </w:pPr>
            <w:r/>
            <w:r>
              <w:rPr>
                <w:rFonts w:ascii="Consolas" w:hAnsi="Consolas"/>
                <w:color w:val="242424"/>
                <w:sz w:val="16"/>
              </w:rPr>
              <w:t>ed on the highest classification of data that they store, process, protect, or otherwise handle (for example, payroll systems, may contain “Internal”, “Confidential”, plus “Strictly Confidential” information, so therefore would be classified as “Strictly Confidential”). [A.8.2.1→5.12] [IM1.2.3] 2.2.6 All business applications, spreadsheets, and databases must be classified in line with the highest</w:t>
            </w:r>
          </w:p>
        </w:tc>
      </w:tr>
    </w:tbl>
    <w:p>
      <w:pPr>
        <w:spacing w:after="200"/>
      </w:pPr>
      <w:r>
        <w:rPr>
          <w:i/>
          <w:color w:val="606060"/>
          <w:sz w:val="16"/>
        </w:rPr>
        <w:t>Verbatim from Information Classification Standard v2.9.pdf</w:t>
      </w:r>
    </w:p>
    <w:p>
      <w:pPr>
        <w:spacing w:after="140"/>
      </w:pPr>
      <w:r>
        <w:rPr>
          <w:b/>
          <w:i w:val="0"/>
          <w:sz w:val="21"/>
        </w:rPr>
        <w:t xml:space="preserve">Taken to support:  </w:t>
      </w:r>
      <w:r>
        <w:rPr>
          <w:b w:val="0"/>
          <w:i w:val="0"/>
          <w:sz w:val="21"/>
        </w:rPr>
        <w:t>The same clause governs what an Internal package may contain. Infrastructure detail is permitted in material labelled Internal; the obligation is to classify it correctly, not to remove it.</w:t>
      </w:r>
    </w:p>
    <w:p>
      <w:pPr>
        <w:spacing w:after="140"/>
      </w:pPr>
      <w:r>
        <w:rPr>
          <w:i w:val="0"/>
          <w:color w:val="606060"/>
          <w:sz w:val="16"/>
        </w:rPr>
        <w:t>https://urbanandmainlines.sharepoint.com/sites/cosmolite/GBMS/ISMS/Standards/Information%20Classification%20Standard%20v2.9.pdf</w:t>
      </w:r>
    </w:p>
    <w:p>
      <w:pPr>
        <w:pStyle w:val="Heading3"/>
      </w:pPr>
      <w:r>
        <w:t>dependencies_allowlist</w:t>
      </w:r>
    </w:p>
    <w:p>
      <w:pPr>
        <w:spacing w:after="140"/>
      </w:pPr>
      <w:r>
        <w:rPr>
          <w:b/>
          <w:i w:val="0"/>
          <w:sz w:val="21"/>
        </w:rPr>
        <w:t xml:space="preserve">Source:  </w:t>
      </w:r>
      <w:r>
        <w:rPr>
          <w:b w:val="0"/>
          <w:i w:val="0"/>
          <w:sz w:val="21"/>
        </w:rPr>
        <w:t>Software and Business Application Management Standard v1.8.pdf</w:t>
      </w:r>
      <w:r>
        <w:rPr>
          <w:b w:val="0"/>
          <w:i/>
          <w:sz w:val="21"/>
        </w:rPr>
        <w:t xml:space="preserve">   (retrieved 2026-08-03)</w:t>
      </w:r>
    </w:p>
    <w:tbl>
      <w:tblPr>
        <w:tblW w:type="auto" w:w="0"/>
        <w:jc w:val="center"/>
        <w:tblLook w:firstColumn="1" w:firstRow="1" w:lastColumn="0" w:lastRow="0" w:noHBand="0" w:noVBand="1" w:val="04A0"/>
      </w:tblPr>
      <w:tblGrid>
        <w:gridCol w:w="9792"/>
      </w:tblGrid>
      <w:tr>
        <w:tc>
          <w:tcPr>
            <w:tcW w:type="dxa" w:w="9792"/>
            <w:shd w:val="clear" w:fill="F6F6F4"/>
          </w:tcPr>
          <w:p>
            <w:pPr>
              <w:spacing w:after="0" w:line="240" w:lineRule="auto"/>
            </w:pPr>
            <w:r/>
            <w:r>
              <w:rPr>
                <w:rFonts w:ascii="Consolas" w:hAnsi="Consolas"/>
                <w:color w:val="242424"/>
                <w:sz w:val="16"/>
              </w:rPr>
              <w:t>Prior to deployment, new and updated software and applications, must be security tested and reported and known vulnerabilities remediated. [A.14.2.1.h] [SD2.4.6] [CSC 16-02] 2.15 Security Testing of Software and Applications 2.15.1.</w:t>
            </w:r>
          </w:p>
        </w:tc>
      </w:tr>
    </w:tbl>
    <w:p>
      <w:pPr>
        <w:spacing w:after="200"/>
      </w:pPr>
      <w:r>
        <w:rPr>
          <w:i/>
          <w:color w:val="606060"/>
          <w:sz w:val="16"/>
        </w:rPr>
        <w:t>Verbatim from Software and Business Application Management Standard v1.8.pdf</w:t>
      </w:r>
    </w:p>
    <w:p>
      <w:pPr>
        <w:spacing w:after="140"/>
      </w:pPr>
      <w:r>
        <w:rPr>
          <w:b/>
          <w:i w:val="0"/>
          <w:sz w:val="21"/>
        </w:rPr>
        <w:t xml:space="preserve">Taken to support:  </w:t>
      </w:r>
      <w:r>
        <w:rPr>
          <w:b w:val="0"/>
          <w:i w:val="0"/>
          <w:sz w:val="21"/>
        </w:rPr>
        <w:t>Requires software to be checked before deployment. The gate records every import a skill makes so the dependency surface is stated rather than discovered later.</w:t>
      </w:r>
    </w:p>
    <w:p>
      <w:pPr>
        <w:spacing w:after="140"/>
      </w:pPr>
      <w:r>
        <w:rPr>
          <w:i w:val="0"/>
          <w:color w:val="606060"/>
          <w:sz w:val="16"/>
        </w:rPr>
        <w:t>https://urbanandmainlines.sharepoint.com/sites/cosmolite/GBMS/ISMS/Standards/Software%20and%20Business%20Application%20Management%20Standard%20v1.8.pdf</w:t>
      </w:r>
    </w:p>
    <w:p>
      <w:pPr>
        <w:pStyle w:val="Heading3"/>
      </w:pPr>
      <w:r>
        <w:t>changelog_matches</w:t>
      </w:r>
    </w:p>
    <w:p>
      <w:pPr>
        <w:spacing w:after="140"/>
      </w:pPr>
      <w:r>
        <w:rPr>
          <w:b/>
          <w:i w:val="0"/>
          <w:sz w:val="21"/>
        </w:rPr>
        <w:t xml:space="preserve">Source:  </w:t>
      </w:r>
      <w:r>
        <w:rPr>
          <w:b w:val="0"/>
          <w:i w:val="0"/>
          <w:sz w:val="21"/>
        </w:rPr>
        <w:t>Change Control Standard v1.7.pdf</w:t>
      </w:r>
      <w:r>
        <w:rPr>
          <w:b w:val="0"/>
          <w:i/>
          <w:sz w:val="21"/>
        </w:rPr>
        <w:t xml:space="preserve">   (retrieved 2026-08-03)</w:t>
      </w:r>
    </w:p>
    <w:tbl>
      <w:tblPr>
        <w:tblW w:type="auto" w:w="0"/>
        <w:jc w:val="center"/>
        <w:tblLook w:firstColumn="1" w:firstRow="1" w:lastColumn="0" w:lastRow="0" w:noHBand="0" w:noVBand="1" w:val="04A0"/>
      </w:tblPr>
      <w:tblGrid>
        <w:gridCol w:w="9792"/>
      </w:tblGrid>
      <w:tr>
        <w:tc>
          <w:tcPr>
            <w:tcW w:type="dxa" w:w="9792"/>
            <w:shd w:val="clear" w:fill="F6F6F4"/>
          </w:tcPr>
          <w:p>
            <w:pPr>
              <w:spacing w:after="0" w:line="240" w:lineRule="auto"/>
            </w:pPr>
            <w:r/>
            <w:r>
              <w:rPr>
                <w:rFonts w:ascii="Consolas" w:hAnsi="Consolas"/>
                <w:color w:val="242424"/>
                <w:sz w:val="16"/>
              </w:rPr>
              <w:t>Hitachi Rail change management procedures must include ensuring that business continuity plans, and response and recovery procedures are changed as necessary. [A.5.30, A.14.2.3.c→8.32.i] [SY2.4.5.e] [BAI08.05] 2.1.24.</w:t>
            </w:r>
          </w:p>
        </w:tc>
      </w:tr>
    </w:tbl>
    <w:p>
      <w:pPr>
        <w:spacing w:after="200"/>
      </w:pPr>
      <w:r>
        <w:rPr>
          <w:i/>
          <w:color w:val="606060"/>
          <w:sz w:val="16"/>
        </w:rPr>
        <w:t>Verbatim from Change Control Standard v1.7.pdf</w:t>
      </w:r>
    </w:p>
    <w:p>
      <w:pPr>
        <w:spacing w:after="140"/>
      </w:pPr>
      <w:r>
        <w:rPr>
          <w:b/>
          <w:i w:val="0"/>
          <w:sz w:val="21"/>
        </w:rPr>
        <w:t xml:space="preserve">Taken to support:  </w:t>
      </w:r>
      <w:r>
        <w:rPr>
          <w:b w:val="0"/>
          <w:i w:val="0"/>
          <w:sz w:val="21"/>
        </w:rPr>
        <w:t>Requires changes to be recorded and approved. The gate refuses to package a version with no changelog entry, so no release exists without a written record of what changed.</w:t>
      </w:r>
    </w:p>
    <w:p>
      <w:pPr>
        <w:spacing w:after="140"/>
      </w:pPr>
      <w:r>
        <w:rPr>
          <w:i w:val="0"/>
          <w:color w:val="606060"/>
          <w:sz w:val="16"/>
        </w:rPr>
        <w:t>https://urbanandmainlines.sharepoint.com/sites/cosmolite/GBMS/ISMS/Standards/Change%20Control%20Standard%20v1.7.pdf</w:t>
      </w:r>
    </w:p>
    <w:p>
      <w:pPr>
        <w:pStyle w:val="Heading3"/>
      </w:pPr>
      <w:r>
        <w:t>no_secrets</w:t>
      </w:r>
    </w:p>
    <w:p>
      <w:pPr>
        <w:spacing w:after="140"/>
      </w:pPr>
      <w:r>
        <w:rPr>
          <w:b/>
          <w:i w:val="0"/>
          <w:sz w:val="21"/>
        </w:rPr>
        <w:t xml:space="preserve">Source:  </w:t>
      </w:r>
      <w:r>
        <w:rPr>
          <w:b w:val="0"/>
          <w:i w:val="0"/>
          <w:sz w:val="21"/>
        </w:rPr>
        <w:t>Cryptography and Key Management Standard v1.3.pdf</w:t>
      </w:r>
      <w:r>
        <w:rPr>
          <w:b w:val="0"/>
          <w:i/>
          <w:sz w:val="21"/>
        </w:rPr>
        <w:t xml:space="preserve">   (retrieved 2026-08-03)</w:t>
      </w:r>
    </w:p>
    <w:tbl>
      <w:tblPr>
        <w:tblW w:type="auto" w:w="0"/>
        <w:jc w:val="center"/>
        <w:tblLook w:firstColumn="1" w:firstRow="1" w:lastColumn="0" w:lastRow="0" w:noHBand="0" w:noVBand="1" w:val="04A0"/>
      </w:tblPr>
      <w:tblGrid>
        <w:gridCol w:w="9792"/>
      </w:tblGrid>
      <w:tr>
        <w:tc>
          <w:tcPr>
            <w:tcW w:type="dxa" w:w="9792"/>
            <w:shd w:val="clear" w:fill="F6F6F4"/>
          </w:tcPr>
          <w:p>
            <w:pPr>
              <w:spacing w:after="0" w:line="240" w:lineRule="auto"/>
            </w:pPr>
            <w:r/>
            <w:r>
              <w:rPr>
                <w:rFonts w:ascii="Consolas" w:hAnsi="Consolas"/>
                <w:color w:val="242424"/>
                <w:sz w:val="16"/>
              </w:rPr>
              <w:t>There must be a documented procedure for managing cryptographic keys, which covers the recovery of cryptographic keys that are lost, corrupted, or that have expired. [A.10.1.2.h→8.24.2.h] [TS2.2.3.d] [CSC 11-03] 2.6.12.</w:t>
            </w:r>
          </w:p>
        </w:tc>
      </w:tr>
    </w:tbl>
    <w:p>
      <w:pPr>
        <w:spacing w:after="200"/>
      </w:pPr>
      <w:r>
        <w:rPr>
          <w:i/>
          <w:color w:val="606060"/>
          <w:sz w:val="16"/>
        </w:rPr>
        <w:t>Verbatim from Cryptography and Key Management Standard v1.3.pdf</w:t>
      </w:r>
    </w:p>
    <w:p>
      <w:pPr>
        <w:spacing w:after="140"/>
      </w:pPr>
      <w:r>
        <w:rPr>
          <w:b/>
          <w:i w:val="0"/>
          <w:sz w:val="21"/>
        </w:rPr>
        <w:t xml:space="preserve">Taken to support:  </w:t>
      </w:r>
      <w:r>
        <w:rPr>
          <w:b w:val="0"/>
          <w:i w:val="0"/>
          <w:sz w:val="21"/>
        </w:rPr>
        <w:t>Requires cryptographic key material to be managed under a documented procedure. A key pasted into a skill and copied to 1,200 laptops is outside any such procedure, so the gate blocks it.</w:t>
      </w:r>
    </w:p>
    <w:p>
      <w:pPr>
        <w:spacing w:after="140"/>
      </w:pPr>
      <w:r>
        <w:rPr>
          <w:i w:val="0"/>
          <w:color w:val="606060"/>
          <w:sz w:val="16"/>
        </w:rPr>
        <w:t>https://urbanandmainlines.sharepoint.com/sites/cosmolite/GBMS/ISMS/Standards/Cryptography%20and%20Key%20Management%20Standard%20v1.3.pdf</w:t>
      </w:r>
    </w:p>
    <w:p>
      <w:pPr>
        <w:pStyle w:val="Heading3"/>
      </w:pPr>
      <w:r>
        <w:t>manifest_complete</w:t>
      </w:r>
    </w:p>
    <w:p>
      <w:pPr>
        <w:spacing w:after="140"/>
      </w:pPr>
      <w:r>
        <w:rPr>
          <w:b/>
          <w:i w:val="0"/>
          <w:sz w:val="21"/>
        </w:rPr>
        <w:t xml:space="preserve">Source:  </w:t>
      </w:r>
      <w:r>
        <w:rPr>
          <w:b w:val="0"/>
          <w:i w:val="0"/>
          <w:sz w:val="21"/>
        </w:rPr>
        <w:t>Intellectual Property Protection Standard v1.7.pdf</w:t>
      </w:r>
      <w:r>
        <w:rPr>
          <w:b w:val="0"/>
          <w:i/>
          <w:sz w:val="21"/>
        </w:rPr>
        <w:t xml:space="preserve">   (retrieved 2026-08-03)</w:t>
      </w:r>
    </w:p>
    <w:tbl>
      <w:tblPr>
        <w:tblW w:type="auto" w:w="0"/>
        <w:jc w:val="center"/>
        <w:tblLook w:firstColumn="1" w:firstRow="1" w:lastColumn="0" w:lastRow="0" w:noHBand="0" w:noVBand="1" w:val="04A0"/>
      </w:tblPr>
      <w:tblGrid>
        <w:gridCol w:w="9792"/>
      </w:tblGrid>
      <w:tr>
        <w:tc>
          <w:tcPr>
            <w:tcW w:type="dxa" w:w="9792"/>
            <w:shd w:val="clear" w:fill="F6F6F4"/>
          </w:tcPr>
          <w:p>
            <w:pPr>
              <w:spacing w:after="0" w:line="240" w:lineRule="auto"/>
            </w:pPr>
            <w:r/>
            <w:r>
              <w:rPr>
                <w:rFonts w:ascii="Consolas" w:hAnsi="Consolas"/>
                <w:color w:val="242424"/>
                <w:sz w:val="16"/>
              </w:rPr>
              <w:t>Information asset registers must be maintained that identifies the owners of, details of, and the origin of all assets requiring protection of intellectual property rights. [A.8.1.1→5.9, A.18.1.2.d→5.32.d] [CAF- B3.e.1] [ID.AM.2] 2.1.5.</w:t>
            </w:r>
          </w:p>
        </w:tc>
      </w:tr>
    </w:tbl>
    <w:p>
      <w:pPr>
        <w:spacing w:after="200"/>
      </w:pPr>
      <w:r>
        <w:rPr>
          <w:i/>
          <w:color w:val="606060"/>
          <w:sz w:val="16"/>
        </w:rPr>
        <w:t>Verbatim from Intellectual Property Protection Standard v1.7.pdf</w:t>
      </w:r>
    </w:p>
    <w:p>
      <w:pPr>
        <w:spacing w:after="140"/>
      </w:pPr>
      <w:r>
        <w:rPr>
          <w:b/>
          <w:i w:val="0"/>
          <w:sz w:val="21"/>
        </w:rPr>
        <w:t xml:space="preserve">Taken to support:  </w:t>
      </w:r>
      <w:r>
        <w:rPr>
          <w:b w:val="0"/>
          <w:i w:val="0"/>
          <w:sz w:val="21"/>
        </w:rPr>
        <w:t>Requires a register identifying the owner and origin of assets needing IP protection. MANIFEST.json plus the catalogue entry is that register for this library: every file hashed, every skill owned.</w:t>
      </w:r>
    </w:p>
    <w:p>
      <w:pPr>
        <w:spacing w:after="140"/>
      </w:pPr>
      <w:r>
        <w:rPr>
          <w:i w:val="0"/>
          <w:color w:val="606060"/>
          <w:sz w:val="16"/>
        </w:rPr>
        <w:t>https://urbanandmainlines.sharepoint.com/sites/cosmolite/GBMS/ISMS/Standards/Intellectual%20Property%20Protection%20Standard%20v1.7.pdf</w:t>
      </w:r>
    </w:p>
    <w:p>
      <w:pPr>
        <w:pStyle w:val="Heading2"/>
      </w:pPr>
      <w:r>
        <w:t>6. Checks with no clause claimed</w:t>
      </w:r>
    </w:p>
    <w:tbl>
      <w:tblPr>
        <w:tblStyle w:val="TableGrid"/>
        <w:tblW w:type="auto" w:w="0"/>
        <w:jc w:val="center"/>
        <w:tblLook w:firstColumn="1" w:firstRow="1" w:lastColumn="0" w:lastRow="0" w:noHBand="0" w:noVBand="1" w:val="04A0"/>
      </w:tblPr>
      <w:tblGrid>
        <w:gridCol w:w="4896"/>
        <w:gridCol w:w="4896"/>
      </w:tblGrid>
      <w:tr>
        <w:trPr>
          <w:tblHeader w:val="true"/>
        </w:trPr>
        <w:tc>
          <w:tcPr>
            <w:tcW w:type="dxa" w:w="2736"/>
            <w:shd w:val="clear" w:fill="C8102E"/>
          </w:tcPr>
          <w:p>
            <w:pPr>
              <w:spacing w:after="40"/>
            </w:pPr>
            <w:r/>
            <w:r>
              <w:rPr>
                <w:b/>
                <w:color w:val="FFFFFF"/>
                <w:sz w:val="18"/>
              </w:rPr>
              <w:t>Check</w:t>
            </w:r>
          </w:p>
        </w:tc>
        <w:tc>
          <w:tcPr>
            <w:tcW w:type="dxa" w:w="6912"/>
            <w:shd w:val="clear" w:fill="C8102E"/>
          </w:tcPr>
          <w:p>
            <w:pPr>
              <w:spacing w:after="40"/>
            </w:pPr>
            <w:r/>
            <w:r>
              <w:rPr>
                <w:b/>
                <w:color w:val="FFFFFF"/>
                <w:sz w:val="18"/>
              </w:rPr>
              <w:t>Why no citation</w:t>
            </w:r>
          </w:p>
        </w:tc>
      </w:tr>
      <w:tr>
        <w:tc>
          <w:tcPr>
            <w:tcW w:type="dxa" w:w="2736"/>
          </w:tcPr>
          <w:p>
            <w:pPr>
              <w:spacing w:after="40"/>
            </w:pPr>
            <w:r/>
            <w:r>
              <w:rPr>
                <w:rFonts w:ascii="Consolas" w:hAnsi="Consolas"/>
                <w:sz w:val="17"/>
              </w:rPr>
              <w:t>no_personal_data</w:t>
            </w:r>
          </w:p>
        </w:tc>
        <w:tc>
          <w:tcPr>
            <w:tcW w:type="dxa" w:w="6912"/>
          </w:tcPr>
          <w:p>
            <w:pPr>
              <w:spacing w:after="40"/>
            </w:pPr>
            <w:r/>
            <w:r>
              <w:rPr>
                <w:sz w:val="18"/>
              </w:rPr>
              <w:t>Retrieval returned a page header, not an obligation. The check stands on its own merits, not on a citation.</w:t>
            </w:r>
          </w:p>
        </w:tc>
      </w:tr>
      <w:tr>
        <w:tc>
          <w:tcPr>
            <w:tcW w:type="dxa" w:w="2736"/>
          </w:tcPr>
          <w:p>
            <w:pPr>
              <w:spacing w:after="40"/>
            </w:pPr>
            <w:r/>
            <w:r>
              <w:rPr>
                <w:rFonts w:ascii="Consolas" w:hAnsi="Consolas"/>
                <w:sz w:val="17"/>
              </w:rPr>
              <w:t>no_binaries</w:t>
            </w:r>
          </w:p>
        </w:tc>
        <w:tc>
          <w:tcPr>
            <w:tcW w:type="dxa" w:w="6912"/>
          </w:tcPr>
          <w:p>
            <w:pPr>
              <w:spacing w:after="40"/>
            </w:pPr>
            <w:r/>
            <w:r>
              <w:rPr>
                <w:sz w:val="18"/>
              </w:rPr>
              <w:t>Retrieval returned the cover page of the Malware Protection Standard. No clause is claimed.</w:t>
            </w:r>
          </w:p>
        </w:tc>
      </w:tr>
      <w:tr>
        <w:tc>
          <w:tcPr>
            <w:tcW w:type="dxa" w:w="2736"/>
          </w:tcPr>
          <w:p>
            <w:pPr>
              <w:spacing w:after="40"/>
            </w:pPr>
            <w:r/>
            <w:r>
              <w:rPr>
                <w:rFonts w:ascii="Consolas" w:hAnsi="Consolas"/>
                <w:sz w:val="17"/>
              </w:rPr>
              <w:t>dangerous_operations</w:t>
            </w:r>
          </w:p>
        </w:tc>
        <w:tc>
          <w:tcPr>
            <w:tcW w:type="dxa" w:w="6912"/>
          </w:tcPr>
          <w:p>
            <w:pPr>
              <w:spacing w:after="40"/>
            </w:pPr>
            <w:r/>
            <w:r>
              <w:rPr>
                <w:sz w:val="18"/>
              </w:rPr>
              <w:t>No standard addresses destructive commands in shared automation. These five patterns come from incidents, not from a clause.</w:t>
            </w:r>
          </w:p>
        </w:tc>
      </w:tr>
      <w:tr>
        <w:tc>
          <w:tcPr>
            <w:tcW w:type="dxa" w:w="2736"/>
          </w:tcPr>
          <w:p>
            <w:pPr>
              <w:spacing w:after="40"/>
            </w:pPr>
            <w:r/>
            <w:r>
              <w:rPr>
                <w:rFonts w:ascii="Consolas" w:hAnsi="Consolas"/>
                <w:sz w:val="17"/>
              </w:rPr>
              <w:t>python_compiles</w:t>
            </w:r>
          </w:p>
        </w:tc>
        <w:tc>
          <w:tcPr>
            <w:tcW w:type="dxa" w:w="6912"/>
          </w:tcPr>
          <w:p>
            <w:pPr>
              <w:spacing w:after="40"/>
            </w:pPr>
            <w:r/>
            <w:r>
              <w:rPr>
                <w:sz w:val="18"/>
              </w:rPr>
              <w:t>Engineering practice, not a governance requirement.</w:t>
            </w:r>
          </w:p>
        </w:tc>
      </w:tr>
      <w:tr>
        <w:tc>
          <w:tcPr>
            <w:tcW w:type="dxa" w:w="2736"/>
          </w:tcPr>
          <w:p>
            <w:pPr>
              <w:spacing w:after="40"/>
            </w:pPr>
            <w:r/>
            <w:r>
              <w:rPr>
                <w:rFonts w:ascii="Consolas" w:hAnsi="Consolas"/>
                <w:sz w:val="17"/>
              </w:rPr>
              <w:t>powershell_parses</w:t>
            </w:r>
          </w:p>
        </w:tc>
        <w:tc>
          <w:tcPr>
            <w:tcW w:type="dxa" w:w="6912"/>
          </w:tcPr>
          <w:p>
            <w:pPr>
              <w:spacing w:after="40"/>
            </w:pPr>
            <w:r/>
            <w:r>
              <w:rPr>
                <w:sz w:val="18"/>
              </w:rPr>
              <w:t>Engineering practice, not a governance requirement.</w:t>
            </w:r>
          </w:p>
        </w:tc>
      </w:tr>
      <w:tr>
        <w:tc>
          <w:tcPr>
            <w:tcW w:type="dxa" w:w="2736"/>
          </w:tcPr>
          <w:p>
            <w:pPr>
              <w:spacing w:after="40"/>
            </w:pPr>
            <w:r/>
            <w:r>
              <w:rPr>
                <w:rFonts w:ascii="Consolas" w:hAnsi="Consolas"/>
                <w:sz w:val="17"/>
              </w:rPr>
              <w:t>package_not_empty</w:t>
            </w:r>
          </w:p>
        </w:tc>
        <w:tc>
          <w:tcPr>
            <w:tcW w:type="dxa" w:w="6912"/>
          </w:tcPr>
          <w:p>
            <w:pPr>
              <w:spacing w:after="40"/>
            </w:pPr>
            <w:r/>
            <w:r>
              <w:rPr>
                <w:sz w:val="18"/>
              </w:rPr>
              <w:t>No clause requires it. It exists because every other content check passes vacuously on an empty package, so one check has to assert presence rather than absence of a fault.</w:t>
            </w:r>
          </w:p>
        </w:tc>
      </w:tr>
      <w:tr>
        <w:tc>
          <w:tcPr>
            <w:tcW w:type="dxa" w:w="2736"/>
          </w:tcPr>
          <w:p>
            <w:pPr>
              <w:spacing w:after="40"/>
            </w:pPr>
            <w:r/>
            <w:r>
              <w:rPr>
                <w:rFonts w:ascii="Consolas" w:hAnsi="Consolas"/>
                <w:sz w:val="17"/>
              </w:rPr>
              <w:t>description_length</w:t>
            </w:r>
          </w:p>
        </w:tc>
        <w:tc>
          <w:tcPr>
            <w:tcW w:type="dxa" w:w="6912"/>
          </w:tcPr>
          <w:p>
            <w:pPr>
              <w:spacing w:after="40"/>
            </w:pPr>
            <w:r/>
            <w:r>
              <w:rPr>
                <w:sz w:val="18"/>
              </w:rPr>
              <w:t>No clause requires it. It exists because the agent holds descriptions in context and truncates a long one, silently losing the wording that decides when the skill fires and when it must not.</w:t>
            </w:r>
          </w:p>
        </w:tc>
      </w:tr>
      <w:tr>
        <w:tc>
          <w:tcPr>
            <w:tcW w:type="dxa" w:w="2736"/>
          </w:tcPr>
          <w:p>
            <w:pPr>
              <w:spacing w:after="40"/>
            </w:pPr>
            <w:r/>
            <w:r>
              <w:rPr>
                <w:rFonts w:ascii="Consolas" w:hAnsi="Consolas"/>
                <w:sz w:val="17"/>
              </w:rPr>
              <w:t>selftest</w:t>
            </w:r>
          </w:p>
        </w:tc>
        <w:tc>
          <w:tcPr>
            <w:tcW w:type="dxa" w:w="6912"/>
          </w:tcPr>
          <w:p>
            <w:pPr>
              <w:spacing w:after="40"/>
            </w:pPr>
            <w:r/>
            <w:r>
              <w:rPr>
                <w:sz w:val="18"/>
              </w:rPr>
              <w:t>The Copilot Marketplace Guidelines require unit tests for a skill; that is an internal handbook rather than an ISMS standard, so it is cited in the alignment table. The check exists because three runtime defects passed every static check on 2026-09-14.</w:t>
            </w:r>
          </w:p>
        </w:tc>
      </w:tr>
      <w:tr>
        <w:tc>
          <w:tcPr>
            <w:tcW w:type="dxa" w:w="2736"/>
          </w:tcPr>
          <w:p>
            <w:pPr>
              <w:spacing w:after="40"/>
            </w:pPr>
            <w:r/>
            <w:r>
              <w:rPr>
                <w:rFonts w:ascii="Consolas" w:hAnsi="Consolas"/>
                <w:sz w:val="17"/>
              </w:rPr>
              <w:t>evals_present</w:t>
            </w:r>
          </w:p>
        </w:tc>
        <w:tc>
          <w:tcPr>
            <w:tcW w:type="dxa" w:w="6912"/>
          </w:tcPr>
          <w:p>
            <w:pPr>
              <w:spacing w:after="40"/>
            </w:pPr>
            <w:r/>
            <w:r>
              <w:rPr>
                <w:sz w:val="18"/>
              </w:rPr>
              <w:t>The Copilot Marketplace Guidelines require interface and unit tests for a skill; that is an internal handbook, not an ISMS standard, so it is cited in the alignment table rather than here.</w:t>
            </w:r>
          </w:p>
        </w:tc>
      </w:tr>
      <w:tr>
        <w:tc>
          <w:tcPr>
            <w:tcW w:type="dxa" w:w="2736"/>
          </w:tcPr>
          <w:p>
            <w:pPr>
              <w:spacing w:after="40"/>
            </w:pPr>
            <w:r/>
            <w:r>
              <w:rPr>
                <w:rFonts w:ascii="Consolas" w:hAnsi="Consolas"/>
                <w:sz w:val="17"/>
              </w:rPr>
              <w:t>evals_wellformed</w:t>
            </w:r>
          </w:p>
        </w:tc>
        <w:tc>
          <w:tcPr>
            <w:tcW w:type="dxa" w:w="6912"/>
          </w:tcPr>
          <w:p>
            <w:pPr>
              <w:spacing w:after="40"/>
            </w:pPr>
            <w:r/>
            <w:r>
              <w:rPr>
                <w:sz w:val="18"/>
              </w:rPr>
              <w:t>As above.</w:t>
            </w:r>
          </w:p>
        </w:tc>
      </w:tr>
    </w:tbl>
    <w:p>
      <w:pPr>
        <w:spacing w:after="240"/>
      </w:pPr>
      <w:r>
        <w:rPr>
          <w:i/>
          <w:color w:val="606060"/>
          <w:sz w:val="17"/>
        </w:rPr>
        <w:t>Table 4  -  Stated so the certificate's limits are visible</w:t>
      </w:r>
    </w:p>
    <w:p>
      <w:r>
        <w:br w:type="page"/>
      </w:r>
    </w:p>
    <w:p>
      <w:pPr>
        <w:pStyle w:val="Heading2"/>
      </w:pPr>
      <w:r>
        <w:t>7. Alignment with the Internal Copilot Marketplace Guidelines</w:t>
      </w:r>
    </w:p>
    <w:p>
      <w:pPr>
        <w:spacing w:after="140"/>
      </w:pPr>
      <w:r>
        <w:rPr>
          <w:i w:val="0"/>
          <w:color w:val="1F1F1F"/>
          <w:sz w:val="21"/>
        </w:rPr>
        <w:t>The guidelines are the canonical handbook for building and releasing internal Copilot artefacts. This library implements their controls without Jira, Bitbucket or Jenkins; where a mechanism is substituted, that is stated rather than claimed as compliance.</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1080"/>
            <w:shd w:val="clear" w:fill="C8102E"/>
          </w:tcPr>
          <w:p>
            <w:pPr>
              <w:spacing w:after="40"/>
            </w:pPr>
            <w:r/>
            <w:r>
              <w:rPr>
                <w:b/>
                <w:color w:val="FFFFFF"/>
                <w:sz w:val="17"/>
              </w:rPr>
              <w:t>Section</w:t>
            </w:r>
          </w:p>
        </w:tc>
        <w:tc>
          <w:tcPr>
            <w:tcW w:type="dxa" w:w="2880"/>
            <w:shd w:val="clear" w:fill="C8102E"/>
          </w:tcPr>
          <w:p>
            <w:pPr>
              <w:spacing w:after="40"/>
            </w:pPr>
            <w:r/>
            <w:r>
              <w:rPr>
                <w:b/>
                <w:color w:val="FFFFFF"/>
                <w:sz w:val="17"/>
              </w:rPr>
              <w:t>What it requires</w:t>
            </w:r>
          </w:p>
        </w:tc>
        <w:tc>
          <w:tcPr>
            <w:tcW w:type="dxa" w:w="3960"/>
            <w:shd w:val="clear" w:fill="C8102E"/>
          </w:tcPr>
          <w:p>
            <w:pPr>
              <w:spacing w:after="40"/>
            </w:pPr>
            <w:r/>
            <w:r>
              <w:rPr>
                <w:b/>
                <w:color w:val="FFFFFF"/>
                <w:sz w:val="17"/>
              </w:rPr>
              <w:t>How this library meets it</w:t>
            </w:r>
          </w:p>
        </w:tc>
        <w:tc>
          <w:tcPr>
            <w:tcW w:type="dxa" w:w="1728"/>
            <w:shd w:val="clear" w:fill="C8102E"/>
          </w:tcPr>
          <w:p>
            <w:pPr>
              <w:spacing w:after="40"/>
            </w:pPr>
            <w:r/>
            <w:r>
              <w:rPr>
                <w:b/>
                <w:color w:val="FFFFFF"/>
                <w:sz w:val="17"/>
              </w:rPr>
              <w:t>Status</w:t>
            </w:r>
          </w:p>
        </w:tc>
      </w:tr>
      <w:tr>
        <w:tc>
          <w:tcPr>
            <w:tcW w:type="dxa" w:w="1080"/>
          </w:tcPr>
          <w:p>
            <w:pPr>
              <w:spacing w:after="40"/>
            </w:pPr>
            <w:r/>
            <w:r>
              <w:rPr>
                <w:rFonts w:ascii="Consolas" w:hAnsi="Consolas"/>
                <w:sz w:val="16"/>
              </w:rPr>
              <w:t>1.6 / 3.6</w:t>
            </w:r>
          </w:p>
        </w:tc>
        <w:tc>
          <w:tcPr>
            <w:tcW w:type="dxa" w:w="2880"/>
          </w:tcPr>
          <w:p>
            <w:pPr>
              <w:spacing w:after="40"/>
            </w:pPr>
            <w:r/>
            <w:r>
              <w:rPr>
                <w:sz w:val="17"/>
              </w:rPr>
              <w:t>A catalog is the authoritative index of artefacts, their owners, risk level and lifecycle state</w:t>
            </w:r>
          </w:p>
        </w:tc>
        <w:tc>
          <w:tcPr>
            <w:tcW w:type="dxa" w:w="3960"/>
          </w:tcPr>
          <w:p>
            <w:pPr>
              <w:spacing w:after="40"/>
            </w:pPr>
            <w:r/>
            <w:r>
              <w:rPr>
                <w:sz w:val="17"/>
              </w:rPr>
              <w:t>catalogue.json — every skill with id, version, owner, classification, status and SHA-256</w:t>
            </w:r>
          </w:p>
        </w:tc>
        <w:tc>
          <w:tcPr>
            <w:tcW w:type="dxa" w:w="1728"/>
          </w:tcPr>
          <w:p>
            <w:pPr>
              <w:spacing w:after="40"/>
            </w:pPr>
            <w:r/>
            <w:r>
              <w:rPr>
                <w:sz w:val="17"/>
              </w:rPr>
              <w:t>Met</w:t>
            </w:r>
          </w:p>
        </w:tc>
      </w:tr>
      <w:tr>
        <w:tc>
          <w:tcPr>
            <w:tcW w:type="dxa" w:w="1080"/>
          </w:tcPr>
          <w:p>
            <w:pPr>
              <w:spacing w:after="40"/>
            </w:pPr>
            <w:r/>
            <w:r>
              <w:rPr>
                <w:rFonts w:ascii="Consolas" w:hAnsi="Consolas"/>
                <w:sz w:val="16"/>
              </w:rPr>
              <w:t>3.3</w:t>
            </w:r>
          </w:p>
        </w:tc>
        <w:tc>
          <w:tcPr>
            <w:tcW w:type="dxa" w:w="2880"/>
          </w:tcPr>
          <w:p>
            <w:pPr>
              <w:spacing w:after="40"/>
            </w:pPr>
            <w:r/>
            <w:r>
              <w:rPr>
                <w:sz w:val="17"/>
              </w:rPr>
              <w:t>A skill requires an interface definition, documented side effects, listed data domains, and a version bump when behaviour changes</w:t>
            </w:r>
          </w:p>
        </w:tc>
        <w:tc>
          <w:tcPr>
            <w:tcW w:type="dxa" w:w="3960"/>
          </w:tcPr>
          <w:p>
            <w:pPr>
              <w:spacing w:after="40"/>
            </w:pPr>
            <w:r/>
            <w:r>
              <w:rPr>
                <w:sz w:val="17"/>
              </w:rPr>
              <w:t>Front-matter schema is enforced by the gate; the design description derives the interface and dependency list from the package itself</w:t>
            </w:r>
          </w:p>
        </w:tc>
        <w:tc>
          <w:tcPr>
            <w:tcW w:type="dxa" w:w="1728"/>
          </w:tcPr>
          <w:p>
            <w:pPr>
              <w:spacing w:after="40"/>
            </w:pPr>
            <w:r/>
            <w:r>
              <w:rPr>
                <w:sz w:val="17"/>
              </w:rPr>
              <w:t>Met</w:t>
            </w:r>
          </w:p>
        </w:tc>
      </w:tr>
      <w:tr>
        <w:tc>
          <w:tcPr>
            <w:tcW w:type="dxa" w:w="1080"/>
          </w:tcPr>
          <w:p>
            <w:pPr>
              <w:spacing w:after="40"/>
            </w:pPr>
            <w:r/>
            <w:r>
              <w:rPr>
                <w:rFonts w:ascii="Consolas" w:hAnsi="Consolas"/>
                <w:sz w:val="16"/>
              </w:rPr>
              <w:t>7.1</w:t>
            </w:r>
          </w:p>
        </w:tc>
        <w:tc>
          <w:tcPr>
            <w:tcW w:type="dxa" w:w="2880"/>
          </w:tcPr>
          <w:p>
            <w:pPr>
              <w:spacing w:after="40"/>
            </w:pPr>
            <w:r/>
            <w:r>
              <w:rPr>
                <w:sz w:val="17"/>
              </w:rPr>
              <w:t>Per artefact: owner team, purpose, risk level, data domains, version</w:t>
            </w:r>
          </w:p>
        </w:tc>
        <w:tc>
          <w:tcPr>
            <w:tcW w:type="dxa" w:w="3960"/>
          </w:tcPr>
          <w:p>
            <w:pPr>
              <w:spacing w:after="40"/>
            </w:pPr>
            <w:r/>
            <w:r>
              <w:rPr>
                <w:sz w:val="17"/>
              </w:rPr>
              <w:t>All present in SKILL.md front matter and reproduced in the catalogue</w:t>
            </w:r>
          </w:p>
        </w:tc>
        <w:tc>
          <w:tcPr>
            <w:tcW w:type="dxa" w:w="1728"/>
          </w:tcPr>
          <w:p>
            <w:pPr>
              <w:spacing w:after="40"/>
            </w:pPr>
            <w:r/>
            <w:r>
              <w:rPr>
                <w:sz w:val="17"/>
              </w:rPr>
              <w:t>Met — risk level carried as classification plus site_config</w:t>
            </w:r>
          </w:p>
        </w:tc>
      </w:tr>
      <w:tr>
        <w:tc>
          <w:tcPr>
            <w:tcW w:type="dxa" w:w="1080"/>
          </w:tcPr>
          <w:p>
            <w:pPr>
              <w:spacing w:after="40"/>
            </w:pPr>
            <w:r/>
            <w:r>
              <w:rPr>
                <w:rFonts w:ascii="Consolas" w:hAnsi="Consolas"/>
                <w:sz w:val="16"/>
              </w:rPr>
              <w:t>7.4</w:t>
            </w:r>
          </w:p>
        </w:tc>
        <w:tc>
          <w:tcPr>
            <w:tcW w:type="dxa" w:w="2880"/>
          </w:tcPr>
          <w:p>
            <w:pPr>
              <w:spacing w:after="40"/>
            </w:pPr>
            <w:r/>
            <w:r>
              <w:rPr>
                <w:sz w:val="17"/>
              </w:rPr>
              <w:t>Patch = non-functional, minor = backward compatible, major = breaking</w:t>
            </w:r>
          </w:p>
        </w:tc>
        <w:tc>
          <w:tcPr>
            <w:tcW w:type="dxa" w:w="3960"/>
          </w:tcPr>
          <w:p>
            <w:pPr>
              <w:spacing w:after="40"/>
            </w:pPr>
            <w:r/>
            <w:r>
              <w:rPr>
                <w:sz w:val="17"/>
              </w:rPr>
              <w:t>Semantic versioning, enforced by the gate's front-matter check</w:t>
            </w:r>
          </w:p>
        </w:tc>
        <w:tc>
          <w:tcPr>
            <w:tcW w:type="dxa" w:w="1728"/>
          </w:tcPr>
          <w:p>
            <w:pPr>
              <w:spacing w:after="40"/>
            </w:pPr>
            <w:r/>
            <w:r>
              <w:rPr>
                <w:sz w:val="17"/>
              </w:rPr>
              <w:t>Met</w:t>
            </w:r>
          </w:p>
        </w:tc>
      </w:tr>
      <w:tr>
        <w:tc>
          <w:tcPr>
            <w:tcW w:type="dxa" w:w="1080"/>
          </w:tcPr>
          <w:p>
            <w:pPr>
              <w:spacing w:after="40"/>
            </w:pPr>
            <w:r/>
            <w:r>
              <w:rPr>
                <w:rFonts w:ascii="Consolas" w:hAnsi="Consolas"/>
                <w:sz w:val="16"/>
              </w:rPr>
              <w:t>6.2</w:t>
            </w:r>
          </w:p>
        </w:tc>
        <w:tc>
          <w:tcPr>
            <w:tcW w:type="dxa" w:w="2880"/>
          </w:tcPr>
          <w:p>
            <w:pPr>
              <w:spacing w:after="40"/>
            </w:pPr>
            <w:r/>
            <w:r>
              <w:rPr>
                <w:sz w:val="17"/>
              </w:rPr>
              <w:t>Pipeline stages: build, tests, security scans, publish, notify</w:t>
            </w:r>
          </w:p>
        </w:tc>
        <w:tc>
          <w:tcPr>
            <w:tcW w:type="dxa" w:w="3960"/>
          </w:tcPr>
          <w:p>
            <w:pPr>
              <w:spacing w:after="40"/>
            </w:pPr>
            <w:r/>
            <w:r>
              <w:rPr>
                <w:sz w:val="17"/>
              </w:rPr>
              <w:t>srs_package.py runs the gate then builds; publication is manual to SharePoint with an Artifactory mirror</w:t>
            </w:r>
          </w:p>
        </w:tc>
        <w:tc>
          <w:tcPr>
            <w:tcW w:type="dxa" w:w="1728"/>
          </w:tcPr>
          <w:p>
            <w:pPr>
              <w:spacing w:after="40"/>
            </w:pPr>
            <w:r/>
            <w:r>
              <w:rPr>
                <w:sz w:val="17"/>
              </w:rPr>
              <w:t>Partial — no CI server</w:t>
            </w:r>
          </w:p>
        </w:tc>
      </w:tr>
      <w:tr>
        <w:tc>
          <w:tcPr>
            <w:tcW w:type="dxa" w:w="1080"/>
          </w:tcPr>
          <w:p>
            <w:pPr>
              <w:spacing w:after="40"/>
            </w:pPr>
            <w:r/>
            <w:r>
              <w:rPr>
                <w:rFonts w:ascii="Consolas" w:hAnsi="Consolas"/>
                <w:sz w:val="16"/>
              </w:rPr>
              <w:t>7.2</w:t>
            </w:r>
          </w:p>
        </w:tc>
        <w:tc>
          <w:tcPr>
            <w:tcW w:type="dxa" w:w="2880"/>
          </w:tcPr>
          <w:p>
            <w:pPr>
              <w:spacing w:after="40"/>
            </w:pPr>
            <w:r/>
            <w:r>
              <w:rPr>
                <w:sz w:val="17"/>
              </w:rPr>
              <w:t>Required tests for a skill: interface plus unit tests</w:t>
            </w:r>
          </w:p>
        </w:tc>
        <w:tc>
          <w:tcPr>
            <w:tcW w:type="dxa" w:w="3960"/>
          </w:tcPr>
          <w:p>
            <w:pPr>
              <w:spacing w:after="40"/>
            </w:pPr>
            <w:r/>
            <w:r>
              <w:rPr>
                <w:sz w:val="17"/>
              </w:rPr>
              <w:t>Evaluation scenarios are mandatory and structurally validated; behavioural execution is recorded separately and not asserted</w:t>
            </w:r>
          </w:p>
        </w:tc>
        <w:tc>
          <w:tcPr>
            <w:tcW w:type="dxa" w:w="1728"/>
          </w:tcPr>
          <w:p>
            <w:pPr>
              <w:spacing w:after="40"/>
            </w:pPr>
            <w:r/>
            <w:r>
              <w:rPr>
                <w:sz w:val="17"/>
              </w:rPr>
              <w:t>Partial — evals are not unit tests</w:t>
            </w:r>
          </w:p>
        </w:tc>
      </w:tr>
      <w:tr>
        <w:tc>
          <w:tcPr>
            <w:tcW w:type="dxa" w:w="1080"/>
          </w:tcPr>
          <w:p>
            <w:pPr>
              <w:spacing w:after="40"/>
            </w:pPr>
            <w:r/>
            <w:r>
              <w:rPr>
                <w:rFonts w:ascii="Consolas" w:hAnsi="Consolas"/>
                <w:sz w:val="16"/>
              </w:rPr>
              <w:t>4 / 5</w:t>
            </w:r>
          </w:p>
        </w:tc>
        <w:tc>
          <w:tcPr>
            <w:tcW w:type="dxa" w:w="2880"/>
          </w:tcPr>
          <w:p>
            <w:pPr>
              <w:spacing w:after="40"/>
            </w:pPr>
            <w:r/>
            <w:r>
              <w:rPr>
                <w:sz w:val="17"/>
              </w:rPr>
              <w:t>Jira ticket as the audit spine; Bitbucket pull request with review evidence</w:t>
            </w:r>
          </w:p>
        </w:tc>
        <w:tc>
          <w:tcPr>
            <w:tcW w:type="dxa" w:w="3960"/>
          </w:tcPr>
          <w:p>
            <w:pPr>
              <w:spacing w:after="40"/>
            </w:pPr>
            <w:r/>
            <w:r>
              <w:rPr>
                <w:sz w:val="17"/>
              </w:rPr>
              <w:t>Not used. The audit trail is the changelog, the certificate and the immutable dated archive</w:t>
            </w:r>
          </w:p>
        </w:tc>
        <w:tc>
          <w:tcPr>
            <w:tcW w:type="dxa" w:w="1728"/>
          </w:tcPr>
          <w:p>
            <w:pPr>
              <w:spacing w:after="40"/>
            </w:pPr>
            <w:r/>
            <w:r>
              <w:rPr>
                <w:sz w:val="17"/>
              </w:rPr>
              <w:t>Substituted</w:t>
            </w:r>
          </w:p>
        </w:tc>
      </w:tr>
      <w:tr>
        <w:tc>
          <w:tcPr>
            <w:tcW w:type="dxa" w:w="1080"/>
          </w:tcPr>
          <w:p>
            <w:pPr>
              <w:spacing w:after="40"/>
            </w:pPr>
            <w:r/>
            <w:r>
              <w:rPr>
                <w:rFonts w:ascii="Consolas" w:hAnsi="Consolas"/>
                <w:sz w:val="16"/>
              </w:rPr>
              <w:t>Appendix B</w:t>
            </w:r>
          </w:p>
        </w:tc>
        <w:tc>
          <w:tcPr>
            <w:tcW w:type="dxa" w:w="2880"/>
          </w:tcPr>
          <w:p>
            <w:pPr>
              <w:spacing w:after="40"/>
            </w:pPr>
            <w:r/>
            <w:r>
              <w:rPr>
                <w:sz w:val="17"/>
              </w:rPr>
              <w:t>Low risk requires owner team peer review</w:t>
            </w:r>
          </w:p>
        </w:tc>
        <w:tc>
          <w:tcPr>
            <w:tcW w:type="dxa" w:w="3960"/>
          </w:tcPr>
          <w:p>
            <w:pPr>
              <w:spacing w:after="40"/>
            </w:pPr>
            <w:r/>
            <w:r>
              <w:rPr>
                <w:sz w:val="17"/>
              </w:rPr>
              <w:t>Self-issued certificate with the evidence retained so it can be audited later</w:t>
            </w:r>
          </w:p>
        </w:tc>
        <w:tc>
          <w:tcPr>
            <w:tcW w:type="dxa" w:w="1728"/>
          </w:tcPr>
          <w:p>
            <w:pPr>
              <w:spacing w:after="40"/>
            </w:pPr>
            <w:r/>
            <w:r>
              <w:rPr>
                <w:sz w:val="17"/>
              </w:rPr>
              <w:t>Substituted — single publisher</w:t>
            </w:r>
          </w:p>
        </w:tc>
      </w:tr>
      <w:tr>
        <w:tc>
          <w:tcPr>
            <w:tcW w:type="dxa" w:w="1080"/>
          </w:tcPr>
          <w:p>
            <w:pPr>
              <w:spacing w:after="40"/>
            </w:pPr>
            <w:r/>
            <w:r>
              <w:rPr>
                <w:rFonts w:ascii="Consolas" w:hAnsi="Consolas"/>
                <w:sz w:val="16"/>
              </w:rPr>
              <w:t>Final rule</w:t>
            </w:r>
          </w:p>
        </w:tc>
        <w:tc>
          <w:tcPr>
            <w:tcW w:type="dxa" w:w="2880"/>
          </w:tcPr>
          <w:p>
            <w:pPr>
              <w:spacing w:after="40"/>
            </w:pPr>
            <w:r/>
            <w:r>
              <w:rPr>
                <w:sz w:val="17"/>
              </w:rPr>
              <w:t>If an auditor cannot reconstruct what changed, why, who approved it and how it was tested, it is not done</w:t>
            </w:r>
          </w:p>
        </w:tc>
        <w:tc>
          <w:tcPr>
            <w:tcW w:type="dxa" w:w="3960"/>
          </w:tcPr>
          <w:p>
            <w:pPr>
              <w:spacing w:after="40"/>
            </w:pPr>
            <w:r/>
            <w:r>
              <w:rPr>
                <w:sz w:val="17"/>
              </w:rPr>
              <w:t>Changelog says what and why; certificate says who and what was checked; manifest and catalogue hashes prove which bytes</w:t>
            </w:r>
          </w:p>
        </w:tc>
        <w:tc>
          <w:tcPr>
            <w:tcW w:type="dxa" w:w="1728"/>
          </w:tcPr>
          <w:p>
            <w:pPr>
              <w:spacing w:after="40"/>
            </w:pPr>
            <w:r/>
            <w:r>
              <w:rPr>
                <w:sz w:val="17"/>
              </w:rPr>
              <w:t>Met</w:t>
            </w:r>
          </w:p>
        </w:tc>
      </w:tr>
    </w:tbl>
    <w:p>
      <w:pPr>
        <w:spacing w:after="240"/>
      </w:pPr>
      <w:r>
        <w:rPr>
          <w:i/>
          <w:color w:val="606060"/>
          <w:sz w:val="17"/>
        </w:rPr>
        <w:t>Table 5  -  Control-by-control alignment</w:t>
      </w:r>
    </w:p>
    <w:p>
      <w:pPr>
        <w:pStyle w:val="Heading2"/>
      </w:pPr>
      <w:r>
        <w:t>8. Advisory observations</w:t>
      </w:r>
    </w:p>
    <w:p>
      <w:pPr>
        <w:spacing w:after="140"/>
      </w:pPr>
      <w:r>
        <w:rPr>
          <w:i w:val="0"/>
          <w:color w:val="1F1F1F"/>
          <w:sz w:val="21"/>
        </w:rPr>
        <w:t>Recorded as evidence. These did not and cannot affect the release decision. A model asked to grade or curate its own output does not discriminate reliably, so its opinions are published beside the decision rather than inside it.</w:t>
      </w:r>
    </w:p>
    <w:p>
      <w:pPr>
        <w:pStyle w:val="ListBullet"/>
        <w:spacing w:after="60"/>
        <w:ind w:left="360"/>
      </w:pPr>
      <w:r>
        <w:rPr>
          <w:sz w:val="21"/>
        </w:rPr>
        <w:t>None recorded.</w:t>
      </w:r>
    </w:p>
    <w:sectPr w:rsidR="00FC693F" w:rsidRPr="0006063C" w:rsidSect="00034616">
      <w:headerReference w:type="default" r:id="rId9"/>
      <w:footerReference w:type="default" r:id="rId10"/>
      <w:pgSz w:w="12240" w:h="15840"/>
      <w:pgMar w:top="1152"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Page </w:t>
    </w:r>
    <w:r>
      <w:fldChar w:fldCharType="begin"/>
    </w:r>
    <w:r>
      <w:instrText xml:space="preserve">PAGE</w:instrText>
    </w:r>
    <w:r>
      <w:fldChar w:fldCharType="separate"/>
    </w:r>
    <w:r>
      <w:rPr>
        <w:color w:val="606060"/>
      </w:rPr>
      <w:t>Right-click and choose Update Field</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5"/>
      </w:rPr>
      <w:t>Hitachi Rail  |  Engineering Design Description  |  Hitachi Rail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Segoe UI" w:hAnsi="Segoe UI"/>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00"/>
      <w:outlineLvl w:val="0"/>
    </w:pPr>
    <w:rPr>
      <w:rFonts w:asciiTheme="majorHAnsi" w:eastAsiaTheme="majorEastAsia" w:hAnsiTheme="majorHAnsi" w:cstheme="majorBidi" w:ascii="Segoe UI" w:hAnsi="Segoe UI"/>
      <w:b/>
      <w:bCs/>
      <w:color w:val="C8102E"/>
      <w:sz w:val="38"/>
      <w:szCs w:val="28"/>
    </w:rPr>
  </w:style>
  <w:style w:type="paragraph" w:styleId="Heading2">
    <w:name w:val="heading 2"/>
    <w:basedOn w:val="Normal"/>
    <w:next w:val="Normal"/>
    <w:link w:val="Heading2Char"/>
    <w:uiPriority w:val="9"/>
    <w:unhideWhenUsed/>
    <w:qFormat/>
    <w:rsid w:val="00FC693F"/>
    <w:pPr>
      <w:keepNext/>
      <w:keepLines/>
      <w:spacing w:before="300" w:after="100"/>
      <w:outlineLvl w:val="1"/>
    </w:pPr>
    <w:rPr>
      <w:rFonts w:asciiTheme="majorHAnsi" w:eastAsiaTheme="majorEastAsia" w:hAnsiTheme="majorHAnsi" w:cstheme="majorBidi" w:ascii="Segoe UI" w:hAnsi="Segoe UI"/>
      <w:b/>
      <w:bCs/>
      <w:color w:val="1F1F1F"/>
      <w:sz w:val="29"/>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Segoe UI" w:hAnsi="Segoe UI"/>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Theme="majorHAnsi" w:eastAsiaTheme="majorEastAsia" w:hAnsiTheme="majorHAnsi" w:cstheme="majorBidi" w:ascii="Segoe UI" w:hAnsi="Segoe UI"/>
      <w:b/>
      <w:bCs/>
      <w:i/>
      <w:iCs/>
      <w:color w:val="60606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Segoe UI" w:hAnsi="Segoe U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Frederick Bourgoin</cp:lastModifiedBy>
  <cp:revision>1</cp:revision>
  <dcterms:created xsi:type="dcterms:W3CDTF">2026-09-18T12:00:00Z</dcterms:created>
  <dcterms:modified xsi:type="dcterms:W3CDTF">2026-09-18T12:00:00Z</dcterms:modified>
  <cp:category/>
</cp:coreProperties>
</file>