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1380" w14:textId="77777777" w:rsidR="00D3696D" w:rsidRDefault="00D3696D">
      <w:pPr>
        <w:pStyle w:val="Text"/>
        <w:rPr>
          <w:lang w:val="en-GB"/>
        </w:rPr>
      </w:pPr>
      <w:bookmarkStart w:id="0" w:name="_Hlk183533096"/>
      <w:bookmarkEnd w:id="0"/>
    </w:p>
    <w:p w14:paraId="7497EB4A" w14:textId="77777777" w:rsidR="00D3696D" w:rsidRDefault="00D3696D">
      <w:pPr>
        <w:pStyle w:val="Text"/>
        <w:rPr>
          <w:lang w:val="en-GB"/>
        </w:rPr>
      </w:pPr>
    </w:p>
    <w:p w14:paraId="032A7544" w14:textId="77777777" w:rsidR="00D3696D" w:rsidRDefault="00D3696D">
      <w:pPr>
        <w:pStyle w:val="Text"/>
        <w:rPr>
          <w:lang w:val="en-GB"/>
        </w:rPr>
      </w:pPr>
    </w:p>
    <w:p w14:paraId="0EE15D17" w14:textId="77777777" w:rsidR="00D3696D" w:rsidRDefault="00D3696D">
      <w:pPr>
        <w:pStyle w:val="Text"/>
        <w:rPr>
          <w:lang w:val="en-GB"/>
        </w:rPr>
      </w:pPr>
    </w:p>
    <w:p w14:paraId="76BCF559" w14:textId="77777777" w:rsidR="00D3696D" w:rsidRDefault="00D3696D">
      <w:pPr>
        <w:pStyle w:val="Text"/>
        <w:rPr>
          <w:lang w:val="en-GB"/>
        </w:rPr>
      </w:pPr>
    </w:p>
    <w:p w14:paraId="4A1D5ECD" w14:textId="77777777" w:rsidR="00D3696D" w:rsidRDefault="00D3696D">
      <w:pPr>
        <w:pStyle w:val="Text"/>
        <w:rPr>
          <w:lang w:val="en-GB"/>
        </w:rPr>
      </w:pPr>
    </w:p>
    <w:p w14:paraId="63CAC7E5" w14:textId="77777777" w:rsidR="00D3696D" w:rsidRDefault="00D3696D">
      <w:pPr>
        <w:pStyle w:val="Text"/>
        <w:rPr>
          <w:lang w:val="en-GB"/>
        </w:rPr>
      </w:pPr>
    </w:p>
    <w:p w14:paraId="75638BD5" w14:textId="61D4C1EA" w:rsidR="00D3696D" w:rsidRDefault="00ED2A4A">
      <w:pPr>
        <w:pStyle w:val="StyleTitleProjectTitleLatinHelveticaNeueLTStdBlk18pt"/>
        <w:jc w:val="center"/>
        <w:rPr>
          <w:lang w:val="en-GB"/>
        </w:rPr>
      </w:pPr>
      <w:sdt>
        <w:sdtPr>
          <w:rPr>
            <w:lang w:val="en-GB"/>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3585D">
            <w:rPr>
              <w:lang w:val="en-GB"/>
            </w:rPr>
            <w:t xml:space="preserve">Sicherheitskonzept </w:t>
          </w:r>
          <w:r w:rsidR="009733D6">
            <w:rPr>
              <w:lang w:val="en-GB"/>
            </w:rPr>
            <w:t>DFE</w:t>
          </w:r>
        </w:sdtContent>
      </w:sdt>
    </w:p>
    <w:p w14:paraId="06F85CF3" w14:textId="77777777" w:rsidR="00D3696D" w:rsidRDefault="00D3696D">
      <w:pPr>
        <w:pStyle w:val="Text"/>
        <w:rPr>
          <w:lang w:val="en-GB"/>
        </w:rPr>
      </w:pPr>
    </w:p>
    <w:p w14:paraId="01127F6B" w14:textId="77777777" w:rsidR="00D3696D" w:rsidRDefault="00D3696D">
      <w:pPr>
        <w:pStyle w:val="Text"/>
        <w:rPr>
          <w:lang w:val="en-GB"/>
        </w:rPr>
      </w:pPr>
    </w:p>
    <w:p w14:paraId="3DAED4A2" w14:textId="77777777" w:rsidR="00D3696D" w:rsidRDefault="00D3696D">
      <w:pPr>
        <w:pStyle w:val="Text"/>
        <w:rPr>
          <w:lang w:val="en-GB"/>
        </w:rPr>
        <w:sectPr w:rsidR="00D3696D">
          <w:headerReference w:type="default" r:id="rId11"/>
          <w:footerReference w:type="default" r:id="rId12"/>
          <w:pgSz w:w="11906" w:h="16838" w:code="9"/>
          <w:pgMar w:top="1253" w:right="706" w:bottom="562" w:left="1253" w:header="288" w:footer="288" w:gutter="0"/>
          <w:cols w:space="720"/>
          <w:docGrid w:linePitch="360"/>
        </w:sectPr>
      </w:pPr>
    </w:p>
    <w:p w14:paraId="77201D7F" w14:textId="77777777" w:rsidR="00D3696D" w:rsidRDefault="00D3696D">
      <w:pPr>
        <w:pStyle w:val="Text"/>
        <w:rPr>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D3696D" w14:paraId="15871FA2" w14:textId="77777777">
        <w:trPr>
          <w:tblHeader/>
          <w:jc w:val="center"/>
        </w:trPr>
        <w:tc>
          <w:tcPr>
            <w:tcW w:w="10122" w:type="dxa"/>
            <w:gridSpan w:val="3"/>
            <w:shd w:val="clear" w:color="auto" w:fill="D9D9D9"/>
          </w:tcPr>
          <w:p w14:paraId="261883DB" w14:textId="77777777" w:rsidR="00D3696D" w:rsidRDefault="0083585D">
            <w:pPr>
              <w:pStyle w:val="Tabletext"/>
              <w:jc w:val="center"/>
              <w:rPr>
                <w:b/>
                <w:lang w:val="en-GB"/>
              </w:rPr>
            </w:pPr>
            <w:r>
              <w:rPr>
                <w:b/>
                <w:lang w:val="en-GB"/>
              </w:rPr>
              <w:t>APPROVAL</w:t>
            </w:r>
          </w:p>
        </w:tc>
      </w:tr>
      <w:tr w:rsidR="00D3696D" w14:paraId="2BB512A1" w14:textId="77777777">
        <w:trPr>
          <w:tblHeader/>
          <w:jc w:val="center"/>
        </w:trPr>
        <w:tc>
          <w:tcPr>
            <w:tcW w:w="1460" w:type="dxa"/>
            <w:tcBorders>
              <w:bottom w:val="single" w:sz="4" w:space="0" w:color="A6A6A6"/>
            </w:tcBorders>
            <w:shd w:val="clear" w:color="auto" w:fill="D9D9D9"/>
          </w:tcPr>
          <w:p w14:paraId="7BD550BB" w14:textId="77777777" w:rsidR="00D3696D" w:rsidRDefault="00D3696D">
            <w:pPr>
              <w:pStyle w:val="Tabletext"/>
              <w:rPr>
                <w:b/>
                <w:lang w:val="en-GB"/>
              </w:rPr>
            </w:pPr>
          </w:p>
        </w:tc>
        <w:tc>
          <w:tcPr>
            <w:tcW w:w="4475" w:type="dxa"/>
            <w:shd w:val="clear" w:color="auto" w:fill="D9D9D9"/>
          </w:tcPr>
          <w:p w14:paraId="41870FB1" w14:textId="77777777" w:rsidR="00D3696D" w:rsidRDefault="0083585D">
            <w:pPr>
              <w:pStyle w:val="Tabletext"/>
              <w:rPr>
                <w:b/>
                <w:lang w:val="en-GB"/>
              </w:rPr>
            </w:pPr>
            <w:r>
              <w:rPr>
                <w:b/>
                <w:lang w:val="en-GB"/>
              </w:rPr>
              <w:t>Name and Role/Job Title</w:t>
            </w:r>
          </w:p>
        </w:tc>
        <w:tc>
          <w:tcPr>
            <w:tcW w:w="4187" w:type="dxa"/>
            <w:shd w:val="clear" w:color="auto" w:fill="D9D9D9"/>
          </w:tcPr>
          <w:p w14:paraId="7571D995" w14:textId="77777777" w:rsidR="00D3696D" w:rsidRDefault="0083585D">
            <w:pPr>
              <w:pStyle w:val="Tabletext"/>
              <w:rPr>
                <w:b/>
                <w:lang w:val="en-GB"/>
              </w:rPr>
            </w:pPr>
            <w:r>
              <w:rPr>
                <w:b/>
                <w:lang w:val="en-GB"/>
              </w:rPr>
              <w:t>Esignature</w:t>
            </w:r>
          </w:p>
        </w:tc>
      </w:tr>
      <w:tr w:rsidR="00D3696D" w14:paraId="5A2A740B" w14:textId="77777777">
        <w:trPr>
          <w:jc w:val="center"/>
        </w:trPr>
        <w:tc>
          <w:tcPr>
            <w:tcW w:w="1460" w:type="dxa"/>
            <w:shd w:val="clear" w:color="auto" w:fill="D9D9D9"/>
          </w:tcPr>
          <w:p w14:paraId="5C987ABC" w14:textId="77777777" w:rsidR="00D3696D" w:rsidRDefault="0083585D">
            <w:pPr>
              <w:pStyle w:val="Tabletext"/>
              <w:rPr>
                <w:lang w:val="en-GB"/>
              </w:rPr>
            </w:pPr>
            <w:r>
              <w:rPr>
                <w:lang w:val="en-GB"/>
              </w:rPr>
              <w:t>Written by</w:t>
            </w:r>
          </w:p>
        </w:tc>
        <w:tc>
          <w:tcPr>
            <w:tcW w:w="4475" w:type="dxa"/>
          </w:tcPr>
          <w:p w14:paraId="60A96CBD" w14:textId="3A132FFF" w:rsidR="00D3696D" w:rsidRDefault="009733D6">
            <w:pPr>
              <w:pStyle w:val="Tabletext"/>
              <w:jc w:val="center"/>
              <w:rPr>
                <w:lang w:val="en-GB"/>
              </w:rPr>
            </w:pPr>
            <w:r>
              <w:rPr>
                <w:lang w:val="en-GB"/>
              </w:rPr>
              <w:t xml:space="preserve">Manfred Pohl, </w:t>
            </w:r>
            <w:r w:rsidR="003F5A5F">
              <w:rPr>
                <w:lang w:val="en-GB"/>
              </w:rPr>
              <w:t>Roman Büger</w:t>
            </w:r>
            <w:r w:rsidR="0083585D">
              <w:rPr>
                <w:lang w:val="en-GB"/>
              </w:rPr>
              <w:t xml:space="preserve"> / SAM</w:t>
            </w:r>
          </w:p>
          <w:p w14:paraId="5EBD84D2" w14:textId="77777777" w:rsidR="00D3696D" w:rsidRDefault="00D3696D">
            <w:pPr>
              <w:pStyle w:val="Tabletext"/>
              <w:rPr>
                <w:highlight w:val="yellow"/>
                <w:lang w:val="en-GB"/>
              </w:rPr>
            </w:pPr>
          </w:p>
        </w:tc>
        <w:tc>
          <w:tcPr>
            <w:tcW w:w="4187" w:type="dxa"/>
          </w:tcPr>
          <w:p w14:paraId="279D574A" w14:textId="77777777" w:rsidR="00D3696D" w:rsidRDefault="00D3696D">
            <w:pPr>
              <w:pStyle w:val="Tabletext"/>
              <w:rPr>
                <w:highlight w:val="yellow"/>
                <w:lang w:val="en-GB"/>
              </w:rPr>
            </w:pPr>
          </w:p>
        </w:tc>
      </w:tr>
      <w:tr w:rsidR="00D3696D" w14:paraId="585DF721" w14:textId="77777777" w:rsidTr="00E77A1F">
        <w:trPr>
          <w:trHeight w:val="836"/>
          <w:jc w:val="center"/>
        </w:trPr>
        <w:tc>
          <w:tcPr>
            <w:tcW w:w="1460" w:type="dxa"/>
            <w:shd w:val="clear" w:color="auto" w:fill="D9D9D9"/>
          </w:tcPr>
          <w:p w14:paraId="29B2B2BF" w14:textId="77777777" w:rsidR="00D3696D" w:rsidRDefault="0083585D">
            <w:pPr>
              <w:pStyle w:val="Tabletext"/>
              <w:rPr>
                <w:lang w:val="en-GB"/>
              </w:rPr>
            </w:pPr>
            <w:r>
              <w:rPr>
                <w:lang w:val="en-GB"/>
              </w:rPr>
              <w:t>Verified by</w:t>
            </w:r>
          </w:p>
        </w:tc>
        <w:tc>
          <w:tcPr>
            <w:tcW w:w="4475" w:type="dxa"/>
          </w:tcPr>
          <w:p w14:paraId="478020AE" w14:textId="77777777" w:rsidR="00D3696D" w:rsidRDefault="0083585D" w:rsidP="00E77A1F">
            <w:pPr>
              <w:pStyle w:val="Tabletext"/>
              <w:jc w:val="center"/>
              <w:rPr>
                <w:lang w:val="en-GB"/>
              </w:rPr>
            </w:pPr>
            <w:r>
              <w:rPr>
                <w:lang w:val="en-GB"/>
              </w:rPr>
              <w:t>Christian JANNESCHITZ / QAM</w:t>
            </w:r>
          </w:p>
        </w:tc>
        <w:tc>
          <w:tcPr>
            <w:tcW w:w="4187" w:type="dxa"/>
          </w:tcPr>
          <w:p w14:paraId="19727E24" w14:textId="77777777" w:rsidR="00D3696D" w:rsidRDefault="00D3696D">
            <w:pPr>
              <w:pStyle w:val="Tabletext"/>
              <w:rPr>
                <w:lang w:val="en-GB"/>
              </w:rPr>
            </w:pPr>
          </w:p>
        </w:tc>
      </w:tr>
      <w:tr w:rsidR="00D3696D" w:rsidRPr="00933B44" w14:paraId="705613A8" w14:textId="77777777" w:rsidTr="00E77A1F">
        <w:trPr>
          <w:trHeight w:val="874"/>
          <w:jc w:val="center"/>
        </w:trPr>
        <w:tc>
          <w:tcPr>
            <w:tcW w:w="1460" w:type="dxa"/>
            <w:shd w:val="clear" w:color="auto" w:fill="D9D9D9"/>
          </w:tcPr>
          <w:p w14:paraId="27DE94D7" w14:textId="77777777" w:rsidR="00D3696D" w:rsidRDefault="0083585D">
            <w:pPr>
              <w:pStyle w:val="Tabletext"/>
              <w:rPr>
                <w:lang w:val="en-GB"/>
              </w:rPr>
            </w:pPr>
            <w:r>
              <w:rPr>
                <w:lang w:val="en-GB"/>
              </w:rPr>
              <w:t>Approved by</w:t>
            </w:r>
          </w:p>
        </w:tc>
        <w:tc>
          <w:tcPr>
            <w:tcW w:w="4475" w:type="dxa"/>
          </w:tcPr>
          <w:p w14:paraId="2100CC81" w14:textId="77777777" w:rsidR="00D3696D" w:rsidRDefault="0083585D" w:rsidP="00E77A1F">
            <w:pPr>
              <w:pStyle w:val="Tabletext"/>
              <w:jc w:val="center"/>
              <w:rPr>
                <w:highlight w:val="yellow"/>
                <w:lang w:val="en-GB"/>
              </w:rPr>
            </w:pPr>
            <w:r>
              <w:rPr>
                <w:lang w:val="en-GB"/>
              </w:rPr>
              <w:t>Christoph Sünder / Safety Engineering Authority</w:t>
            </w:r>
          </w:p>
        </w:tc>
        <w:tc>
          <w:tcPr>
            <w:tcW w:w="4187" w:type="dxa"/>
          </w:tcPr>
          <w:p w14:paraId="36B246E2" w14:textId="77777777" w:rsidR="00D3696D" w:rsidRDefault="00D3696D">
            <w:pPr>
              <w:pStyle w:val="Tabletext"/>
              <w:rPr>
                <w:lang w:val="en-GB"/>
              </w:rPr>
            </w:pPr>
          </w:p>
        </w:tc>
      </w:tr>
    </w:tbl>
    <w:p w14:paraId="313CFFC8" w14:textId="77777777" w:rsidR="00D3696D" w:rsidRDefault="0083585D">
      <w:pPr>
        <w:pStyle w:val="Text"/>
        <w:rPr>
          <w:lang w:val="en-GB"/>
        </w:rPr>
      </w:pPr>
      <w:r>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D3696D" w14:paraId="426C8F93" w14:textId="77777777" w:rsidTr="6E4FF81E">
        <w:tc>
          <w:tcPr>
            <w:tcW w:w="10094" w:type="dxa"/>
            <w:gridSpan w:val="4"/>
            <w:shd w:val="clear" w:color="auto" w:fill="D9D9D9" w:themeFill="background1" w:themeFillShade="D9"/>
          </w:tcPr>
          <w:p w14:paraId="0C2D56EE" w14:textId="77777777" w:rsidR="00D3696D" w:rsidRDefault="0083585D">
            <w:pPr>
              <w:pStyle w:val="Tabletext"/>
              <w:jc w:val="center"/>
              <w:rPr>
                <w:b/>
                <w:lang w:val="en-GB"/>
              </w:rPr>
            </w:pPr>
            <w:r>
              <w:rPr>
                <w:b/>
                <w:lang w:val="en-GB"/>
              </w:rPr>
              <w:lastRenderedPageBreak/>
              <w:t>LOG OF CHANGES</w:t>
            </w:r>
          </w:p>
        </w:tc>
      </w:tr>
      <w:tr w:rsidR="00D3696D" w14:paraId="61A372A1" w14:textId="77777777" w:rsidTr="6E4FF81E">
        <w:tc>
          <w:tcPr>
            <w:tcW w:w="1364" w:type="dxa"/>
            <w:shd w:val="clear" w:color="auto" w:fill="D9D9D9" w:themeFill="background1" w:themeFillShade="D9"/>
          </w:tcPr>
          <w:p w14:paraId="59CCCD32" w14:textId="77777777" w:rsidR="00D3696D" w:rsidRDefault="0083585D">
            <w:pPr>
              <w:pStyle w:val="Tabletext"/>
              <w:rPr>
                <w:b/>
                <w:lang w:val="en-GB"/>
              </w:rPr>
            </w:pPr>
            <w:r>
              <w:rPr>
                <w:b/>
                <w:lang w:val="en-GB"/>
              </w:rPr>
              <w:t>Revision</w:t>
            </w:r>
          </w:p>
        </w:tc>
        <w:tc>
          <w:tcPr>
            <w:tcW w:w="1410" w:type="dxa"/>
            <w:shd w:val="clear" w:color="auto" w:fill="D9D9D9" w:themeFill="background1" w:themeFillShade="D9"/>
          </w:tcPr>
          <w:p w14:paraId="20E8EC5B" w14:textId="77777777" w:rsidR="00D3696D" w:rsidRDefault="0083585D">
            <w:pPr>
              <w:pStyle w:val="Tabletext"/>
              <w:rPr>
                <w:b/>
                <w:lang w:val="en-GB"/>
              </w:rPr>
            </w:pPr>
            <w:r>
              <w:rPr>
                <w:b/>
                <w:lang w:val="en-GB"/>
              </w:rPr>
              <w:t>Date</w:t>
            </w:r>
          </w:p>
        </w:tc>
        <w:tc>
          <w:tcPr>
            <w:tcW w:w="2268" w:type="dxa"/>
            <w:shd w:val="clear" w:color="auto" w:fill="D9D9D9" w:themeFill="background1" w:themeFillShade="D9"/>
          </w:tcPr>
          <w:p w14:paraId="22C015D5" w14:textId="77777777" w:rsidR="00D3696D" w:rsidRDefault="0083585D">
            <w:pPr>
              <w:pStyle w:val="Tabletext"/>
              <w:rPr>
                <w:b/>
                <w:lang w:val="en-GB"/>
              </w:rPr>
            </w:pPr>
            <w:r>
              <w:rPr>
                <w:b/>
                <w:lang w:val="en-GB"/>
              </w:rPr>
              <w:t>Author</w:t>
            </w:r>
          </w:p>
        </w:tc>
        <w:tc>
          <w:tcPr>
            <w:tcW w:w="5052" w:type="dxa"/>
            <w:shd w:val="clear" w:color="auto" w:fill="D9D9D9" w:themeFill="background1" w:themeFillShade="D9"/>
          </w:tcPr>
          <w:p w14:paraId="3E125DC0" w14:textId="77777777" w:rsidR="00D3696D" w:rsidRDefault="0083585D">
            <w:pPr>
              <w:pStyle w:val="Tabletext"/>
              <w:rPr>
                <w:b/>
                <w:lang w:val="en-GB"/>
              </w:rPr>
            </w:pPr>
            <w:r>
              <w:rPr>
                <w:b/>
                <w:lang w:val="en-GB"/>
              </w:rPr>
              <w:t>Change Description</w:t>
            </w:r>
          </w:p>
        </w:tc>
      </w:tr>
      <w:tr w:rsidR="00D3696D" w:rsidRPr="0052204E" w14:paraId="111283B1" w14:textId="77777777" w:rsidTr="6E4FF81E">
        <w:tc>
          <w:tcPr>
            <w:tcW w:w="1364" w:type="dxa"/>
            <w:tcMar>
              <w:left w:w="57" w:type="dxa"/>
              <w:right w:w="57" w:type="dxa"/>
            </w:tcMar>
            <w:vAlign w:val="center"/>
          </w:tcPr>
          <w:p w14:paraId="56716932" w14:textId="338D8FB7" w:rsidR="00D3696D" w:rsidRPr="003F5A5F" w:rsidRDefault="0083585D">
            <w:pPr>
              <w:pStyle w:val="Tabletext"/>
              <w:rPr>
                <w:b/>
                <w:lang w:val="en-GB"/>
              </w:rPr>
            </w:pPr>
            <w:r w:rsidRPr="003F5A5F">
              <w:rPr>
                <w:b/>
                <w:lang w:val="en-GB"/>
              </w:rPr>
              <w:t xml:space="preserve">01 </w:t>
            </w:r>
            <w:r w:rsidR="009733D6">
              <w:rPr>
                <w:b/>
                <w:lang w:val="en-GB"/>
              </w:rPr>
              <w:t>PD 01</w:t>
            </w:r>
          </w:p>
        </w:tc>
        <w:tc>
          <w:tcPr>
            <w:tcW w:w="1410" w:type="dxa"/>
            <w:tcMar>
              <w:left w:w="57" w:type="dxa"/>
              <w:right w:w="57" w:type="dxa"/>
            </w:tcMar>
            <w:vAlign w:val="center"/>
          </w:tcPr>
          <w:p w14:paraId="57DD93C8" w14:textId="7AEBEEBC" w:rsidR="00D3696D" w:rsidRPr="009733D6" w:rsidRDefault="0083585D">
            <w:pPr>
              <w:pStyle w:val="Tabletext"/>
              <w:rPr>
                <w:highlight w:val="yellow"/>
                <w:lang w:val="en-GB"/>
              </w:rPr>
            </w:pPr>
            <w:r w:rsidRPr="6E4FF81E">
              <w:rPr>
                <w:highlight w:val="yellow"/>
                <w:lang w:val="en-GB"/>
              </w:rPr>
              <w:t>20</w:t>
            </w:r>
            <w:r w:rsidR="29CC0BB9" w:rsidRPr="6E4FF81E">
              <w:rPr>
                <w:highlight w:val="yellow"/>
                <w:lang w:val="en-GB"/>
              </w:rPr>
              <w:t>26-</w:t>
            </w:r>
            <w:r w:rsidR="00EC5B45">
              <w:rPr>
                <w:highlight w:val="yellow"/>
                <w:lang w:val="en-GB"/>
              </w:rPr>
              <w:t>09</w:t>
            </w:r>
            <w:r w:rsidR="29CC0BB9" w:rsidRPr="6E4FF81E">
              <w:rPr>
                <w:highlight w:val="yellow"/>
                <w:lang w:val="en-GB"/>
              </w:rPr>
              <w:t>-XX</w:t>
            </w:r>
          </w:p>
        </w:tc>
        <w:tc>
          <w:tcPr>
            <w:tcW w:w="2268" w:type="dxa"/>
            <w:tcMar>
              <w:left w:w="57" w:type="dxa"/>
              <w:right w:w="57" w:type="dxa"/>
            </w:tcMar>
            <w:vAlign w:val="center"/>
          </w:tcPr>
          <w:p w14:paraId="6A7B39B8" w14:textId="1EFF4E42" w:rsidR="00D3696D" w:rsidRPr="009733D6" w:rsidRDefault="29CC0BB9" w:rsidP="6E4FF81E">
            <w:pPr>
              <w:pStyle w:val="Tabletext"/>
              <w:rPr>
                <w:highlight w:val="yellow"/>
                <w:lang w:val="en-GB"/>
              </w:rPr>
            </w:pPr>
            <w:r w:rsidRPr="6E4FF81E">
              <w:rPr>
                <w:highlight w:val="yellow"/>
                <w:lang w:val="en-GB"/>
              </w:rPr>
              <w:t>R. Büger, M. Pohl</w:t>
            </w:r>
          </w:p>
        </w:tc>
        <w:tc>
          <w:tcPr>
            <w:tcW w:w="5052" w:type="dxa"/>
            <w:vAlign w:val="center"/>
          </w:tcPr>
          <w:p w14:paraId="159BB243" w14:textId="19E2DE4D" w:rsidR="00D3696D" w:rsidRPr="009733D6" w:rsidRDefault="677EE94F" w:rsidP="6E4FF81E">
            <w:pPr>
              <w:pStyle w:val="Tabletext"/>
            </w:pPr>
            <w:r w:rsidRPr="6E4FF81E">
              <w:rPr>
                <w:highlight w:val="yellow"/>
                <w:lang w:val="de-AT"/>
              </w:rPr>
              <w:t>Erstes Proposal</w:t>
            </w:r>
            <w:r w:rsidR="16334897" w:rsidRPr="6E4FF81E">
              <w:rPr>
                <w:highlight w:val="yellow"/>
                <w:lang w:val="de-AT"/>
              </w:rPr>
              <w:t xml:space="preserve"> für </w:t>
            </w:r>
            <w:r w:rsidR="16334897" w:rsidRPr="6E4FF81E">
              <w:rPr>
                <w:lang w:val="de-AT"/>
              </w:rPr>
              <w:t>DFE_1.0.0</w:t>
            </w:r>
          </w:p>
        </w:tc>
      </w:tr>
    </w:tbl>
    <w:p w14:paraId="0A6A26DD" w14:textId="77777777" w:rsidR="00D3696D" w:rsidRDefault="00D3696D">
      <w:pPr>
        <w:pStyle w:val="Text"/>
        <w:rPr>
          <w:lang w:val="de-AT"/>
        </w:rPr>
      </w:pPr>
    </w:p>
    <w:p w14:paraId="2561938D" w14:textId="77777777" w:rsidR="00D3696D" w:rsidRDefault="0083585D">
      <w:pPr>
        <w:pStyle w:val="TOCHeading"/>
        <w:rPr>
          <w:color w:val="000000" w:themeColor="text1"/>
        </w:rPr>
      </w:pPr>
      <w:r>
        <w:rPr>
          <w:bCs/>
          <w:caps w:val="0"/>
          <w:color w:val="000000"/>
          <w:shd w:val="clear" w:color="auto" w:fill="FFFFFF"/>
        </w:rPr>
        <w:lastRenderedPageBreak/>
        <w:t>INHALTSVERZEICHNIS</w:t>
      </w:r>
    </w:p>
    <w:p w14:paraId="5C333191" w14:textId="2F68A28D" w:rsidR="00371A83" w:rsidRDefault="0083585D">
      <w:pPr>
        <w:pStyle w:val="TOC1"/>
        <w:rPr>
          <w:rFonts w:asciiTheme="minorHAnsi" w:eastAsiaTheme="minorEastAsia" w:hAnsiTheme="minorHAnsi" w:cstheme="minorBidi"/>
          <w:caps w:val="0"/>
          <w:noProof/>
          <w:spacing w:val="0"/>
          <w:kern w:val="2"/>
          <w:sz w:val="24"/>
          <w:szCs w:val="24"/>
          <w:lang w:val="de-AT"/>
          <w14:ligatures w14:val="standardContextual"/>
        </w:rPr>
      </w:pPr>
      <w:r>
        <w:rPr>
          <w:rStyle w:val="Hyperlink"/>
          <w:lang w:eastAsia="en-US"/>
        </w:rPr>
        <w:fldChar w:fldCharType="begin"/>
      </w:r>
      <w:r>
        <w:rPr>
          <w:rStyle w:val="Hyperlink"/>
        </w:rPr>
        <w:instrText xml:space="preserve"> TOC \o "1-3" \h \z \u </w:instrText>
      </w:r>
      <w:r>
        <w:rPr>
          <w:rStyle w:val="Hyperlink"/>
          <w:lang w:eastAsia="en-US"/>
        </w:rPr>
        <w:fldChar w:fldCharType="separate"/>
      </w:r>
      <w:hyperlink w:anchor="_Toc242167510" w:history="1">
        <w:r w:rsidR="00371A83" w:rsidRPr="00F326D9">
          <w:rPr>
            <w:rStyle w:val="Hyperlink"/>
            <w:noProof/>
          </w:rPr>
          <w:t>1.</w:t>
        </w:r>
        <w:r w:rsidR="00371A83">
          <w:rPr>
            <w:rFonts w:asciiTheme="minorHAnsi" w:eastAsiaTheme="minorEastAsia" w:hAnsiTheme="minorHAnsi" w:cstheme="minorBidi"/>
            <w:caps w:val="0"/>
            <w:noProof/>
            <w:spacing w:val="0"/>
            <w:kern w:val="2"/>
            <w:sz w:val="24"/>
            <w:szCs w:val="24"/>
            <w:lang w:val="de-AT"/>
            <w14:ligatures w14:val="standardContextual"/>
          </w:rPr>
          <w:tab/>
        </w:r>
        <w:r w:rsidR="00371A83" w:rsidRPr="00F326D9">
          <w:rPr>
            <w:rStyle w:val="Hyperlink"/>
            <w:noProof/>
          </w:rPr>
          <w:t>EINLEITUNG</w:t>
        </w:r>
        <w:r w:rsidR="00371A83">
          <w:rPr>
            <w:noProof/>
            <w:webHidden/>
          </w:rPr>
          <w:tab/>
        </w:r>
        <w:r w:rsidR="00371A83">
          <w:rPr>
            <w:noProof/>
            <w:webHidden/>
          </w:rPr>
          <w:fldChar w:fldCharType="begin"/>
        </w:r>
        <w:r w:rsidR="00371A83">
          <w:rPr>
            <w:noProof/>
            <w:webHidden/>
          </w:rPr>
          <w:instrText xml:space="preserve"> PAGEREF _Toc242167510 \h </w:instrText>
        </w:r>
        <w:r w:rsidR="00371A83">
          <w:rPr>
            <w:noProof/>
            <w:webHidden/>
          </w:rPr>
        </w:r>
        <w:r w:rsidR="00371A83">
          <w:rPr>
            <w:noProof/>
            <w:webHidden/>
          </w:rPr>
          <w:fldChar w:fldCharType="separate"/>
        </w:r>
        <w:r w:rsidR="00371A83">
          <w:rPr>
            <w:noProof/>
            <w:webHidden/>
          </w:rPr>
          <w:t>6</w:t>
        </w:r>
        <w:r w:rsidR="00371A83">
          <w:rPr>
            <w:noProof/>
            <w:webHidden/>
          </w:rPr>
          <w:fldChar w:fldCharType="end"/>
        </w:r>
      </w:hyperlink>
    </w:p>
    <w:p w14:paraId="3301717A" w14:textId="54DB617B"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11" w:history="1">
        <w:r w:rsidRPr="00F326D9">
          <w:rPr>
            <w:rStyle w:val="Hyperlink"/>
            <w:noProof/>
          </w:rPr>
          <w:t>1.1</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Gegenstand</w:t>
        </w:r>
        <w:r>
          <w:rPr>
            <w:noProof/>
            <w:webHidden/>
          </w:rPr>
          <w:tab/>
        </w:r>
        <w:r>
          <w:rPr>
            <w:noProof/>
            <w:webHidden/>
          </w:rPr>
          <w:fldChar w:fldCharType="begin"/>
        </w:r>
        <w:r>
          <w:rPr>
            <w:noProof/>
            <w:webHidden/>
          </w:rPr>
          <w:instrText xml:space="preserve"> PAGEREF _Toc242167511 \h </w:instrText>
        </w:r>
        <w:r>
          <w:rPr>
            <w:noProof/>
            <w:webHidden/>
          </w:rPr>
        </w:r>
        <w:r>
          <w:rPr>
            <w:noProof/>
            <w:webHidden/>
          </w:rPr>
          <w:fldChar w:fldCharType="separate"/>
        </w:r>
        <w:r>
          <w:rPr>
            <w:noProof/>
            <w:webHidden/>
          </w:rPr>
          <w:t>6</w:t>
        </w:r>
        <w:r>
          <w:rPr>
            <w:noProof/>
            <w:webHidden/>
          </w:rPr>
          <w:fldChar w:fldCharType="end"/>
        </w:r>
      </w:hyperlink>
    </w:p>
    <w:p w14:paraId="596B1B14" w14:textId="104694A4"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12" w:history="1">
        <w:r w:rsidRPr="00F326D9">
          <w:rPr>
            <w:rStyle w:val="Hyperlink"/>
            <w:noProof/>
          </w:rPr>
          <w:t>1.2</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Zielsetzung</w:t>
        </w:r>
        <w:r>
          <w:rPr>
            <w:noProof/>
            <w:webHidden/>
          </w:rPr>
          <w:tab/>
        </w:r>
        <w:r>
          <w:rPr>
            <w:noProof/>
            <w:webHidden/>
          </w:rPr>
          <w:fldChar w:fldCharType="begin"/>
        </w:r>
        <w:r>
          <w:rPr>
            <w:noProof/>
            <w:webHidden/>
          </w:rPr>
          <w:instrText xml:space="preserve"> PAGEREF _Toc242167512 \h </w:instrText>
        </w:r>
        <w:r>
          <w:rPr>
            <w:noProof/>
            <w:webHidden/>
          </w:rPr>
        </w:r>
        <w:r>
          <w:rPr>
            <w:noProof/>
            <w:webHidden/>
          </w:rPr>
          <w:fldChar w:fldCharType="separate"/>
        </w:r>
        <w:r>
          <w:rPr>
            <w:noProof/>
            <w:webHidden/>
          </w:rPr>
          <w:t>7</w:t>
        </w:r>
        <w:r>
          <w:rPr>
            <w:noProof/>
            <w:webHidden/>
          </w:rPr>
          <w:fldChar w:fldCharType="end"/>
        </w:r>
      </w:hyperlink>
    </w:p>
    <w:p w14:paraId="7CFAAC39" w14:textId="4D4AFB58"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13" w:history="1">
        <w:r w:rsidRPr="00F326D9">
          <w:rPr>
            <w:rStyle w:val="Hyperlink"/>
            <w:noProof/>
          </w:rPr>
          <w:t>1.3</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Struktur des Dokumentes</w:t>
        </w:r>
        <w:r>
          <w:rPr>
            <w:noProof/>
            <w:webHidden/>
          </w:rPr>
          <w:tab/>
        </w:r>
        <w:r>
          <w:rPr>
            <w:noProof/>
            <w:webHidden/>
          </w:rPr>
          <w:fldChar w:fldCharType="begin"/>
        </w:r>
        <w:r>
          <w:rPr>
            <w:noProof/>
            <w:webHidden/>
          </w:rPr>
          <w:instrText xml:space="preserve"> PAGEREF _Toc242167513 \h </w:instrText>
        </w:r>
        <w:r>
          <w:rPr>
            <w:noProof/>
            <w:webHidden/>
          </w:rPr>
        </w:r>
        <w:r>
          <w:rPr>
            <w:noProof/>
            <w:webHidden/>
          </w:rPr>
          <w:fldChar w:fldCharType="separate"/>
        </w:r>
        <w:r>
          <w:rPr>
            <w:noProof/>
            <w:webHidden/>
          </w:rPr>
          <w:t>7</w:t>
        </w:r>
        <w:r>
          <w:rPr>
            <w:noProof/>
            <w:webHidden/>
          </w:rPr>
          <w:fldChar w:fldCharType="end"/>
        </w:r>
      </w:hyperlink>
    </w:p>
    <w:p w14:paraId="37ADFE5E" w14:textId="249A870A"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14" w:history="1">
        <w:r w:rsidRPr="00F326D9">
          <w:rPr>
            <w:rStyle w:val="Hyperlink"/>
            <w:noProof/>
          </w:rPr>
          <w:t>1.4</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Dokumentenmanagement</w:t>
        </w:r>
        <w:r>
          <w:rPr>
            <w:noProof/>
            <w:webHidden/>
          </w:rPr>
          <w:tab/>
        </w:r>
        <w:r>
          <w:rPr>
            <w:noProof/>
            <w:webHidden/>
          </w:rPr>
          <w:fldChar w:fldCharType="begin"/>
        </w:r>
        <w:r>
          <w:rPr>
            <w:noProof/>
            <w:webHidden/>
          </w:rPr>
          <w:instrText xml:space="preserve"> PAGEREF _Toc242167514 \h </w:instrText>
        </w:r>
        <w:r>
          <w:rPr>
            <w:noProof/>
            <w:webHidden/>
          </w:rPr>
        </w:r>
        <w:r>
          <w:rPr>
            <w:noProof/>
            <w:webHidden/>
          </w:rPr>
          <w:fldChar w:fldCharType="separate"/>
        </w:r>
        <w:r>
          <w:rPr>
            <w:noProof/>
            <w:webHidden/>
          </w:rPr>
          <w:t>8</w:t>
        </w:r>
        <w:r>
          <w:rPr>
            <w:noProof/>
            <w:webHidden/>
          </w:rPr>
          <w:fldChar w:fldCharType="end"/>
        </w:r>
      </w:hyperlink>
    </w:p>
    <w:p w14:paraId="29043923" w14:textId="1BFA8E19"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15" w:history="1">
        <w:r w:rsidRPr="00F326D9">
          <w:rPr>
            <w:rStyle w:val="Hyperlink"/>
            <w:noProof/>
          </w:rPr>
          <w:t>1.4.1</w:t>
        </w:r>
        <w:r>
          <w:rPr>
            <w:rFonts w:asciiTheme="minorHAnsi" w:eastAsiaTheme="minorEastAsia" w:hAnsiTheme="minorHAnsi" w:cstheme="minorBidi"/>
            <w:noProof/>
            <w:kern w:val="2"/>
            <w:sz w:val="24"/>
            <w:szCs w:val="24"/>
            <w14:ligatures w14:val="standardContextual"/>
          </w:rPr>
          <w:tab/>
        </w:r>
        <w:r w:rsidRPr="00F326D9">
          <w:rPr>
            <w:rStyle w:val="Hyperlink"/>
            <w:noProof/>
          </w:rPr>
          <w:t>Konfigurationsmanagement</w:t>
        </w:r>
        <w:r>
          <w:rPr>
            <w:noProof/>
            <w:webHidden/>
          </w:rPr>
          <w:tab/>
        </w:r>
        <w:r>
          <w:rPr>
            <w:noProof/>
            <w:webHidden/>
          </w:rPr>
          <w:fldChar w:fldCharType="begin"/>
        </w:r>
        <w:r>
          <w:rPr>
            <w:noProof/>
            <w:webHidden/>
          </w:rPr>
          <w:instrText xml:space="preserve"> PAGEREF _Toc242167515 \h </w:instrText>
        </w:r>
        <w:r>
          <w:rPr>
            <w:noProof/>
            <w:webHidden/>
          </w:rPr>
        </w:r>
        <w:r>
          <w:rPr>
            <w:noProof/>
            <w:webHidden/>
          </w:rPr>
          <w:fldChar w:fldCharType="separate"/>
        </w:r>
        <w:r>
          <w:rPr>
            <w:noProof/>
            <w:webHidden/>
          </w:rPr>
          <w:t>8</w:t>
        </w:r>
        <w:r>
          <w:rPr>
            <w:noProof/>
            <w:webHidden/>
          </w:rPr>
          <w:fldChar w:fldCharType="end"/>
        </w:r>
      </w:hyperlink>
    </w:p>
    <w:p w14:paraId="2210B727" w14:textId="47A80FD3"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16" w:history="1">
        <w:r w:rsidRPr="00F326D9">
          <w:rPr>
            <w:rStyle w:val="Hyperlink"/>
            <w:noProof/>
          </w:rPr>
          <w:t>1.4.2</w:t>
        </w:r>
        <w:r>
          <w:rPr>
            <w:rFonts w:asciiTheme="minorHAnsi" w:eastAsiaTheme="minorEastAsia" w:hAnsiTheme="minorHAnsi" w:cstheme="minorBidi"/>
            <w:noProof/>
            <w:kern w:val="2"/>
            <w:sz w:val="24"/>
            <w:szCs w:val="24"/>
            <w14:ligatures w14:val="standardContextual"/>
          </w:rPr>
          <w:tab/>
        </w:r>
        <w:r w:rsidRPr="00F326D9">
          <w:rPr>
            <w:rStyle w:val="Hyperlink"/>
            <w:noProof/>
          </w:rPr>
          <w:t>Dokumentenarchivierung</w:t>
        </w:r>
        <w:r>
          <w:rPr>
            <w:noProof/>
            <w:webHidden/>
          </w:rPr>
          <w:tab/>
        </w:r>
        <w:r>
          <w:rPr>
            <w:noProof/>
            <w:webHidden/>
          </w:rPr>
          <w:fldChar w:fldCharType="begin"/>
        </w:r>
        <w:r>
          <w:rPr>
            <w:noProof/>
            <w:webHidden/>
          </w:rPr>
          <w:instrText xml:space="preserve"> PAGEREF _Toc242167516 \h </w:instrText>
        </w:r>
        <w:r>
          <w:rPr>
            <w:noProof/>
            <w:webHidden/>
          </w:rPr>
        </w:r>
        <w:r>
          <w:rPr>
            <w:noProof/>
            <w:webHidden/>
          </w:rPr>
          <w:fldChar w:fldCharType="separate"/>
        </w:r>
        <w:r>
          <w:rPr>
            <w:noProof/>
            <w:webHidden/>
          </w:rPr>
          <w:t>8</w:t>
        </w:r>
        <w:r>
          <w:rPr>
            <w:noProof/>
            <w:webHidden/>
          </w:rPr>
          <w:fldChar w:fldCharType="end"/>
        </w:r>
      </w:hyperlink>
    </w:p>
    <w:p w14:paraId="764F18EC" w14:textId="1C6B8372"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17" w:history="1">
        <w:r w:rsidRPr="00F326D9">
          <w:rPr>
            <w:rStyle w:val="Hyperlink"/>
            <w:noProof/>
          </w:rPr>
          <w:t>1.4.3</w:t>
        </w:r>
        <w:r>
          <w:rPr>
            <w:rFonts w:asciiTheme="minorHAnsi" w:eastAsiaTheme="minorEastAsia" w:hAnsiTheme="minorHAnsi" w:cstheme="minorBidi"/>
            <w:noProof/>
            <w:kern w:val="2"/>
            <w:sz w:val="24"/>
            <w:szCs w:val="24"/>
            <w14:ligatures w14:val="standardContextual"/>
          </w:rPr>
          <w:tab/>
        </w:r>
        <w:r w:rsidRPr="00F326D9">
          <w:rPr>
            <w:rStyle w:val="Hyperlink"/>
            <w:noProof/>
          </w:rPr>
          <w:t>Änderungen</w:t>
        </w:r>
        <w:r>
          <w:rPr>
            <w:noProof/>
            <w:webHidden/>
          </w:rPr>
          <w:tab/>
        </w:r>
        <w:r>
          <w:rPr>
            <w:noProof/>
            <w:webHidden/>
          </w:rPr>
          <w:fldChar w:fldCharType="begin"/>
        </w:r>
        <w:r>
          <w:rPr>
            <w:noProof/>
            <w:webHidden/>
          </w:rPr>
          <w:instrText xml:space="preserve"> PAGEREF _Toc242167517 \h </w:instrText>
        </w:r>
        <w:r>
          <w:rPr>
            <w:noProof/>
            <w:webHidden/>
          </w:rPr>
        </w:r>
        <w:r>
          <w:rPr>
            <w:noProof/>
            <w:webHidden/>
          </w:rPr>
          <w:fldChar w:fldCharType="separate"/>
        </w:r>
        <w:r>
          <w:rPr>
            <w:noProof/>
            <w:webHidden/>
          </w:rPr>
          <w:t>8</w:t>
        </w:r>
        <w:r>
          <w:rPr>
            <w:noProof/>
            <w:webHidden/>
          </w:rPr>
          <w:fldChar w:fldCharType="end"/>
        </w:r>
      </w:hyperlink>
    </w:p>
    <w:p w14:paraId="537C1A0F" w14:textId="50D99C95"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18" w:history="1">
        <w:r w:rsidRPr="00F326D9">
          <w:rPr>
            <w:rStyle w:val="Hyperlink"/>
            <w:noProof/>
          </w:rPr>
          <w:t>1.5</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Offene Punkte</w:t>
        </w:r>
        <w:r>
          <w:rPr>
            <w:noProof/>
            <w:webHidden/>
          </w:rPr>
          <w:tab/>
        </w:r>
        <w:r>
          <w:rPr>
            <w:noProof/>
            <w:webHidden/>
          </w:rPr>
          <w:fldChar w:fldCharType="begin"/>
        </w:r>
        <w:r>
          <w:rPr>
            <w:noProof/>
            <w:webHidden/>
          </w:rPr>
          <w:instrText xml:space="preserve"> PAGEREF _Toc242167518 \h </w:instrText>
        </w:r>
        <w:r>
          <w:rPr>
            <w:noProof/>
            <w:webHidden/>
          </w:rPr>
        </w:r>
        <w:r>
          <w:rPr>
            <w:noProof/>
            <w:webHidden/>
          </w:rPr>
          <w:fldChar w:fldCharType="separate"/>
        </w:r>
        <w:r>
          <w:rPr>
            <w:noProof/>
            <w:webHidden/>
          </w:rPr>
          <w:t>8</w:t>
        </w:r>
        <w:r>
          <w:rPr>
            <w:noProof/>
            <w:webHidden/>
          </w:rPr>
          <w:fldChar w:fldCharType="end"/>
        </w:r>
      </w:hyperlink>
    </w:p>
    <w:p w14:paraId="5B0082E5" w14:textId="3697D1CD" w:rsidR="00371A83" w:rsidRDefault="00371A83">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2167519" w:history="1">
        <w:r w:rsidRPr="00F326D9">
          <w:rPr>
            <w:rStyle w:val="Hyperlink"/>
            <w:noProof/>
          </w:rPr>
          <w:t>2.</w:t>
        </w:r>
        <w:r>
          <w:rPr>
            <w:rFonts w:asciiTheme="minorHAnsi" w:eastAsiaTheme="minorEastAsia" w:hAnsiTheme="minorHAnsi" w:cstheme="minorBidi"/>
            <w:caps w:val="0"/>
            <w:noProof/>
            <w:spacing w:val="0"/>
            <w:kern w:val="2"/>
            <w:sz w:val="24"/>
            <w:szCs w:val="24"/>
            <w:lang w:val="de-AT"/>
            <w14:ligatures w14:val="standardContextual"/>
          </w:rPr>
          <w:tab/>
        </w:r>
        <w:r w:rsidRPr="00F326D9">
          <w:rPr>
            <w:rStyle w:val="Hyperlink"/>
            <w:noProof/>
          </w:rPr>
          <w:t>REFERENZMATERIAL</w:t>
        </w:r>
        <w:r>
          <w:rPr>
            <w:noProof/>
            <w:webHidden/>
          </w:rPr>
          <w:tab/>
        </w:r>
        <w:r>
          <w:rPr>
            <w:noProof/>
            <w:webHidden/>
          </w:rPr>
          <w:fldChar w:fldCharType="begin"/>
        </w:r>
        <w:r>
          <w:rPr>
            <w:noProof/>
            <w:webHidden/>
          </w:rPr>
          <w:instrText xml:space="preserve"> PAGEREF _Toc242167519 \h </w:instrText>
        </w:r>
        <w:r>
          <w:rPr>
            <w:noProof/>
            <w:webHidden/>
          </w:rPr>
        </w:r>
        <w:r>
          <w:rPr>
            <w:noProof/>
            <w:webHidden/>
          </w:rPr>
          <w:fldChar w:fldCharType="separate"/>
        </w:r>
        <w:r>
          <w:rPr>
            <w:noProof/>
            <w:webHidden/>
          </w:rPr>
          <w:t>9</w:t>
        </w:r>
        <w:r>
          <w:rPr>
            <w:noProof/>
            <w:webHidden/>
          </w:rPr>
          <w:fldChar w:fldCharType="end"/>
        </w:r>
      </w:hyperlink>
    </w:p>
    <w:p w14:paraId="3DAA760A" w14:textId="5238BBD2"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20" w:history="1">
        <w:r w:rsidRPr="00F326D9">
          <w:rPr>
            <w:rStyle w:val="Hyperlink"/>
            <w:noProof/>
          </w:rPr>
          <w:t>2.1</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Referenzierte und verwandte Dokumente</w:t>
        </w:r>
        <w:r>
          <w:rPr>
            <w:noProof/>
            <w:webHidden/>
          </w:rPr>
          <w:tab/>
        </w:r>
        <w:r>
          <w:rPr>
            <w:noProof/>
            <w:webHidden/>
          </w:rPr>
          <w:fldChar w:fldCharType="begin"/>
        </w:r>
        <w:r>
          <w:rPr>
            <w:noProof/>
            <w:webHidden/>
          </w:rPr>
          <w:instrText xml:space="preserve"> PAGEREF _Toc242167520 \h </w:instrText>
        </w:r>
        <w:r>
          <w:rPr>
            <w:noProof/>
            <w:webHidden/>
          </w:rPr>
        </w:r>
        <w:r>
          <w:rPr>
            <w:noProof/>
            <w:webHidden/>
          </w:rPr>
          <w:fldChar w:fldCharType="separate"/>
        </w:r>
        <w:r>
          <w:rPr>
            <w:noProof/>
            <w:webHidden/>
          </w:rPr>
          <w:t>9</w:t>
        </w:r>
        <w:r>
          <w:rPr>
            <w:noProof/>
            <w:webHidden/>
          </w:rPr>
          <w:fldChar w:fldCharType="end"/>
        </w:r>
      </w:hyperlink>
    </w:p>
    <w:p w14:paraId="4F7F3838" w14:textId="060DC85A"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21" w:history="1">
        <w:r w:rsidRPr="00F326D9">
          <w:rPr>
            <w:rStyle w:val="Hyperlink"/>
            <w:noProof/>
            <w:highlight w:val="yellow"/>
          </w:rPr>
          <w:t>2.2</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highlight w:val="yellow"/>
          </w:rPr>
          <w:t>Normen und Prozeduren</w:t>
        </w:r>
        <w:r>
          <w:rPr>
            <w:noProof/>
            <w:webHidden/>
          </w:rPr>
          <w:tab/>
        </w:r>
        <w:r>
          <w:rPr>
            <w:noProof/>
            <w:webHidden/>
          </w:rPr>
          <w:fldChar w:fldCharType="begin"/>
        </w:r>
        <w:r>
          <w:rPr>
            <w:noProof/>
            <w:webHidden/>
          </w:rPr>
          <w:instrText xml:space="preserve"> PAGEREF _Toc242167521 \h </w:instrText>
        </w:r>
        <w:r>
          <w:rPr>
            <w:noProof/>
            <w:webHidden/>
          </w:rPr>
        </w:r>
        <w:r>
          <w:rPr>
            <w:noProof/>
            <w:webHidden/>
          </w:rPr>
          <w:fldChar w:fldCharType="separate"/>
        </w:r>
        <w:r>
          <w:rPr>
            <w:noProof/>
            <w:webHidden/>
          </w:rPr>
          <w:t>9</w:t>
        </w:r>
        <w:r>
          <w:rPr>
            <w:noProof/>
            <w:webHidden/>
          </w:rPr>
          <w:fldChar w:fldCharType="end"/>
        </w:r>
      </w:hyperlink>
    </w:p>
    <w:p w14:paraId="5E9CAD56" w14:textId="7B002F5D"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22" w:history="1">
        <w:r w:rsidRPr="00F326D9">
          <w:rPr>
            <w:rStyle w:val="Hyperlink"/>
            <w:noProof/>
            <w:highlight w:val="yellow"/>
          </w:rPr>
          <w:t>2.3</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highlight w:val="yellow"/>
          </w:rPr>
          <w:t>Begriffe, Definitionen und Abkürzungen</w:t>
        </w:r>
        <w:r>
          <w:rPr>
            <w:noProof/>
            <w:webHidden/>
          </w:rPr>
          <w:tab/>
        </w:r>
        <w:r>
          <w:rPr>
            <w:noProof/>
            <w:webHidden/>
          </w:rPr>
          <w:fldChar w:fldCharType="begin"/>
        </w:r>
        <w:r>
          <w:rPr>
            <w:noProof/>
            <w:webHidden/>
          </w:rPr>
          <w:instrText xml:space="preserve"> PAGEREF _Toc242167522 \h </w:instrText>
        </w:r>
        <w:r>
          <w:rPr>
            <w:noProof/>
            <w:webHidden/>
          </w:rPr>
        </w:r>
        <w:r>
          <w:rPr>
            <w:noProof/>
            <w:webHidden/>
          </w:rPr>
          <w:fldChar w:fldCharType="separate"/>
        </w:r>
        <w:r>
          <w:rPr>
            <w:noProof/>
            <w:webHidden/>
          </w:rPr>
          <w:t>10</w:t>
        </w:r>
        <w:r>
          <w:rPr>
            <w:noProof/>
            <w:webHidden/>
          </w:rPr>
          <w:fldChar w:fldCharType="end"/>
        </w:r>
      </w:hyperlink>
    </w:p>
    <w:p w14:paraId="3BB292C9" w14:textId="36B59F0B" w:rsidR="00371A83" w:rsidRDefault="00371A83">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2167523" w:history="1">
        <w:r w:rsidRPr="00F326D9">
          <w:rPr>
            <w:rStyle w:val="Hyperlink"/>
            <w:noProof/>
          </w:rPr>
          <w:t>3.</w:t>
        </w:r>
        <w:r>
          <w:rPr>
            <w:rFonts w:asciiTheme="minorHAnsi" w:eastAsiaTheme="minorEastAsia" w:hAnsiTheme="minorHAnsi" w:cstheme="minorBidi"/>
            <w:caps w:val="0"/>
            <w:noProof/>
            <w:spacing w:val="0"/>
            <w:kern w:val="2"/>
            <w:sz w:val="24"/>
            <w:szCs w:val="24"/>
            <w:lang w:val="de-AT"/>
            <w14:ligatures w14:val="standardContextual"/>
          </w:rPr>
          <w:tab/>
        </w:r>
        <w:r w:rsidRPr="00F326D9">
          <w:rPr>
            <w:rStyle w:val="Hyperlink"/>
            <w:noProof/>
          </w:rPr>
          <w:t>SYSTEMÜBERSICHT DFE</w:t>
        </w:r>
        <w:r>
          <w:rPr>
            <w:noProof/>
            <w:webHidden/>
          </w:rPr>
          <w:tab/>
        </w:r>
        <w:r>
          <w:rPr>
            <w:noProof/>
            <w:webHidden/>
          </w:rPr>
          <w:fldChar w:fldCharType="begin"/>
        </w:r>
        <w:r>
          <w:rPr>
            <w:noProof/>
            <w:webHidden/>
          </w:rPr>
          <w:instrText xml:space="preserve"> PAGEREF _Toc242167523 \h </w:instrText>
        </w:r>
        <w:r>
          <w:rPr>
            <w:noProof/>
            <w:webHidden/>
          </w:rPr>
        </w:r>
        <w:r>
          <w:rPr>
            <w:noProof/>
            <w:webHidden/>
          </w:rPr>
          <w:fldChar w:fldCharType="separate"/>
        </w:r>
        <w:r>
          <w:rPr>
            <w:noProof/>
            <w:webHidden/>
          </w:rPr>
          <w:t>11</w:t>
        </w:r>
        <w:r>
          <w:rPr>
            <w:noProof/>
            <w:webHidden/>
          </w:rPr>
          <w:fldChar w:fldCharType="end"/>
        </w:r>
      </w:hyperlink>
    </w:p>
    <w:p w14:paraId="4CB5FAFE" w14:textId="3FAA1B8C"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24" w:history="1">
        <w:r w:rsidRPr="00F326D9">
          <w:rPr>
            <w:rStyle w:val="Hyperlink"/>
            <w:noProof/>
          </w:rPr>
          <w:t>3.1</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Systemstruktur</w:t>
        </w:r>
        <w:r>
          <w:rPr>
            <w:noProof/>
            <w:webHidden/>
          </w:rPr>
          <w:tab/>
        </w:r>
        <w:r>
          <w:rPr>
            <w:noProof/>
            <w:webHidden/>
          </w:rPr>
          <w:fldChar w:fldCharType="begin"/>
        </w:r>
        <w:r>
          <w:rPr>
            <w:noProof/>
            <w:webHidden/>
          </w:rPr>
          <w:instrText xml:space="preserve"> PAGEREF _Toc242167524 \h </w:instrText>
        </w:r>
        <w:r>
          <w:rPr>
            <w:noProof/>
            <w:webHidden/>
          </w:rPr>
        </w:r>
        <w:r>
          <w:rPr>
            <w:noProof/>
            <w:webHidden/>
          </w:rPr>
          <w:fldChar w:fldCharType="separate"/>
        </w:r>
        <w:r>
          <w:rPr>
            <w:noProof/>
            <w:webHidden/>
          </w:rPr>
          <w:t>11</w:t>
        </w:r>
        <w:r>
          <w:rPr>
            <w:noProof/>
            <w:webHidden/>
          </w:rPr>
          <w:fldChar w:fldCharType="end"/>
        </w:r>
      </w:hyperlink>
    </w:p>
    <w:p w14:paraId="7C6AB12B" w14:textId="33849A68"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25" w:history="1">
        <w:r w:rsidRPr="00F326D9">
          <w:rPr>
            <w:rStyle w:val="Hyperlink"/>
            <w:noProof/>
          </w:rPr>
          <w:t>3.2</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Teilsysteme</w:t>
        </w:r>
        <w:r>
          <w:rPr>
            <w:noProof/>
            <w:webHidden/>
          </w:rPr>
          <w:tab/>
        </w:r>
        <w:r>
          <w:rPr>
            <w:noProof/>
            <w:webHidden/>
          </w:rPr>
          <w:fldChar w:fldCharType="begin"/>
        </w:r>
        <w:r>
          <w:rPr>
            <w:noProof/>
            <w:webHidden/>
          </w:rPr>
          <w:instrText xml:space="preserve"> PAGEREF _Toc242167525 \h </w:instrText>
        </w:r>
        <w:r>
          <w:rPr>
            <w:noProof/>
            <w:webHidden/>
          </w:rPr>
        </w:r>
        <w:r>
          <w:rPr>
            <w:noProof/>
            <w:webHidden/>
          </w:rPr>
          <w:fldChar w:fldCharType="separate"/>
        </w:r>
        <w:r>
          <w:rPr>
            <w:noProof/>
            <w:webHidden/>
          </w:rPr>
          <w:t>13</w:t>
        </w:r>
        <w:r>
          <w:rPr>
            <w:noProof/>
            <w:webHidden/>
          </w:rPr>
          <w:fldChar w:fldCharType="end"/>
        </w:r>
      </w:hyperlink>
    </w:p>
    <w:p w14:paraId="241BC917" w14:textId="6B43681F"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26" w:history="1">
        <w:r w:rsidRPr="00F326D9">
          <w:rPr>
            <w:rStyle w:val="Hyperlink"/>
            <w:noProof/>
          </w:rPr>
          <w:t>3.2.1</w:t>
        </w:r>
        <w:r>
          <w:rPr>
            <w:rFonts w:asciiTheme="minorHAnsi" w:eastAsiaTheme="minorEastAsia" w:hAnsiTheme="minorHAnsi" w:cstheme="minorBidi"/>
            <w:noProof/>
            <w:kern w:val="2"/>
            <w:sz w:val="24"/>
            <w:szCs w:val="24"/>
            <w14:ligatures w14:val="standardContextual"/>
          </w:rPr>
          <w:tab/>
        </w:r>
        <w:r w:rsidRPr="00F326D9">
          <w:rPr>
            <w:rStyle w:val="Hyperlink"/>
            <w:noProof/>
          </w:rPr>
          <w:t>Object Controller (OC)</w:t>
        </w:r>
        <w:r>
          <w:rPr>
            <w:noProof/>
            <w:webHidden/>
          </w:rPr>
          <w:tab/>
        </w:r>
        <w:r>
          <w:rPr>
            <w:noProof/>
            <w:webHidden/>
          </w:rPr>
          <w:fldChar w:fldCharType="begin"/>
        </w:r>
        <w:r>
          <w:rPr>
            <w:noProof/>
            <w:webHidden/>
          </w:rPr>
          <w:instrText xml:space="preserve"> PAGEREF _Toc242167526 \h </w:instrText>
        </w:r>
        <w:r>
          <w:rPr>
            <w:noProof/>
            <w:webHidden/>
          </w:rPr>
        </w:r>
        <w:r>
          <w:rPr>
            <w:noProof/>
            <w:webHidden/>
          </w:rPr>
          <w:fldChar w:fldCharType="separate"/>
        </w:r>
        <w:r>
          <w:rPr>
            <w:noProof/>
            <w:webHidden/>
          </w:rPr>
          <w:t>13</w:t>
        </w:r>
        <w:r>
          <w:rPr>
            <w:noProof/>
            <w:webHidden/>
          </w:rPr>
          <w:fldChar w:fldCharType="end"/>
        </w:r>
      </w:hyperlink>
    </w:p>
    <w:p w14:paraId="58FE449B" w14:textId="21169E66"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27" w:history="1">
        <w:r w:rsidRPr="00F326D9">
          <w:rPr>
            <w:rStyle w:val="Hyperlink"/>
            <w:noProof/>
            <w:highlight w:val="green"/>
          </w:rPr>
          <w:t>3.2.2</w:t>
        </w:r>
        <w:r>
          <w:rPr>
            <w:rFonts w:asciiTheme="minorHAnsi" w:eastAsiaTheme="minorEastAsia" w:hAnsiTheme="minorHAnsi" w:cstheme="minorBidi"/>
            <w:noProof/>
            <w:kern w:val="2"/>
            <w:sz w:val="24"/>
            <w:szCs w:val="24"/>
            <w14:ligatures w14:val="standardContextual"/>
          </w:rPr>
          <w:tab/>
        </w:r>
        <w:r w:rsidRPr="00F326D9">
          <w:rPr>
            <w:rStyle w:val="Hyperlink"/>
            <w:noProof/>
            <w:highlight w:val="green"/>
          </w:rPr>
          <w:t>Field Element Stations (FES)</w:t>
        </w:r>
        <w:r>
          <w:rPr>
            <w:noProof/>
            <w:webHidden/>
          </w:rPr>
          <w:tab/>
        </w:r>
        <w:r>
          <w:rPr>
            <w:noProof/>
            <w:webHidden/>
          </w:rPr>
          <w:fldChar w:fldCharType="begin"/>
        </w:r>
        <w:r>
          <w:rPr>
            <w:noProof/>
            <w:webHidden/>
          </w:rPr>
          <w:instrText xml:space="preserve"> PAGEREF _Toc242167527 \h </w:instrText>
        </w:r>
        <w:r>
          <w:rPr>
            <w:noProof/>
            <w:webHidden/>
          </w:rPr>
        </w:r>
        <w:r>
          <w:rPr>
            <w:noProof/>
            <w:webHidden/>
          </w:rPr>
          <w:fldChar w:fldCharType="separate"/>
        </w:r>
        <w:r>
          <w:rPr>
            <w:noProof/>
            <w:webHidden/>
          </w:rPr>
          <w:t>18</w:t>
        </w:r>
        <w:r>
          <w:rPr>
            <w:noProof/>
            <w:webHidden/>
          </w:rPr>
          <w:fldChar w:fldCharType="end"/>
        </w:r>
      </w:hyperlink>
    </w:p>
    <w:p w14:paraId="2D9AD290" w14:textId="2FDBB660"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28" w:history="1">
        <w:r w:rsidRPr="00F326D9">
          <w:rPr>
            <w:rStyle w:val="Hyperlink"/>
            <w:noProof/>
          </w:rPr>
          <w:t>3.2.3</w:t>
        </w:r>
        <w:r>
          <w:rPr>
            <w:rFonts w:asciiTheme="minorHAnsi" w:eastAsiaTheme="minorEastAsia" w:hAnsiTheme="minorHAnsi" w:cstheme="minorBidi"/>
            <w:noProof/>
            <w:kern w:val="2"/>
            <w:sz w:val="24"/>
            <w:szCs w:val="24"/>
            <w14:ligatures w14:val="standardContextual"/>
          </w:rPr>
          <w:tab/>
        </w:r>
        <w:r w:rsidRPr="00F326D9">
          <w:rPr>
            <w:rStyle w:val="Hyperlink"/>
            <w:noProof/>
          </w:rPr>
          <w:t>Schnittstellenumsetzer</w:t>
        </w:r>
        <w:r>
          <w:rPr>
            <w:noProof/>
            <w:webHidden/>
          </w:rPr>
          <w:tab/>
        </w:r>
        <w:r>
          <w:rPr>
            <w:noProof/>
            <w:webHidden/>
          </w:rPr>
          <w:fldChar w:fldCharType="begin"/>
        </w:r>
        <w:r>
          <w:rPr>
            <w:noProof/>
            <w:webHidden/>
          </w:rPr>
          <w:instrText xml:space="preserve"> PAGEREF _Toc242167528 \h </w:instrText>
        </w:r>
        <w:r>
          <w:rPr>
            <w:noProof/>
            <w:webHidden/>
          </w:rPr>
        </w:r>
        <w:r>
          <w:rPr>
            <w:noProof/>
            <w:webHidden/>
          </w:rPr>
          <w:fldChar w:fldCharType="separate"/>
        </w:r>
        <w:r>
          <w:rPr>
            <w:noProof/>
            <w:webHidden/>
          </w:rPr>
          <w:t>19</w:t>
        </w:r>
        <w:r>
          <w:rPr>
            <w:noProof/>
            <w:webHidden/>
          </w:rPr>
          <w:fldChar w:fldCharType="end"/>
        </w:r>
      </w:hyperlink>
    </w:p>
    <w:p w14:paraId="278CB981" w14:textId="0F3FCDE7"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29" w:history="1">
        <w:r w:rsidRPr="00F326D9">
          <w:rPr>
            <w:rStyle w:val="Hyperlink"/>
            <w:noProof/>
          </w:rPr>
          <w:t>3.3</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Kommunikation zwischen den Komponenten</w:t>
        </w:r>
        <w:r>
          <w:rPr>
            <w:noProof/>
            <w:webHidden/>
          </w:rPr>
          <w:tab/>
        </w:r>
        <w:r>
          <w:rPr>
            <w:noProof/>
            <w:webHidden/>
          </w:rPr>
          <w:fldChar w:fldCharType="begin"/>
        </w:r>
        <w:r>
          <w:rPr>
            <w:noProof/>
            <w:webHidden/>
          </w:rPr>
          <w:instrText xml:space="preserve"> PAGEREF _Toc242167529 \h </w:instrText>
        </w:r>
        <w:r>
          <w:rPr>
            <w:noProof/>
            <w:webHidden/>
          </w:rPr>
        </w:r>
        <w:r>
          <w:rPr>
            <w:noProof/>
            <w:webHidden/>
          </w:rPr>
          <w:fldChar w:fldCharType="separate"/>
        </w:r>
        <w:r>
          <w:rPr>
            <w:noProof/>
            <w:webHidden/>
          </w:rPr>
          <w:t>20</w:t>
        </w:r>
        <w:r>
          <w:rPr>
            <w:noProof/>
            <w:webHidden/>
          </w:rPr>
          <w:fldChar w:fldCharType="end"/>
        </w:r>
      </w:hyperlink>
    </w:p>
    <w:p w14:paraId="5CB53F83" w14:textId="0602EA8B"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30" w:history="1">
        <w:r w:rsidRPr="00F326D9">
          <w:rPr>
            <w:rStyle w:val="Hyperlink"/>
            <w:noProof/>
          </w:rPr>
          <w:t>3.4</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Zuverlässigkeitskonzept</w:t>
        </w:r>
        <w:r>
          <w:rPr>
            <w:noProof/>
            <w:webHidden/>
          </w:rPr>
          <w:tab/>
        </w:r>
        <w:r>
          <w:rPr>
            <w:noProof/>
            <w:webHidden/>
          </w:rPr>
          <w:fldChar w:fldCharType="begin"/>
        </w:r>
        <w:r>
          <w:rPr>
            <w:noProof/>
            <w:webHidden/>
          </w:rPr>
          <w:instrText xml:space="preserve"> PAGEREF _Toc242167530 \h </w:instrText>
        </w:r>
        <w:r>
          <w:rPr>
            <w:noProof/>
            <w:webHidden/>
          </w:rPr>
        </w:r>
        <w:r>
          <w:rPr>
            <w:noProof/>
            <w:webHidden/>
          </w:rPr>
          <w:fldChar w:fldCharType="separate"/>
        </w:r>
        <w:r>
          <w:rPr>
            <w:noProof/>
            <w:webHidden/>
          </w:rPr>
          <w:t>21</w:t>
        </w:r>
        <w:r>
          <w:rPr>
            <w:noProof/>
            <w:webHidden/>
          </w:rPr>
          <w:fldChar w:fldCharType="end"/>
        </w:r>
      </w:hyperlink>
    </w:p>
    <w:p w14:paraId="30526087" w14:textId="640037F0"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31" w:history="1">
        <w:r w:rsidRPr="00F326D9">
          <w:rPr>
            <w:rStyle w:val="Hyperlink"/>
            <w:noProof/>
          </w:rPr>
          <w:t>3.5</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Struktur der Sicherheitsnachweise</w:t>
        </w:r>
        <w:r>
          <w:rPr>
            <w:noProof/>
            <w:webHidden/>
          </w:rPr>
          <w:tab/>
        </w:r>
        <w:r>
          <w:rPr>
            <w:noProof/>
            <w:webHidden/>
          </w:rPr>
          <w:fldChar w:fldCharType="begin"/>
        </w:r>
        <w:r>
          <w:rPr>
            <w:noProof/>
            <w:webHidden/>
          </w:rPr>
          <w:instrText xml:space="preserve"> PAGEREF _Toc242167531 \h </w:instrText>
        </w:r>
        <w:r>
          <w:rPr>
            <w:noProof/>
            <w:webHidden/>
          </w:rPr>
        </w:r>
        <w:r>
          <w:rPr>
            <w:noProof/>
            <w:webHidden/>
          </w:rPr>
          <w:fldChar w:fldCharType="separate"/>
        </w:r>
        <w:r>
          <w:rPr>
            <w:noProof/>
            <w:webHidden/>
          </w:rPr>
          <w:t>21</w:t>
        </w:r>
        <w:r>
          <w:rPr>
            <w:noProof/>
            <w:webHidden/>
          </w:rPr>
          <w:fldChar w:fldCharType="end"/>
        </w:r>
      </w:hyperlink>
    </w:p>
    <w:p w14:paraId="634DF003" w14:textId="7610BB1A"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32" w:history="1">
        <w:r w:rsidRPr="00F326D9">
          <w:rPr>
            <w:rStyle w:val="Hyperlink"/>
            <w:noProof/>
          </w:rPr>
          <w:t>3.6</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Sicherheitsziel</w:t>
        </w:r>
        <w:r>
          <w:rPr>
            <w:noProof/>
            <w:webHidden/>
          </w:rPr>
          <w:tab/>
        </w:r>
        <w:r>
          <w:rPr>
            <w:noProof/>
            <w:webHidden/>
          </w:rPr>
          <w:fldChar w:fldCharType="begin"/>
        </w:r>
        <w:r>
          <w:rPr>
            <w:noProof/>
            <w:webHidden/>
          </w:rPr>
          <w:instrText xml:space="preserve"> PAGEREF _Toc242167532 \h </w:instrText>
        </w:r>
        <w:r>
          <w:rPr>
            <w:noProof/>
            <w:webHidden/>
          </w:rPr>
        </w:r>
        <w:r>
          <w:rPr>
            <w:noProof/>
            <w:webHidden/>
          </w:rPr>
          <w:fldChar w:fldCharType="separate"/>
        </w:r>
        <w:r>
          <w:rPr>
            <w:noProof/>
            <w:webHidden/>
          </w:rPr>
          <w:t>22</w:t>
        </w:r>
        <w:r>
          <w:rPr>
            <w:noProof/>
            <w:webHidden/>
          </w:rPr>
          <w:fldChar w:fldCharType="end"/>
        </w:r>
      </w:hyperlink>
    </w:p>
    <w:p w14:paraId="3FFD7C2E" w14:textId="02005282"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33" w:history="1">
        <w:r w:rsidRPr="00F326D9">
          <w:rPr>
            <w:rStyle w:val="Hyperlink"/>
            <w:noProof/>
          </w:rPr>
          <w:t>3.6.1</w:t>
        </w:r>
        <w:r>
          <w:rPr>
            <w:rFonts w:asciiTheme="minorHAnsi" w:eastAsiaTheme="minorEastAsia" w:hAnsiTheme="minorHAnsi" w:cstheme="minorBidi"/>
            <w:noProof/>
            <w:kern w:val="2"/>
            <w:sz w:val="24"/>
            <w:szCs w:val="24"/>
            <w14:ligatures w14:val="standardContextual"/>
          </w:rPr>
          <w:tab/>
        </w:r>
        <w:r w:rsidRPr="00F326D9">
          <w:rPr>
            <w:rStyle w:val="Hyperlink"/>
            <w:noProof/>
          </w:rPr>
          <w:t>Risikoevaluierung</w:t>
        </w:r>
        <w:r>
          <w:rPr>
            <w:noProof/>
            <w:webHidden/>
          </w:rPr>
          <w:tab/>
        </w:r>
        <w:r>
          <w:rPr>
            <w:noProof/>
            <w:webHidden/>
          </w:rPr>
          <w:fldChar w:fldCharType="begin"/>
        </w:r>
        <w:r>
          <w:rPr>
            <w:noProof/>
            <w:webHidden/>
          </w:rPr>
          <w:instrText xml:space="preserve"> PAGEREF _Toc242167533 \h </w:instrText>
        </w:r>
        <w:r>
          <w:rPr>
            <w:noProof/>
            <w:webHidden/>
          </w:rPr>
        </w:r>
        <w:r>
          <w:rPr>
            <w:noProof/>
            <w:webHidden/>
          </w:rPr>
          <w:fldChar w:fldCharType="separate"/>
        </w:r>
        <w:r>
          <w:rPr>
            <w:noProof/>
            <w:webHidden/>
          </w:rPr>
          <w:t>23</w:t>
        </w:r>
        <w:r>
          <w:rPr>
            <w:noProof/>
            <w:webHidden/>
          </w:rPr>
          <w:fldChar w:fldCharType="end"/>
        </w:r>
      </w:hyperlink>
    </w:p>
    <w:p w14:paraId="7A91C96C" w14:textId="38577000"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34" w:history="1">
        <w:r w:rsidRPr="00F326D9">
          <w:rPr>
            <w:rStyle w:val="Hyperlink"/>
            <w:noProof/>
          </w:rPr>
          <w:t>3.6.2</w:t>
        </w:r>
        <w:r>
          <w:rPr>
            <w:rFonts w:asciiTheme="minorHAnsi" w:eastAsiaTheme="minorEastAsia" w:hAnsiTheme="minorHAnsi" w:cstheme="minorBidi"/>
            <w:noProof/>
            <w:kern w:val="2"/>
            <w:sz w:val="24"/>
            <w:szCs w:val="24"/>
            <w14:ligatures w14:val="standardContextual"/>
          </w:rPr>
          <w:tab/>
        </w:r>
        <w:r w:rsidRPr="00F326D9">
          <w:rPr>
            <w:rStyle w:val="Hyperlink"/>
            <w:noProof/>
          </w:rPr>
          <w:t>Sicherer Zustand</w:t>
        </w:r>
        <w:r>
          <w:rPr>
            <w:noProof/>
            <w:webHidden/>
          </w:rPr>
          <w:tab/>
        </w:r>
        <w:r>
          <w:rPr>
            <w:noProof/>
            <w:webHidden/>
          </w:rPr>
          <w:fldChar w:fldCharType="begin"/>
        </w:r>
        <w:r>
          <w:rPr>
            <w:noProof/>
            <w:webHidden/>
          </w:rPr>
          <w:instrText xml:space="preserve"> PAGEREF _Toc242167534 \h </w:instrText>
        </w:r>
        <w:r>
          <w:rPr>
            <w:noProof/>
            <w:webHidden/>
          </w:rPr>
        </w:r>
        <w:r>
          <w:rPr>
            <w:noProof/>
            <w:webHidden/>
          </w:rPr>
          <w:fldChar w:fldCharType="separate"/>
        </w:r>
        <w:r>
          <w:rPr>
            <w:noProof/>
            <w:webHidden/>
          </w:rPr>
          <w:t>23</w:t>
        </w:r>
        <w:r>
          <w:rPr>
            <w:noProof/>
            <w:webHidden/>
          </w:rPr>
          <w:fldChar w:fldCharType="end"/>
        </w:r>
      </w:hyperlink>
    </w:p>
    <w:p w14:paraId="45E936D6" w14:textId="2D8ADB23"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35" w:history="1">
        <w:r w:rsidRPr="00F326D9">
          <w:rPr>
            <w:rStyle w:val="Hyperlink"/>
            <w:noProof/>
          </w:rPr>
          <w:t>3.6.3</w:t>
        </w:r>
        <w:r>
          <w:rPr>
            <w:rFonts w:asciiTheme="minorHAnsi" w:eastAsiaTheme="minorEastAsia" w:hAnsiTheme="minorHAnsi" w:cstheme="minorBidi"/>
            <w:noProof/>
            <w:kern w:val="2"/>
            <w:sz w:val="24"/>
            <w:szCs w:val="24"/>
            <w14:ligatures w14:val="standardContextual"/>
          </w:rPr>
          <w:tab/>
        </w:r>
        <w:r w:rsidRPr="00F326D9">
          <w:rPr>
            <w:rStyle w:val="Hyperlink"/>
            <w:noProof/>
          </w:rPr>
          <w:t>Grundlagen der Sicherheitsnachweisführung</w:t>
        </w:r>
        <w:r>
          <w:rPr>
            <w:noProof/>
            <w:webHidden/>
          </w:rPr>
          <w:tab/>
        </w:r>
        <w:r>
          <w:rPr>
            <w:noProof/>
            <w:webHidden/>
          </w:rPr>
          <w:fldChar w:fldCharType="begin"/>
        </w:r>
        <w:r>
          <w:rPr>
            <w:noProof/>
            <w:webHidden/>
          </w:rPr>
          <w:instrText xml:space="preserve"> PAGEREF _Toc242167535 \h </w:instrText>
        </w:r>
        <w:r>
          <w:rPr>
            <w:noProof/>
            <w:webHidden/>
          </w:rPr>
        </w:r>
        <w:r>
          <w:rPr>
            <w:noProof/>
            <w:webHidden/>
          </w:rPr>
          <w:fldChar w:fldCharType="separate"/>
        </w:r>
        <w:r>
          <w:rPr>
            <w:noProof/>
            <w:webHidden/>
          </w:rPr>
          <w:t>24</w:t>
        </w:r>
        <w:r>
          <w:rPr>
            <w:noProof/>
            <w:webHidden/>
          </w:rPr>
          <w:fldChar w:fldCharType="end"/>
        </w:r>
      </w:hyperlink>
    </w:p>
    <w:p w14:paraId="1EE97A4C" w14:textId="4A056F40" w:rsidR="00371A83" w:rsidRDefault="00371A83">
      <w:pPr>
        <w:pStyle w:val="TOC3"/>
        <w:rPr>
          <w:rFonts w:asciiTheme="minorHAnsi" w:eastAsiaTheme="minorEastAsia" w:hAnsiTheme="minorHAnsi" w:cstheme="minorBidi"/>
          <w:noProof/>
          <w:kern w:val="2"/>
          <w:sz w:val="24"/>
          <w:szCs w:val="24"/>
          <w14:ligatures w14:val="standardContextual"/>
        </w:rPr>
      </w:pPr>
      <w:hyperlink w:anchor="_Toc242167536" w:history="1">
        <w:r w:rsidRPr="00F326D9">
          <w:rPr>
            <w:rStyle w:val="Hyperlink"/>
            <w:noProof/>
          </w:rPr>
          <w:t>3.6.4</w:t>
        </w:r>
        <w:r>
          <w:rPr>
            <w:rFonts w:asciiTheme="minorHAnsi" w:eastAsiaTheme="minorEastAsia" w:hAnsiTheme="minorHAnsi" w:cstheme="minorBidi"/>
            <w:noProof/>
            <w:kern w:val="2"/>
            <w:sz w:val="24"/>
            <w:szCs w:val="24"/>
            <w14:ligatures w14:val="standardContextual"/>
          </w:rPr>
          <w:tab/>
        </w:r>
        <w:r w:rsidRPr="00F326D9">
          <w:rPr>
            <w:rStyle w:val="Hyperlink"/>
            <w:noProof/>
          </w:rPr>
          <w:t>Beherrschung von Gefährdungen</w:t>
        </w:r>
        <w:r>
          <w:rPr>
            <w:noProof/>
            <w:webHidden/>
          </w:rPr>
          <w:tab/>
        </w:r>
        <w:r>
          <w:rPr>
            <w:noProof/>
            <w:webHidden/>
          </w:rPr>
          <w:fldChar w:fldCharType="begin"/>
        </w:r>
        <w:r>
          <w:rPr>
            <w:noProof/>
            <w:webHidden/>
          </w:rPr>
          <w:instrText xml:space="preserve"> PAGEREF _Toc242167536 \h </w:instrText>
        </w:r>
        <w:r>
          <w:rPr>
            <w:noProof/>
            <w:webHidden/>
          </w:rPr>
        </w:r>
        <w:r>
          <w:rPr>
            <w:noProof/>
            <w:webHidden/>
          </w:rPr>
          <w:fldChar w:fldCharType="separate"/>
        </w:r>
        <w:r>
          <w:rPr>
            <w:noProof/>
            <w:webHidden/>
          </w:rPr>
          <w:t>29</w:t>
        </w:r>
        <w:r>
          <w:rPr>
            <w:noProof/>
            <w:webHidden/>
          </w:rPr>
          <w:fldChar w:fldCharType="end"/>
        </w:r>
      </w:hyperlink>
    </w:p>
    <w:p w14:paraId="7E05852E" w14:textId="39E3D024" w:rsidR="00371A83" w:rsidRDefault="00371A83">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2167537" w:history="1">
        <w:r w:rsidRPr="00F326D9">
          <w:rPr>
            <w:rStyle w:val="Hyperlink"/>
            <w:noProof/>
          </w:rPr>
          <w:t>4.</w:t>
        </w:r>
        <w:r>
          <w:rPr>
            <w:rFonts w:asciiTheme="minorHAnsi" w:eastAsiaTheme="minorEastAsia" w:hAnsiTheme="minorHAnsi" w:cstheme="minorBidi"/>
            <w:caps w:val="0"/>
            <w:noProof/>
            <w:spacing w:val="0"/>
            <w:kern w:val="2"/>
            <w:sz w:val="24"/>
            <w:szCs w:val="24"/>
            <w:lang w:val="de-AT"/>
            <w14:ligatures w14:val="standardContextual"/>
          </w:rPr>
          <w:tab/>
        </w:r>
        <w:r w:rsidRPr="00F326D9">
          <w:rPr>
            <w:rStyle w:val="Hyperlink"/>
            <w:noProof/>
          </w:rPr>
          <w:t>SICHERHEITSSTRATEGIE</w:t>
        </w:r>
        <w:r>
          <w:rPr>
            <w:noProof/>
            <w:webHidden/>
          </w:rPr>
          <w:tab/>
        </w:r>
        <w:r>
          <w:rPr>
            <w:noProof/>
            <w:webHidden/>
          </w:rPr>
          <w:fldChar w:fldCharType="begin"/>
        </w:r>
        <w:r>
          <w:rPr>
            <w:noProof/>
            <w:webHidden/>
          </w:rPr>
          <w:instrText xml:space="preserve"> PAGEREF _Toc242167537 \h </w:instrText>
        </w:r>
        <w:r>
          <w:rPr>
            <w:noProof/>
            <w:webHidden/>
          </w:rPr>
        </w:r>
        <w:r>
          <w:rPr>
            <w:noProof/>
            <w:webHidden/>
          </w:rPr>
          <w:fldChar w:fldCharType="separate"/>
        </w:r>
        <w:r>
          <w:rPr>
            <w:noProof/>
            <w:webHidden/>
          </w:rPr>
          <w:t>30</w:t>
        </w:r>
        <w:r>
          <w:rPr>
            <w:noProof/>
            <w:webHidden/>
          </w:rPr>
          <w:fldChar w:fldCharType="end"/>
        </w:r>
      </w:hyperlink>
    </w:p>
    <w:p w14:paraId="34D3322B" w14:textId="7734246A"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38" w:history="1">
        <w:r w:rsidRPr="00F326D9">
          <w:rPr>
            <w:rStyle w:val="Hyperlink"/>
            <w:noProof/>
          </w:rPr>
          <w:t>4.1</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Allgemeine Sicherheitsstrategie</w:t>
        </w:r>
        <w:r>
          <w:rPr>
            <w:noProof/>
            <w:webHidden/>
          </w:rPr>
          <w:tab/>
        </w:r>
        <w:r>
          <w:rPr>
            <w:noProof/>
            <w:webHidden/>
          </w:rPr>
          <w:fldChar w:fldCharType="begin"/>
        </w:r>
        <w:r>
          <w:rPr>
            <w:noProof/>
            <w:webHidden/>
          </w:rPr>
          <w:instrText xml:space="preserve"> PAGEREF _Toc242167538 \h </w:instrText>
        </w:r>
        <w:r>
          <w:rPr>
            <w:noProof/>
            <w:webHidden/>
          </w:rPr>
        </w:r>
        <w:r>
          <w:rPr>
            <w:noProof/>
            <w:webHidden/>
          </w:rPr>
          <w:fldChar w:fldCharType="separate"/>
        </w:r>
        <w:r>
          <w:rPr>
            <w:noProof/>
            <w:webHidden/>
          </w:rPr>
          <w:t>30</w:t>
        </w:r>
        <w:r>
          <w:rPr>
            <w:noProof/>
            <w:webHidden/>
          </w:rPr>
          <w:fldChar w:fldCharType="end"/>
        </w:r>
      </w:hyperlink>
    </w:p>
    <w:p w14:paraId="25386A39" w14:textId="30EA338A"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39" w:history="1">
        <w:r w:rsidRPr="00F326D9">
          <w:rPr>
            <w:rStyle w:val="Hyperlink"/>
            <w:noProof/>
          </w:rPr>
          <w:t>4.2</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Sicherheitsstrategie der DFE-Subsysteme</w:t>
        </w:r>
        <w:r>
          <w:rPr>
            <w:noProof/>
            <w:webHidden/>
          </w:rPr>
          <w:tab/>
        </w:r>
        <w:r>
          <w:rPr>
            <w:noProof/>
            <w:webHidden/>
          </w:rPr>
          <w:fldChar w:fldCharType="begin"/>
        </w:r>
        <w:r>
          <w:rPr>
            <w:noProof/>
            <w:webHidden/>
          </w:rPr>
          <w:instrText xml:space="preserve"> PAGEREF _Toc242167539 \h </w:instrText>
        </w:r>
        <w:r>
          <w:rPr>
            <w:noProof/>
            <w:webHidden/>
          </w:rPr>
        </w:r>
        <w:r>
          <w:rPr>
            <w:noProof/>
            <w:webHidden/>
          </w:rPr>
          <w:fldChar w:fldCharType="separate"/>
        </w:r>
        <w:r>
          <w:rPr>
            <w:noProof/>
            <w:webHidden/>
          </w:rPr>
          <w:t>31</w:t>
        </w:r>
        <w:r>
          <w:rPr>
            <w:noProof/>
            <w:webHidden/>
          </w:rPr>
          <w:fldChar w:fldCharType="end"/>
        </w:r>
      </w:hyperlink>
    </w:p>
    <w:p w14:paraId="004FD4F1" w14:textId="488F4AB2"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40" w:history="1">
        <w:r w:rsidRPr="00F326D9">
          <w:rPr>
            <w:rStyle w:val="Hyperlink"/>
            <w:noProof/>
          </w:rPr>
          <w:t>4.3</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Wiederverwendung vorhandener Sicherheitsnachweise</w:t>
        </w:r>
        <w:r>
          <w:rPr>
            <w:noProof/>
            <w:webHidden/>
          </w:rPr>
          <w:tab/>
        </w:r>
        <w:r>
          <w:rPr>
            <w:noProof/>
            <w:webHidden/>
          </w:rPr>
          <w:fldChar w:fldCharType="begin"/>
        </w:r>
        <w:r>
          <w:rPr>
            <w:noProof/>
            <w:webHidden/>
          </w:rPr>
          <w:instrText xml:space="preserve"> PAGEREF _Toc242167540 \h </w:instrText>
        </w:r>
        <w:r>
          <w:rPr>
            <w:noProof/>
            <w:webHidden/>
          </w:rPr>
        </w:r>
        <w:r>
          <w:rPr>
            <w:noProof/>
            <w:webHidden/>
          </w:rPr>
          <w:fldChar w:fldCharType="separate"/>
        </w:r>
        <w:r>
          <w:rPr>
            <w:noProof/>
            <w:webHidden/>
          </w:rPr>
          <w:t>32</w:t>
        </w:r>
        <w:r>
          <w:rPr>
            <w:noProof/>
            <w:webHidden/>
          </w:rPr>
          <w:fldChar w:fldCharType="end"/>
        </w:r>
      </w:hyperlink>
    </w:p>
    <w:p w14:paraId="11A8D8ED" w14:textId="4E748F2E"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41" w:history="1">
        <w:r w:rsidRPr="00F326D9">
          <w:rPr>
            <w:rStyle w:val="Hyperlink"/>
            <w:noProof/>
          </w:rPr>
          <w:t>4.4</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Sicherheitsstrategie für die Systemintegration</w:t>
        </w:r>
        <w:r>
          <w:rPr>
            <w:noProof/>
            <w:webHidden/>
          </w:rPr>
          <w:tab/>
        </w:r>
        <w:r>
          <w:rPr>
            <w:noProof/>
            <w:webHidden/>
          </w:rPr>
          <w:fldChar w:fldCharType="begin"/>
        </w:r>
        <w:r>
          <w:rPr>
            <w:noProof/>
            <w:webHidden/>
          </w:rPr>
          <w:instrText xml:space="preserve"> PAGEREF _Toc242167541 \h </w:instrText>
        </w:r>
        <w:r>
          <w:rPr>
            <w:noProof/>
            <w:webHidden/>
          </w:rPr>
        </w:r>
        <w:r>
          <w:rPr>
            <w:noProof/>
            <w:webHidden/>
          </w:rPr>
          <w:fldChar w:fldCharType="separate"/>
        </w:r>
        <w:r>
          <w:rPr>
            <w:noProof/>
            <w:webHidden/>
          </w:rPr>
          <w:t>33</w:t>
        </w:r>
        <w:r>
          <w:rPr>
            <w:noProof/>
            <w:webHidden/>
          </w:rPr>
          <w:fldChar w:fldCharType="end"/>
        </w:r>
      </w:hyperlink>
    </w:p>
    <w:p w14:paraId="1596B87F" w14:textId="3A9E7D1B" w:rsidR="00371A83" w:rsidRDefault="00371A83">
      <w:pPr>
        <w:pStyle w:val="TOC2"/>
        <w:rPr>
          <w:rFonts w:asciiTheme="minorHAnsi" w:eastAsiaTheme="minorEastAsia" w:hAnsiTheme="minorHAnsi" w:cstheme="minorBidi"/>
          <w:noProof/>
          <w:spacing w:val="0"/>
          <w:kern w:val="2"/>
          <w:sz w:val="24"/>
          <w:lang w:val="de-AT"/>
          <w14:ligatures w14:val="standardContextual"/>
        </w:rPr>
      </w:pPr>
      <w:hyperlink w:anchor="_Toc242167542" w:history="1">
        <w:r w:rsidRPr="00F326D9">
          <w:rPr>
            <w:rStyle w:val="Hyperlink"/>
            <w:noProof/>
          </w:rPr>
          <w:t>4.5</w:t>
        </w:r>
        <w:r>
          <w:rPr>
            <w:rFonts w:asciiTheme="minorHAnsi" w:eastAsiaTheme="minorEastAsia" w:hAnsiTheme="minorHAnsi" w:cstheme="minorBidi"/>
            <w:noProof/>
            <w:spacing w:val="0"/>
            <w:kern w:val="2"/>
            <w:sz w:val="24"/>
            <w:lang w:val="de-AT"/>
            <w14:ligatures w14:val="standardContextual"/>
          </w:rPr>
          <w:tab/>
        </w:r>
        <w:r w:rsidRPr="00F326D9">
          <w:rPr>
            <w:rStyle w:val="Hyperlink"/>
            <w:noProof/>
          </w:rPr>
          <w:t>Freigabe von Konfigurationsvarianten</w:t>
        </w:r>
        <w:r>
          <w:rPr>
            <w:noProof/>
            <w:webHidden/>
          </w:rPr>
          <w:tab/>
        </w:r>
        <w:r>
          <w:rPr>
            <w:noProof/>
            <w:webHidden/>
          </w:rPr>
          <w:fldChar w:fldCharType="begin"/>
        </w:r>
        <w:r>
          <w:rPr>
            <w:noProof/>
            <w:webHidden/>
          </w:rPr>
          <w:instrText xml:space="preserve"> PAGEREF _Toc242167542 \h </w:instrText>
        </w:r>
        <w:r>
          <w:rPr>
            <w:noProof/>
            <w:webHidden/>
          </w:rPr>
        </w:r>
        <w:r>
          <w:rPr>
            <w:noProof/>
            <w:webHidden/>
          </w:rPr>
          <w:fldChar w:fldCharType="separate"/>
        </w:r>
        <w:r>
          <w:rPr>
            <w:noProof/>
            <w:webHidden/>
          </w:rPr>
          <w:t>33</w:t>
        </w:r>
        <w:r>
          <w:rPr>
            <w:noProof/>
            <w:webHidden/>
          </w:rPr>
          <w:fldChar w:fldCharType="end"/>
        </w:r>
      </w:hyperlink>
    </w:p>
    <w:p w14:paraId="52308B0D" w14:textId="3E8721E6" w:rsidR="00371A83" w:rsidRDefault="00371A83">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2167543" w:history="1">
        <w:r w:rsidRPr="00F326D9">
          <w:rPr>
            <w:rStyle w:val="Hyperlink"/>
            <w:noProof/>
          </w:rPr>
          <w:t>5.</w:t>
        </w:r>
        <w:r>
          <w:rPr>
            <w:rFonts w:asciiTheme="minorHAnsi" w:eastAsiaTheme="minorEastAsia" w:hAnsiTheme="minorHAnsi" w:cstheme="minorBidi"/>
            <w:caps w:val="0"/>
            <w:noProof/>
            <w:spacing w:val="0"/>
            <w:kern w:val="2"/>
            <w:sz w:val="24"/>
            <w:szCs w:val="24"/>
            <w:lang w:val="de-AT"/>
            <w14:ligatures w14:val="standardContextual"/>
          </w:rPr>
          <w:tab/>
        </w:r>
        <w:r w:rsidRPr="00F326D9">
          <w:rPr>
            <w:rStyle w:val="Hyperlink"/>
            <w:noProof/>
          </w:rPr>
          <w:t>ZUSAMMENFASSUNG</w:t>
        </w:r>
        <w:r>
          <w:rPr>
            <w:noProof/>
            <w:webHidden/>
          </w:rPr>
          <w:tab/>
        </w:r>
        <w:r>
          <w:rPr>
            <w:noProof/>
            <w:webHidden/>
          </w:rPr>
          <w:fldChar w:fldCharType="begin"/>
        </w:r>
        <w:r>
          <w:rPr>
            <w:noProof/>
            <w:webHidden/>
          </w:rPr>
          <w:instrText xml:space="preserve"> PAGEREF _Toc242167543 \h </w:instrText>
        </w:r>
        <w:r>
          <w:rPr>
            <w:noProof/>
            <w:webHidden/>
          </w:rPr>
        </w:r>
        <w:r>
          <w:rPr>
            <w:noProof/>
            <w:webHidden/>
          </w:rPr>
          <w:fldChar w:fldCharType="separate"/>
        </w:r>
        <w:r>
          <w:rPr>
            <w:noProof/>
            <w:webHidden/>
          </w:rPr>
          <w:t>35</w:t>
        </w:r>
        <w:r>
          <w:rPr>
            <w:noProof/>
            <w:webHidden/>
          </w:rPr>
          <w:fldChar w:fldCharType="end"/>
        </w:r>
      </w:hyperlink>
    </w:p>
    <w:p w14:paraId="2B53567C" w14:textId="7B720E3D" w:rsidR="00371A83" w:rsidRDefault="00371A83">
      <w:pPr>
        <w:pStyle w:val="TOC1"/>
        <w:tabs>
          <w:tab w:val="left" w:pos="2304"/>
        </w:tabs>
        <w:rPr>
          <w:rFonts w:asciiTheme="minorHAnsi" w:eastAsiaTheme="minorEastAsia" w:hAnsiTheme="minorHAnsi" w:cstheme="minorBidi"/>
          <w:caps w:val="0"/>
          <w:noProof/>
          <w:spacing w:val="0"/>
          <w:kern w:val="2"/>
          <w:sz w:val="24"/>
          <w:szCs w:val="24"/>
          <w:lang w:val="de-AT"/>
          <w14:ligatures w14:val="standardContextual"/>
        </w:rPr>
      </w:pPr>
      <w:hyperlink w:anchor="_Toc242167544" w:history="1">
        <w:r w:rsidRPr="00F326D9">
          <w:rPr>
            <w:rStyle w:val="Hyperlink"/>
            <w:noProof/>
          </w:rPr>
          <w:t>APPENDIX A</w:t>
        </w:r>
        <w:r>
          <w:rPr>
            <w:rFonts w:asciiTheme="minorHAnsi" w:eastAsiaTheme="minorEastAsia" w:hAnsiTheme="minorHAnsi" w:cstheme="minorBidi"/>
            <w:caps w:val="0"/>
            <w:noProof/>
            <w:spacing w:val="0"/>
            <w:kern w:val="2"/>
            <w:sz w:val="24"/>
            <w:szCs w:val="24"/>
            <w:lang w:val="de-AT"/>
            <w14:ligatures w14:val="standardContextual"/>
          </w:rPr>
          <w:tab/>
        </w:r>
        <w:r w:rsidRPr="00F326D9">
          <w:rPr>
            <w:rStyle w:val="Hyperlink"/>
            <w:noProof/>
          </w:rPr>
          <w:t>VORLÄUFIGE GEFÄHRDUNGSANALYSE</w:t>
        </w:r>
        <w:r>
          <w:rPr>
            <w:noProof/>
            <w:webHidden/>
          </w:rPr>
          <w:tab/>
        </w:r>
        <w:r>
          <w:rPr>
            <w:noProof/>
            <w:webHidden/>
          </w:rPr>
          <w:fldChar w:fldCharType="begin"/>
        </w:r>
        <w:r>
          <w:rPr>
            <w:noProof/>
            <w:webHidden/>
          </w:rPr>
          <w:instrText xml:space="preserve"> PAGEREF _Toc242167544 \h </w:instrText>
        </w:r>
        <w:r>
          <w:rPr>
            <w:noProof/>
            <w:webHidden/>
          </w:rPr>
        </w:r>
        <w:r>
          <w:rPr>
            <w:noProof/>
            <w:webHidden/>
          </w:rPr>
          <w:fldChar w:fldCharType="separate"/>
        </w:r>
        <w:r>
          <w:rPr>
            <w:noProof/>
            <w:webHidden/>
          </w:rPr>
          <w:t>36</w:t>
        </w:r>
        <w:r>
          <w:rPr>
            <w:noProof/>
            <w:webHidden/>
          </w:rPr>
          <w:fldChar w:fldCharType="end"/>
        </w:r>
      </w:hyperlink>
    </w:p>
    <w:p w14:paraId="17BAD935" w14:textId="37299A28" w:rsidR="00D3696D" w:rsidRDefault="0083585D">
      <w:pPr>
        <w:pStyle w:val="Text"/>
        <w:rPr>
          <w:lang w:val="en-GB"/>
        </w:rPr>
      </w:pPr>
      <w:r>
        <w:rPr>
          <w:rStyle w:val="Hyperlink"/>
          <w:lang w:val="en-GB"/>
        </w:rPr>
        <w:fldChar w:fldCharType="end"/>
      </w:r>
      <w:bookmarkStart w:id="1" w:name="_Toc339385347"/>
    </w:p>
    <w:p w14:paraId="762B74B5" w14:textId="77777777" w:rsidR="00D3696D" w:rsidRDefault="0083585D">
      <w:pPr>
        <w:pStyle w:val="Text"/>
        <w:rPr>
          <w:lang w:val="en-GB"/>
        </w:rPr>
      </w:pPr>
      <w:r>
        <w:rPr>
          <w:lang w:val="en-GB"/>
        </w:rPr>
        <w:br w:type="page"/>
      </w:r>
    </w:p>
    <w:p w14:paraId="7C293544" w14:textId="7CE0070F" w:rsidR="00D3696D" w:rsidRPr="00DA440B" w:rsidRDefault="0015630A" w:rsidP="00DA440B">
      <w:pPr>
        <w:pStyle w:val="ListofFiguresandTablesHeading"/>
        <w:rPr>
          <w:lang w:val="en-GB"/>
        </w:rPr>
      </w:pPr>
      <w:r>
        <w:rPr>
          <w:lang w:val="en-GB"/>
        </w:rPr>
        <w:lastRenderedPageBreak/>
        <w:t>Tabellenverzeichnis</w:t>
      </w:r>
    </w:p>
    <w:p w14:paraId="7A6A9880" w14:textId="3CE34735" w:rsidR="00DC74A1" w:rsidRDefault="00DA440B">
      <w:pPr>
        <w:pStyle w:val="TableofFigures"/>
        <w:rPr>
          <w:rFonts w:asciiTheme="minorHAnsi" w:eastAsiaTheme="minorEastAsia" w:hAnsiTheme="minorHAnsi" w:cstheme="minorBidi"/>
          <w:noProof/>
          <w:kern w:val="2"/>
          <w:sz w:val="24"/>
          <w:lang w:val="de-AT"/>
          <w14:ligatures w14:val="standardContextual"/>
        </w:rPr>
      </w:pPr>
      <w:r>
        <w:rPr>
          <w:rFonts w:eastAsia="Cambria" w:cs="Angsana New"/>
          <w:color w:val="000000"/>
          <w:kern w:val="20"/>
          <w:lang w:eastAsia="en-US"/>
        </w:rPr>
        <w:fldChar w:fldCharType="begin"/>
      </w:r>
      <w:r>
        <w:instrText xml:space="preserve"> TOC \h \z \c "Tabelle" </w:instrText>
      </w:r>
      <w:r>
        <w:rPr>
          <w:rFonts w:eastAsia="Cambria" w:cs="Angsana New"/>
          <w:color w:val="000000"/>
          <w:kern w:val="20"/>
          <w:lang w:eastAsia="en-US"/>
        </w:rPr>
        <w:fldChar w:fldCharType="separate"/>
      </w:r>
      <w:hyperlink w:anchor="_Toc239147719" w:history="1">
        <w:r w:rsidR="00DC74A1" w:rsidRPr="00F3338F">
          <w:rPr>
            <w:rStyle w:val="Hyperlink"/>
            <w:noProof/>
            <w:highlight w:val="yellow"/>
          </w:rPr>
          <w:t>Tabelle 1: Referenzierte und verwandte Dokumente</w:t>
        </w:r>
        <w:r w:rsidR="00DC74A1">
          <w:rPr>
            <w:noProof/>
            <w:webHidden/>
          </w:rPr>
          <w:tab/>
        </w:r>
        <w:r w:rsidR="00DC74A1">
          <w:rPr>
            <w:noProof/>
            <w:webHidden/>
          </w:rPr>
          <w:fldChar w:fldCharType="begin"/>
        </w:r>
        <w:r w:rsidR="00DC74A1">
          <w:rPr>
            <w:noProof/>
            <w:webHidden/>
          </w:rPr>
          <w:instrText xml:space="preserve"> PAGEREF _Toc239147719 \h </w:instrText>
        </w:r>
        <w:r w:rsidR="00DC74A1">
          <w:rPr>
            <w:noProof/>
            <w:webHidden/>
          </w:rPr>
        </w:r>
        <w:r w:rsidR="00DC74A1">
          <w:rPr>
            <w:noProof/>
            <w:webHidden/>
          </w:rPr>
          <w:fldChar w:fldCharType="separate"/>
        </w:r>
        <w:r w:rsidR="00371A83">
          <w:rPr>
            <w:noProof/>
            <w:webHidden/>
          </w:rPr>
          <w:t>9</w:t>
        </w:r>
        <w:r w:rsidR="00DC74A1">
          <w:rPr>
            <w:noProof/>
            <w:webHidden/>
          </w:rPr>
          <w:fldChar w:fldCharType="end"/>
        </w:r>
      </w:hyperlink>
    </w:p>
    <w:p w14:paraId="66695817" w14:textId="6102AE16" w:rsidR="00DC74A1" w:rsidRDefault="00DC74A1">
      <w:pPr>
        <w:pStyle w:val="TableofFigures"/>
        <w:rPr>
          <w:rFonts w:asciiTheme="minorHAnsi" w:eastAsiaTheme="minorEastAsia" w:hAnsiTheme="minorHAnsi" w:cstheme="minorBidi"/>
          <w:noProof/>
          <w:kern w:val="2"/>
          <w:sz w:val="24"/>
          <w:lang w:val="de-AT"/>
          <w14:ligatures w14:val="standardContextual"/>
        </w:rPr>
      </w:pPr>
      <w:hyperlink w:anchor="_Toc239147720" w:history="1">
        <w:r w:rsidRPr="00F3338F">
          <w:rPr>
            <w:rStyle w:val="Hyperlink"/>
            <w:noProof/>
            <w:highlight w:val="yellow"/>
          </w:rPr>
          <w:t>Tabelle 2: Normen und Prozeduren</w:t>
        </w:r>
        <w:r>
          <w:rPr>
            <w:noProof/>
            <w:webHidden/>
          </w:rPr>
          <w:tab/>
        </w:r>
        <w:r>
          <w:rPr>
            <w:noProof/>
            <w:webHidden/>
          </w:rPr>
          <w:fldChar w:fldCharType="begin"/>
        </w:r>
        <w:r>
          <w:rPr>
            <w:noProof/>
            <w:webHidden/>
          </w:rPr>
          <w:instrText xml:space="preserve"> PAGEREF _Toc239147720 \h </w:instrText>
        </w:r>
        <w:r>
          <w:rPr>
            <w:noProof/>
            <w:webHidden/>
          </w:rPr>
        </w:r>
        <w:r>
          <w:rPr>
            <w:noProof/>
            <w:webHidden/>
          </w:rPr>
          <w:fldChar w:fldCharType="separate"/>
        </w:r>
        <w:r w:rsidR="00371A83">
          <w:rPr>
            <w:noProof/>
            <w:webHidden/>
          </w:rPr>
          <w:t>9</w:t>
        </w:r>
        <w:r>
          <w:rPr>
            <w:noProof/>
            <w:webHidden/>
          </w:rPr>
          <w:fldChar w:fldCharType="end"/>
        </w:r>
      </w:hyperlink>
    </w:p>
    <w:p w14:paraId="72655247" w14:textId="28B5ADFD" w:rsidR="00DC74A1" w:rsidRDefault="00DC74A1">
      <w:pPr>
        <w:pStyle w:val="TableofFigures"/>
        <w:rPr>
          <w:rFonts w:asciiTheme="minorHAnsi" w:eastAsiaTheme="minorEastAsia" w:hAnsiTheme="minorHAnsi" w:cstheme="minorBidi"/>
          <w:noProof/>
          <w:kern w:val="2"/>
          <w:sz w:val="24"/>
          <w:lang w:val="de-AT"/>
          <w14:ligatures w14:val="standardContextual"/>
        </w:rPr>
      </w:pPr>
      <w:hyperlink w:anchor="_Toc239147721" w:history="1">
        <w:r w:rsidRPr="00F3338F">
          <w:rPr>
            <w:rStyle w:val="Hyperlink"/>
            <w:noProof/>
            <w:highlight w:val="yellow"/>
          </w:rPr>
          <w:t>Tabelle 3: Begriffe, Definitionen und Abkürzungen</w:t>
        </w:r>
        <w:r>
          <w:rPr>
            <w:noProof/>
            <w:webHidden/>
          </w:rPr>
          <w:tab/>
        </w:r>
        <w:r>
          <w:rPr>
            <w:noProof/>
            <w:webHidden/>
          </w:rPr>
          <w:fldChar w:fldCharType="begin"/>
        </w:r>
        <w:r>
          <w:rPr>
            <w:noProof/>
            <w:webHidden/>
          </w:rPr>
          <w:instrText xml:space="preserve"> PAGEREF _Toc239147721 \h </w:instrText>
        </w:r>
        <w:r>
          <w:rPr>
            <w:noProof/>
            <w:webHidden/>
          </w:rPr>
        </w:r>
        <w:r>
          <w:rPr>
            <w:noProof/>
            <w:webHidden/>
          </w:rPr>
          <w:fldChar w:fldCharType="separate"/>
        </w:r>
        <w:r w:rsidR="00371A83">
          <w:rPr>
            <w:noProof/>
            <w:webHidden/>
          </w:rPr>
          <w:t>10</w:t>
        </w:r>
        <w:r>
          <w:rPr>
            <w:noProof/>
            <w:webHidden/>
          </w:rPr>
          <w:fldChar w:fldCharType="end"/>
        </w:r>
      </w:hyperlink>
    </w:p>
    <w:p w14:paraId="5C9B6A17" w14:textId="34126B86" w:rsidR="00DA440B" w:rsidRDefault="00DA440B" w:rsidP="00DA440B">
      <w:pPr>
        <w:pStyle w:val="Text"/>
        <w:ind w:left="0"/>
        <w:rPr>
          <w:lang w:val="en-GB"/>
        </w:rPr>
      </w:pPr>
      <w:r>
        <w:rPr>
          <w:lang w:val="en-GB"/>
        </w:rPr>
        <w:fldChar w:fldCharType="end"/>
      </w:r>
    </w:p>
    <w:p w14:paraId="53ED7919" w14:textId="77777777" w:rsidR="00D3696D" w:rsidRDefault="0083585D">
      <w:pPr>
        <w:pStyle w:val="ListofFiguresandTablesHeading"/>
        <w:rPr>
          <w:lang w:val="en-GB"/>
        </w:rPr>
      </w:pPr>
      <w:r>
        <w:rPr>
          <w:lang w:val="en-GB"/>
        </w:rPr>
        <w:t>aBBILDUNGSVERZEICHNIS</w:t>
      </w:r>
    </w:p>
    <w:p w14:paraId="5F76E9FF" w14:textId="64BD44E5" w:rsidR="00371A83" w:rsidRDefault="00B861B2">
      <w:pPr>
        <w:pStyle w:val="TableofFigures"/>
        <w:rPr>
          <w:rFonts w:asciiTheme="minorHAnsi" w:eastAsiaTheme="minorEastAsia" w:hAnsiTheme="minorHAnsi" w:cstheme="minorBidi"/>
          <w:noProof/>
          <w:kern w:val="2"/>
          <w:sz w:val="24"/>
          <w:lang w:val="de-AT"/>
          <w14:ligatures w14:val="standardContextual"/>
        </w:rPr>
      </w:pPr>
      <w:r>
        <w:rPr>
          <w:szCs w:val="22"/>
          <w:lang w:eastAsia="ja-JP"/>
        </w:rPr>
        <w:fldChar w:fldCharType="begin"/>
      </w:r>
      <w:r>
        <w:rPr>
          <w:szCs w:val="22"/>
          <w:lang w:eastAsia="ja-JP"/>
        </w:rPr>
        <w:instrText xml:space="preserve"> TOC \h \z \c "Abbildung" </w:instrText>
      </w:r>
      <w:r>
        <w:rPr>
          <w:szCs w:val="22"/>
          <w:lang w:eastAsia="ja-JP"/>
        </w:rPr>
        <w:fldChar w:fldCharType="separate"/>
      </w:r>
      <w:hyperlink w:anchor="_Toc242167545" w:history="1">
        <w:r w:rsidR="00371A83" w:rsidRPr="006E40AC">
          <w:rPr>
            <w:rStyle w:val="Hyperlink"/>
            <w:noProof/>
          </w:rPr>
          <w:t>Abbildung 1: Grundlegende Struktur der DFE</w:t>
        </w:r>
        <w:r w:rsidR="00371A83">
          <w:rPr>
            <w:noProof/>
            <w:webHidden/>
          </w:rPr>
          <w:tab/>
        </w:r>
        <w:r w:rsidR="00371A83">
          <w:rPr>
            <w:noProof/>
            <w:webHidden/>
          </w:rPr>
          <w:fldChar w:fldCharType="begin"/>
        </w:r>
        <w:r w:rsidR="00371A83">
          <w:rPr>
            <w:noProof/>
            <w:webHidden/>
          </w:rPr>
          <w:instrText xml:space="preserve"> PAGEREF _Toc242167545 \h </w:instrText>
        </w:r>
        <w:r w:rsidR="00371A83">
          <w:rPr>
            <w:noProof/>
            <w:webHidden/>
          </w:rPr>
        </w:r>
        <w:r w:rsidR="00371A83">
          <w:rPr>
            <w:noProof/>
            <w:webHidden/>
          </w:rPr>
          <w:fldChar w:fldCharType="separate"/>
        </w:r>
        <w:r w:rsidR="00371A83">
          <w:rPr>
            <w:noProof/>
            <w:webHidden/>
          </w:rPr>
          <w:t>11</w:t>
        </w:r>
        <w:r w:rsidR="00371A83">
          <w:rPr>
            <w:noProof/>
            <w:webHidden/>
          </w:rPr>
          <w:fldChar w:fldCharType="end"/>
        </w:r>
      </w:hyperlink>
    </w:p>
    <w:p w14:paraId="6FFBCE80" w14:textId="0B9A84FF"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46" w:history="1">
        <w:r w:rsidRPr="006E40AC">
          <w:rPr>
            <w:rStyle w:val="Hyperlink"/>
            <w:noProof/>
          </w:rPr>
          <w:t>Abbildung 2: Object Controller Weiche</w:t>
        </w:r>
        <w:r>
          <w:rPr>
            <w:noProof/>
            <w:webHidden/>
          </w:rPr>
          <w:tab/>
        </w:r>
        <w:r>
          <w:rPr>
            <w:noProof/>
            <w:webHidden/>
          </w:rPr>
          <w:fldChar w:fldCharType="begin"/>
        </w:r>
        <w:r>
          <w:rPr>
            <w:noProof/>
            <w:webHidden/>
          </w:rPr>
          <w:instrText xml:space="preserve"> PAGEREF _Toc242167546 \h </w:instrText>
        </w:r>
        <w:r>
          <w:rPr>
            <w:noProof/>
            <w:webHidden/>
          </w:rPr>
        </w:r>
        <w:r>
          <w:rPr>
            <w:noProof/>
            <w:webHidden/>
          </w:rPr>
          <w:fldChar w:fldCharType="separate"/>
        </w:r>
        <w:r>
          <w:rPr>
            <w:noProof/>
            <w:webHidden/>
          </w:rPr>
          <w:t>14</w:t>
        </w:r>
        <w:r>
          <w:rPr>
            <w:noProof/>
            <w:webHidden/>
          </w:rPr>
          <w:fldChar w:fldCharType="end"/>
        </w:r>
      </w:hyperlink>
    </w:p>
    <w:p w14:paraId="2A2DEFCD" w14:textId="36261AD0"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47" w:history="1">
        <w:r w:rsidRPr="006E40AC">
          <w:rPr>
            <w:rStyle w:val="Hyperlink"/>
            <w:noProof/>
          </w:rPr>
          <w:t>Abbildung 3: Object Controller Signal</w:t>
        </w:r>
        <w:r>
          <w:rPr>
            <w:noProof/>
            <w:webHidden/>
          </w:rPr>
          <w:tab/>
        </w:r>
        <w:r>
          <w:rPr>
            <w:noProof/>
            <w:webHidden/>
          </w:rPr>
          <w:fldChar w:fldCharType="begin"/>
        </w:r>
        <w:r>
          <w:rPr>
            <w:noProof/>
            <w:webHidden/>
          </w:rPr>
          <w:instrText xml:space="preserve"> PAGEREF _Toc242167547 \h </w:instrText>
        </w:r>
        <w:r>
          <w:rPr>
            <w:noProof/>
            <w:webHidden/>
          </w:rPr>
        </w:r>
        <w:r>
          <w:rPr>
            <w:noProof/>
            <w:webHidden/>
          </w:rPr>
          <w:fldChar w:fldCharType="separate"/>
        </w:r>
        <w:r>
          <w:rPr>
            <w:noProof/>
            <w:webHidden/>
          </w:rPr>
          <w:t>15</w:t>
        </w:r>
        <w:r>
          <w:rPr>
            <w:noProof/>
            <w:webHidden/>
          </w:rPr>
          <w:fldChar w:fldCharType="end"/>
        </w:r>
      </w:hyperlink>
    </w:p>
    <w:p w14:paraId="3F554325" w14:textId="0CC9898B"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48" w:history="1">
        <w:r w:rsidRPr="006E40AC">
          <w:rPr>
            <w:rStyle w:val="Hyperlink"/>
            <w:noProof/>
          </w:rPr>
          <w:t xml:space="preserve">Abbildung 4: Object Controller </w:t>
        </w:r>
        <w:r w:rsidRPr="006E40AC">
          <w:rPr>
            <w:rStyle w:val="Hyperlink"/>
            <w:rFonts w:cs="Arial"/>
            <w:noProof/>
            <w:lang w:val="en-US"/>
          </w:rPr>
          <w:t>Generischer I/O</w:t>
        </w:r>
        <w:r>
          <w:rPr>
            <w:noProof/>
            <w:webHidden/>
          </w:rPr>
          <w:tab/>
        </w:r>
        <w:r>
          <w:rPr>
            <w:noProof/>
            <w:webHidden/>
          </w:rPr>
          <w:fldChar w:fldCharType="begin"/>
        </w:r>
        <w:r>
          <w:rPr>
            <w:noProof/>
            <w:webHidden/>
          </w:rPr>
          <w:instrText xml:space="preserve"> PAGEREF _Toc242167548 \h </w:instrText>
        </w:r>
        <w:r>
          <w:rPr>
            <w:noProof/>
            <w:webHidden/>
          </w:rPr>
        </w:r>
        <w:r>
          <w:rPr>
            <w:noProof/>
            <w:webHidden/>
          </w:rPr>
          <w:fldChar w:fldCharType="separate"/>
        </w:r>
        <w:r>
          <w:rPr>
            <w:noProof/>
            <w:webHidden/>
          </w:rPr>
          <w:t>16</w:t>
        </w:r>
        <w:r>
          <w:rPr>
            <w:noProof/>
            <w:webHidden/>
          </w:rPr>
          <w:fldChar w:fldCharType="end"/>
        </w:r>
      </w:hyperlink>
    </w:p>
    <w:p w14:paraId="44FDBAB5" w14:textId="7CBD3343"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49" w:history="1">
        <w:r w:rsidRPr="006E40AC">
          <w:rPr>
            <w:rStyle w:val="Hyperlink"/>
            <w:noProof/>
          </w:rPr>
          <w:t xml:space="preserve">Abbildung 5: Object Controller </w:t>
        </w:r>
        <w:r w:rsidRPr="006E40AC">
          <w:rPr>
            <w:rStyle w:val="Hyperlink"/>
            <w:rFonts w:cs="Arial"/>
            <w:noProof/>
            <w:lang w:val="en-US"/>
          </w:rPr>
          <w:t>Achszähler</w:t>
        </w:r>
        <w:r>
          <w:rPr>
            <w:noProof/>
            <w:webHidden/>
          </w:rPr>
          <w:tab/>
        </w:r>
        <w:r>
          <w:rPr>
            <w:noProof/>
            <w:webHidden/>
          </w:rPr>
          <w:fldChar w:fldCharType="begin"/>
        </w:r>
        <w:r>
          <w:rPr>
            <w:noProof/>
            <w:webHidden/>
          </w:rPr>
          <w:instrText xml:space="preserve"> PAGEREF _Toc242167549 \h </w:instrText>
        </w:r>
        <w:r>
          <w:rPr>
            <w:noProof/>
            <w:webHidden/>
          </w:rPr>
        </w:r>
        <w:r>
          <w:rPr>
            <w:noProof/>
            <w:webHidden/>
          </w:rPr>
          <w:fldChar w:fldCharType="separate"/>
        </w:r>
        <w:r>
          <w:rPr>
            <w:noProof/>
            <w:webHidden/>
          </w:rPr>
          <w:t>17</w:t>
        </w:r>
        <w:r>
          <w:rPr>
            <w:noProof/>
            <w:webHidden/>
          </w:rPr>
          <w:fldChar w:fldCharType="end"/>
        </w:r>
      </w:hyperlink>
    </w:p>
    <w:p w14:paraId="54F08A8B" w14:textId="09FC9593"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50" w:history="1">
        <w:r w:rsidRPr="006E40AC">
          <w:rPr>
            <w:rStyle w:val="Hyperlink"/>
            <w:noProof/>
          </w:rPr>
          <w:t xml:space="preserve">Abbildung 6: Object Controller </w:t>
        </w:r>
        <w:r w:rsidRPr="006E40AC">
          <w:rPr>
            <w:rStyle w:val="Hyperlink"/>
            <w:rFonts w:cs="Arial"/>
            <w:noProof/>
            <w:lang w:val="en-US"/>
          </w:rPr>
          <w:t>EKSA</w:t>
        </w:r>
        <w:r>
          <w:rPr>
            <w:noProof/>
            <w:webHidden/>
          </w:rPr>
          <w:tab/>
        </w:r>
        <w:r>
          <w:rPr>
            <w:noProof/>
            <w:webHidden/>
          </w:rPr>
          <w:fldChar w:fldCharType="begin"/>
        </w:r>
        <w:r>
          <w:rPr>
            <w:noProof/>
            <w:webHidden/>
          </w:rPr>
          <w:instrText xml:space="preserve"> PAGEREF _Toc242167550 \h </w:instrText>
        </w:r>
        <w:r>
          <w:rPr>
            <w:noProof/>
            <w:webHidden/>
          </w:rPr>
        </w:r>
        <w:r>
          <w:rPr>
            <w:noProof/>
            <w:webHidden/>
          </w:rPr>
          <w:fldChar w:fldCharType="separate"/>
        </w:r>
        <w:r>
          <w:rPr>
            <w:noProof/>
            <w:webHidden/>
          </w:rPr>
          <w:t>18</w:t>
        </w:r>
        <w:r>
          <w:rPr>
            <w:noProof/>
            <w:webHidden/>
          </w:rPr>
          <w:fldChar w:fldCharType="end"/>
        </w:r>
      </w:hyperlink>
    </w:p>
    <w:p w14:paraId="2AFFD9B4" w14:textId="1B527D0F"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51" w:history="1">
        <w:r w:rsidRPr="006E40AC">
          <w:rPr>
            <w:rStyle w:val="Hyperlink"/>
            <w:noProof/>
          </w:rPr>
          <w:t>Abbildung 7: Teilsystem FES</w:t>
        </w:r>
        <w:r>
          <w:rPr>
            <w:noProof/>
            <w:webHidden/>
          </w:rPr>
          <w:tab/>
        </w:r>
        <w:r>
          <w:rPr>
            <w:noProof/>
            <w:webHidden/>
          </w:rPr>
          <w:fldChar w:fldCharType="begin"/>
        </w:r>
        <w:r>
          <w:rPr>
            <w:noProof/>
            <w:webHidden/>
          </w:rPr>
          <w:instrText xml:space="preserve"> PAGEREF _Toc242167551 \h </w:instrText>
        </w:r>
        <w:r>
          <w:rPr>
            <w:noProof/>
            <w:webHidden/>
          </w:rPr>
        </w:r>
        <w:r>
          <w:rPr>
            <w:noProof/>
            <w:webHidden/>
          </w:rPr>
          <w:fldChar w:fldCharType="separate"/>
        </w:r>
        <w:r>
          <w:rPr>
            <w:noProof/>
            <w:webHidden/>
          </w:rPr>
          <w:t>19</w:t>
        </w:r>
        <w:r>
          <w:rPr>
            <w:noProof/>
            <w:webHidden/>
          </w:rPr>
          <w:fldChar w:fldCharType="end"/>
        </w:r>
      </w:hyperlink>
    </w:p>
    <w:p w14:paraId="344F94C0" w14:textId="487CD7E5"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52" w:history="1">
        <w:r w:rsidRPr="006E40AC">
          <w:rPr>
            <w:rStyle w:val="Hyperlink"/>
            <w:noProof/>
          </w:rPr>
          <w:t>Abbildung 8: Teilsystem Schnittstellenumsetzer</w:t>
        </w:r>
        <w:r>
          <w:rPr>
            <w:noProof/>
            <w:webHidden/>
          </w:rPr>
          <w:tab/>
        </w:r>
        <w:r>
          <w:rPr>
            <w:noProof/>
            <w:webHidden/>
          </w:rPr>
          <w:fldChar w:fldCharType="begin"/>
        </w:r>
        <w:r>
          <w:rPr>
            <w:noProof/>
            <w:webHidden/>
          </w:rPr>
          <w:instrText xml:space="preserve"> PAGEREF _Toc242167552 \h </w:instrText>
        </w:r>
        <w:r>
          <w:rPr>
            <w:noProof/>
            <w:webHidden/>
          </w:rPr>
        </w:r>
        <w:r>
          <w:rPr>
            <w:noProof/>
            <w:webHidden/>
          </w:rPr>
          <w:fldChar w:fldCharType="separate"/>
        </w:r>
        <w:r>
          <w:rPr>
            <w:noProof/>
            <w:webHidden/>
          </w:rPr>
          <w:t>20</w:t>
        </w:r>
        <w:r>
          <w:rPr>
            <w:noProof/>
            <w:webHidden/>
          </w:rPr>
          <w:fldChar w:fldCharType="end"/>
        </w:r>
      </w:hyperlink>
    </w:p>
    <w:p w14:paraId="6C0A52BA" w14:textId="77ABE596" w:rsidR="00371A83" w:rsidRDefault="00371A83">
      <w:pPr>
        <w:pStyle w:val="TableofFigures"/>
        <w:rPr>
          <w:rFonts w:asciiTheme="minorHAnsi" w:eastAsiaTheme="minorEastAsia" w:hAnsiTheme="minorHAnsi" w:cstheme="minorBidi"/>
          <w:noProof/>
          <w:kern w:val="2"/>
          <w:sz w:val="24"/>
          <w:lang w:val="de-AT"/>
          <w14:ligatures w14:val="standardContextual"/>
        </w:rPr>
      </w:pPr>
      <w:hyperlink w:anchor="_Toc242167553" w:history="1">
        <w:r w:rsidRPr="006E40AC">
          <w:rPr>
            <w:rStyle w:val="Hyperlink"/>
            <w:noProof/>
          </w:rPr>
          <w:t>Abbildung 9: Sicherheitsnachweisstruktur der Schnittstellenumsetzer</w:t>
        </w:r>
        <w:r>
          <w:rPr>
            <w:noProof/>
            <w:webHidden/>
          </w:rPr>
          <w:tab/>
        </w:r>
        <w:r>
          <w:rPr>
            <w:noProof/>
            <w:webHidden/>
          </w:rPr>
          <w:fldChar w:fldCharType="begin"/>
        </w:r>
        <w:r>
          <w:rPr>
            <w:noProof/>
            <w:webHidden/>
          </w:rPr>
          <w:instrText xml:space="preserve"> PAGEREF _Toc242167553 \h </w:instrText>
        </w:r>
        <w:r>
          <w:rPr>
            <w:noProof/>
            <w:webHidden/>
          </w:rPr>
        </w:r>
        <w:r>
          <w:rPr>
            <w:noProof/>
            <w:webHidden/>
          </w:rPr>
          <w:fldChar w:fldCharType="separate"/>
        </w:r>
        <w:r>
          <w:rPr>
            <w:noProof/>
            <w:webHidden/>
          </w:rPr>
          <w:t>22</w:t>
        </w:r>
        <w:r>
          <w:rPr>
            <w:noProof/>
            <w:webHidden/>
          </w:rPr>
          <w:fldChar w:fldCharType="end"/>
        </w:r>
      </w:hyperlink>
    </w:p>
    <w:p w14:paraId="13FD8816" w14:textId="6314A6A0" w:rsidR="00D3696D" w:rsidRDefault="00B861B2">
      <w:pPr>
        <w:rPr>
          <w:szCs w:val="22"/>
          <w:lang w:val="en-GB" w:eastAsia="ja-JP"/>
        </w:rPr>
      </w:pPr>
      <w:r>
        <w:rPr>
          <w:szCs w:val="22"/>
          <w:lang w:val="en-GB" w:eastAsia="ja-JP"/>
        </w:rPr>
        <w:fldChar w:fldCharType="end"/>
      </w:r>
    </w:p>
    <w:p w14:paraId="005A7915" w14:textId="77777777" w:rsidR="00D3696D" w:rsidRDefault="00D3696D">
      <w:pPr>
        <w:pStyle w:val="Text"/>
        <w:rPr>
          <w:lang w:val="en-GB"/>
        </w:rPr>
      </w:pPr>
    </w:p>
    <w:p w14:paraId="29E3B9E0" w14:textId="77777777" w:rsidR="00D3696D" w:rsidRDefault="0083585D">
      <w:pPr>
        <w:pStyle w:val="Heading1"/>
      </w:pPr>
      <w:bookmarkStart w:id="2" w:name="_Toc242167510"/>
      <w:bookmarkEnd w:id="1"/>
      <w:r>
        <w:lastRenderedPageBreak/>
        <w:t>EINLEITUNG</w:t>
      </w:r>
      <w:bookmarkEnd w:id="2"/>
    </w:p>
    <w:p w14:paraId="42CE47D3" w14:textId="2ED0BD85" w:rsidR="00D3696D" w:rsidRDefault="005D53B9">
      <w:pPr>
        <w:pStyle w:val="Heading2"/>
        <w:keepLines w:val="0"/>
        <w:tabs>
          <w:tab w:val="clear" w:pos="1080"/>
          <w:tab w:val="num" w:pos="720"/>
        </w:tabs>
        <w:spacing w:before="480" w:after="120" w:line="240" w:lineRule="auto"/>
        <w:ind w:left="0" w:firstLine="0"/>
      </w:pPr>
      <w:bookmarkStart w:id="3" w:name="_References_and_Terms"/>
      <w:bookmarkStart w:id="4" w:name="_Toc242167511"/>
      <w:bookmarkStart w:id="5" w:name="_Toc169248669"/>
      <w:bookmarkStart w:id="6" w:name="_Ref171060341"/>
      <w:bookmarkStart w:id="7" w:name="_Ref185235334"/>
      <w:bookmarkStart w:id="8" w:name="_Ref194410338"/>
      <w:bookmarkEnd w:id="3"/>
      <w:r>
        <w:t>Ge</w:t>
      </w:r>
      <w:r w:rsidR="00D91AF2">
        <w:t>genstand</w:t>
      </w:r>
      <w:bookmarkEnd w:id="4"/>
    </w:p>
    <w:p w14:paraId="66CC6835" w14:textId="6B4C457F" w:rsidR="00371A83" w:rsidRDefault="002A70A7" w:rsidP="00020946">
      <w:pPr>
        <w:pStyle w:val="Paragraph"/>
        <w:rPr>
          <w:lang w:val="de-AT"/>
        </w:rPr>
      </w:pPr>
      <w:r>
        <w:rPr>
          <w:lang w:val="de-AT"/>
        </w:rPr>
        <w:t>D</w:t>
      </w:r>
      <w:r w:rsidR="00371A83" w:rsidRPr="00371A83">
        <w:rPr>
          <w:lang w:val="de-AT"/>
        </w:rPr>
        <w:t>ieses Safety Concept beschreibt die Sicherheitsstrategie des Projekts Digital Field Elements (DFE) als Bestandteil der Generic Application Digital Interlocking (GA DIL).</w:t>
      </w:r>
    </w:p>
    <w:p w14:paraId="07ED654A" w14:textId="32B94BD6" w:rsidR="00020946" w:rsidRPr="00020946" w:rsidRDefault="00371A83" w:rsidP="00020946">
      <w:pPr>
        <w:pStyle w:val="Paragraph"/>
        <w:rPr>
          <w:lang w:val="de-AT"/>
        </w:rPr>
      </w:pPr>
      <w:r w:rsidRPr="00371A83">
        <w:rPr>
          <w:lang w:val="de-AT"/>
        </w:rPr>
        <w:t>Das DFE-Projekt umfasst die Entwicklung, Integration und Nachweisführung von DFE-Subsystemen zur Anbindung von Feldelementen und Bestandssystemen an die Architektur des Digitalen Stellwerks. Die DFE-Architektur umfasst sowohl sicherheitsrelevante als auch nicht sicherheitsrelevante Subsysteme, welche gemeinsam die für den Betrieb erforderlichen Funktionen bereitstellen.</w:t>
      </w:r>
    </w:p>
    <w:p w14:paraId="53D57CE7" w14:textId="10C9FE2C" w:rsidR="00020946" w:rsidRPr="00020946" w:rsidRDefault="000C18E0" w:rsidP="00020946">
      <w:pPr>
        <w:pStyle w:val="Paragraph"/>
        <w:rPr>
          <w:lang w:val="de-AT"/>
        </w:rPr>
      </w:pPr>
      <w:r w:rsidRPr="000C18E0">
        <w:rPr>
          <w:lang w:val="de-AT"/>
        </w:rPr>
        <w:t>Insbesondere umfasst das DFE-Projekt die folgenden DFE-Subsysteme und Integrationsbestandteile</w:t>
      </w:r>
      <w:r w:rsidR="00020946" w:rsidRPr="00020946">
        <w:rPr>
          <w:lang w:val="de-AT"/>
        </w:rPr>
        <w:t>:</w:t>
      </w:r>
    </w:p>
    <w:p w14:paraId="7A6A7913" w14:textId="7B1F7ED0" w:rsidR="00020946" w:rsidRPr="00020946" w:rsidRDefault="00020946" w:rsidP="00362C69">
      <w:pPr>
        <w:pStyle w:val="Paragraph"/>
        <w:numPr>
          <w:ilvl w:val="0"/>
          <w:numId w:val="24"/>
        </w:numPr>
        <w:rPr>
          <w:lang w:val="en-US"/>
        </w:rPr>
      </w:pPr>
      <w:r w:rsidRPr="00020946">
        <w:rPr>
          <w:lang w:val="en-US"/>
        </w:rPr>
        <w:t xml:space="preserve">Field Element </w:t>
      </w:r>
      <w:r w:rsidR="000C18E0">
        <w:rPr>
          <w:lang w:val="en-US"/>
        </w:rPr>
        <w:t>Station</w:t>
      </w:r>
      <w:r w:rsidRPr="00020946">
        <w:rPr>
          <w:lang w:val="en-US"/>
        </w:rPr>
        <w:t xml:space="preserve"> Size S (FES</w:t>
      </w:r>
      <w:r w:rsidR="0066712E">
        <w:rPr>
          <w:lang w:val="en-US"/>
        </w:rPr>
        <w:t xml:space="preserve"> </w:t>
      </w:r>
      <w:r w:rsidRPr="00020946">
        <w:rPr>
          <w:lang w:val="en-US"/>
        </w:rPr>
        <w:t>S),</w:t>
      </w:r>
    </w:p>
    <w:p w14:paraId="61B3D871" w14:textId="021B2242" w:rsidR="00020946" w:rsidRPr="0066712E" w:rsidRDefault="00020946" w:rsidP="00362C69">
      <w:pPr>
        <w:pStyle w:val="Paragraph"/>
        <w:numPr>
          <w:ilvl w:val="0"/>
          <w:numId w:val="24"/>
        </w:numPr>
        <w:rPr>
          <w:lang w:val="en-US"/>
        </w:rPr>
      </w:pPr>
      <w:r w:rsidRPr="0066712E">
        <w:rPr>
          <w:lang w:val="en-US"/>
        </w:rPr>
        <w:t xml:space="preserve">Field Element </w:t>
      </w:r>
      <w:r w:rsidR="000C18E0">
        <w:rPr>
          <w:lang w:val="en-US"/>
        </w:rPr>
        <w:t>Station</w:t>
      </w:r>
      <w:r w:rsidR="000C18E0" w:rsidRPr="00020946">
        <w:rPr>
          <w:lang w:val="en-US"/>
        </w:rPr>
        <w:t xml:space="preserve"> </w:t>
      </w:r>
      <w:r w:rsidRPr="0066712E">
        <w:rPr>
          <w:lang w:val="en-US"/>
        </w:rPr>
        <w:t>Size M (FES</w:t>
      </w:r>
      <w:r w:rsidR="0066712E" w:rsidRPr="0066712E">
        <w:rPr>
          <w:lang w:val="en-US"/>
        </w:rPr>
        <w:t xml:space="preserve"> </w:t>
      </w:r>
      <w:r w:rsidRPr="0066712E">
        <w:rPr>
          <w:lang w:val="en-US"/>
        </w:rPr>
        <w:t>M),</w:t>
      </w:r>
    </w:p>
    <w:p w14:paraId="32E83ED7" w14:textId="5705A4C4" w:rsidR="00C65D9F" w:rsidRPr="0066712E" w:rsidRDefault="00C65D9F" w:rsidP="00362C69">
      <w:pPr>
        <w:pStyle w:val="Paragraph"/>
        <w:numPr>
          <w:ilvl w:val="0"/>
          <w:numId w:val="24"/>
        </w:numPr>
        <w:rPr>
          <w:lang w:val="en-US"/>
        </w:rPr>
      </w:pPr>
      <w:r w:rsidRPr="0066712E">
        <w:rPr>
          <w:lang w:val="en-US"/>
        </w:rPr>
        <w:t xml:space="preserve">Field Element </w:t>
      </w:r>
      <w:r w:rsidR="000C18E0">
        <w:rPr>
          <w:lang w:val="en-US"/>
        </w:rPr>
        <w:t>Station</w:t>
      </w:r>
      <w:r w:rsidR="000C18E0" w:rsidRPr="00020946">
        <w:rPr>
          <w:lang w:val="en-US"/>
        </w:rPr>
        <w:t xml:space="preserve"> </w:t>
      </w:r>
      <w:r w:rsidRPr="0066712E">
        <w:rPr>
          <w:lang w:val="en-US"/>
        </w:rPr>
        <w:t xml:space="preserve">Size </w:t>
      </w:r>
      <w:r w:rsidR="0066712E" w:rsidRPr="0066712E">
        <w:rPr>
          <w:lang w:val="en-US"/>
        </w:rPr>
        <w:t>L</w:t>
      </w:r>
      <w:r w:rsidR="0066712E">
        <w:rPr>
          <w:lang w:val="en-US"/>
        </w:rPr>
        <w:t>-XXL (FES L-XXL)</w:t>
      </w:r>
    </w:p>
    <w:p w14:paraId="4B8361B5" w14:textId="77777777" w:rsidR="00020946" w:rsidRDefault="00020946" w:rsidP="00362C69">
      <w:pPr>
        <w:pStyle w:val="Paragraph"/>
        <w:numPr>
          <w:ilvl w:val="0"/>
          <w:numId w:val="24"/>
        </w:numPr>
        <w:rPr>
          <w:lang w:val="en-US"/>
        </w:rPr>
      </w:pPr>
      <w:r w:rsidRPr="0066712E">
        <w:rPr>
          <w:lang w:val="en-US"/>
        </w:rPr>
        <w:t>Interface Converter Block-IF ZG62,</w:t>
      </w:r>
    </w:p>
    <w:p w14:paraId="330DBD07" w14:textId="5C954AF5" w:rsidR="00F965FC" w:rsidRPr="0066712E" w:rsidRDefault="00F965FC" w:rsidP="00362C69">
      <w:pPr>
        <w:pStyle w:val="Paragraph"/>
        <w:numPr>
          <w:ilvl w:val="0"/>
          <w:numId w:val="24"/>
        </w:numPr>
        <w:rPr>
          <w:lang w:val="en-US"/>
        </w:rPr>
      </w:pPr>
      <w:r w:rsidRPr="00F965FC">
        <w:rPr>
          <w:lang w:val="en-US"/>
        </w:rPr>
        <w:t>Interface Converter Block-IF Sbl60A,</w:t>
      </w:r>
    </w:p>
    <w:p w14:paraId="0A4843DC" w14:textId="77777777" w:rsidR="00020946" w:rsidRDefault="00020946" w:rsidP="00362C69">
      <w:pPr>
        <w:pStyle w:val="Paragraph"/>
        <w:numPr>
          <w:ilvl w:val="0"/>
          <w:numId w:val="24"/>
        </w:numPr>
        <w:rPr>
          <w:lang w:val="en-US"/>
        </w:rPr>
      </w:pPr>
      <w:r w:rsidRPr="00037A8F">
        <w:rPr>
          <w:lang w:val="en-US"/>
        </w:rPr>
        <w:t>Interface Controller für Level Crossing System Interfaces (LCSI),</w:t>
      </w:r>
    </w:p>
    <w:p w14:paraId="767E991A" w14:textId="017EFA47" w:rsidR="00F965FC" w:rsidRDefault="00F965FC" w:rsidP="00362C69">
      <w:pPr>
        <w:pStyle w:val="Paragraph"/>
        <w:numPr>
          <w:ilvl w:val="0"/>
          <w:numId w:val="24"/>
        </w:numPr>
        <w:rPr>
          <w:lang w:val="en-US"/>
        </w:rPr>
      </w:pPr>
      <w:r w:rsidRPr="00F965FC">
        <w:rPr>
          <w:lang w:val="en-US"/>
        </w:rPr>
        <w:t>Object Controller DCA3,</w:t>
      </w:r>
    </w:p>
    <w:p w14:paraId="7C73BA57" w14:textId="21C6EBFB" w:rsidR="00F965FC" w:rsidRPr="00037A8F" w:rsidRDefault="00F965FC" w:rsidP="00362C69">
      <w:pPr>
        <w:pStyle w:val="Paragraph"/>
        <w:numPr>
          <w:ilvl w:val="0"/>
          <w:numId w:val="24"/>
        </w:numPr>
        <w:rPr>
          <w:lang w:val="en-US"/>
        </w:rPr>
      </w:pPr>
      <w:r w:rsidRPr="00F965FC">
        <w:rPr>
          <w:lang w:val="en-US"/>
        </w:rPr>
        <w:t>Object Controller AzLM,</w:t>
      </w:r>
    </w:p>
    <w:p w14:paraId="2AECD8DE" w14:textId="077E9CD9" w:rsidR="00020946" w:rsidRDefault="00020946" w:rsidP="00362C69">
      <w:pPr>
        <w:pStyle w:val="Paragraph"/>
        <w:numPr>
          <w:ilvl w:val="0"/>
          <w:numId w:val="24"/>
        </w:numPr>
        <w:rPr>
          <w:lang w:val="de-AT" w:eastAsia="ja-JP"/>
        </w:rPr>
      </w:pPr>
      <w:r w:rsidRPr="00020946">
        <w:rPr>
          <w:lang w:val="de-AT"/>
        </w:rPr>
        <w:t>die Integration der zugehörigen Feldsysteme</w:t>
      </w:r>
      <w:r w:rsidR="00AE2C66">
        <w:rPr>
          <w:lang w:val="de-AT"/>
        </w:rPr>
        <w:t>,</w:t>
      </w:r>
      <w:r w:rsidRPr="00020946">
        <w:rPr>
          <w:lang w:val="de-AT"/>
        </w:rPr>
        <w:t xml:space="preserve"> Object Controller</w:t>
      </w:r>
      <w:r w:rsidR="00AE2C66">
        <w:rPr>
          <w:lang w:val="de-AT"/>
        </w:rPr>
        <w:t xml:space="preserve"> und Kommunikationsschnittstellen</w:t>
      </w:r>
      <w:r w:rsidRPr="00020946">
        <w:rPr>
          <w:lang w:val="de-AT"/>
        </w:rPr>
        <w:t>.</w:t>
      </w:r>
    </w:p>
    <w:p w14:paraId="2BA778E3" w14:textId="4670CA5F" w:rsidR="00AE2C66" w:rsidRDefault="00371A83" w:rsidP="00020946">
      <w:pPr>
        <w:pStyle w:val="Text"/>
        <w:ind w:left="0"/>
        <w:rPr>
          <w:rFonts w:cs="Arial"/>
          <w:iCs/>
          <w:sz w:val="20"/>
          <w:szCs w:val="22"/>
          <w:lang w:val="de-AT" w:eastAsia="de-DE"/>
        </w:rPr>
      </w:pPr>
      <w:r w:rsidRPr="00371A83">
        <w:rPr>
          <w:rFonts w:cs="Arial"/>
          <w:iCs/>
          <w:sz w:val="20"/>
          <w:szCs w:val="22"/>
          <w:lang w:val="de-AT" w:eastAsia="de-DE"/>
        </w:rPr>
        <w:t>Die DFE-Architektur umfasst sowohl durch das DFE-Projekt entwickelte DFE-Subsysteme als auch sicherheitsrelevante Subsysteme, welche durch externe Lieferorganisationen bereitgestellt werden. Dies betrifft insbesondere:</w:t>
      </w:r>
    </w:p>
    <w:p w14:paraId="0464992A" w14:textId="4B25635B" w:rsidR="003A08AD" w:rsidRPr="003A08AD" w:rsidRDefault="003A08AD" w:rsidP="00362C69">
      <w:pPr>
        <w:pStyle w:val="Paragraph"/>
        <w:numPr>
          <w:ilvl w:val="0"/>
          <w:numId w:val="24"/>
        </w:numPr>
        <w:rPr>
          <w:lang w:val="en-US"/>
        </w:rPr>
      </w:pPr>
      <w:r w:rsidRPr="003A08AD">
        <w:rPr>
          <w:lang w:val="en-US"/>
        </w:rPr>
        <w:t>DCA3 Object Controller (Hitachi Rail Spanien)</w:t>
      </w:r>
      <w:r w:rsidR="00AE2C66">
        <w:rPr>
          <w:lang w:val="en-US"/>
        </w:rPr>
        <w:t>,</w:t>
      </w:r>
    </w:p>
    <w:p w14:paraId="201F1735" w14:textId="74618043" w:rsidR="003A08AD" w:rsidRDefault="003A08AD" w:rsidP="00362C69">
      <w:pPr>
        <w:pStyle w:val="Paragraph"/>
        <w:numPr>
          <w:ilvl w:val="0"/>
          <w:numId w:val="24"/>
        </w:numPr>
        <w:rPr>
          <w:lang w:val="de-AT"/>
        </w:rPr>
      </w:pPr>
      <w:r w:rsidRPr="00037A8F">
        <w:rPr>
          <w:lang w:val="de-AT"/>
        </w:rPr>
        <w:t>AzLM Achszählsystem (Hitachi Rail Deutschland)</w:t>
      </w:r>
      <w:r w:rsidR="00AE2C66">
        <w:rPr>
          <w:lang w:val="de-AT"/>
        </w:rPr>
        <w:t>,</w:t>
      </w:r>
    </w:p>
    <w:p w14:paraId="2AC705C2" w14:textId="5B8271E4" w:rsidR="00AE2C66" w:rsidRPr="00037A8F" w:rsidRDefault="00AE2C66" w:rsidP="00362C69">
      <w:pPr>
        <w:pStyle w:val="Paragraph"/>
        <w:numPr>
          <w:ilvl w:val="0"/>
          <w:numId w:val="24"/>
        </w:numPr>
        <w:spacing w:after="240"/>
        <w:ind w:left="714" w:hanging="357"/>
        <w:rPr>
          <w:lang w:val="de-AT"/>
        </w:rPr>
      </w:pPr>
      <w:r w:rsidRPr="00AE2C66">
        <w:rPr>
          <w:lang w:val="de-AT"/>
        </w:rPr>
        <w:t>IFC-LCSI (Mission Embedded)</w:t>
      </w:r>
      <w:r>
        <w:rPr>
          <w:lang w:val="de-AT"/>
        </w:rPr>
        <w:t>.</w:t>
      </w:r>
    </w:p>
    <w:p w14:paraId="33BF755C" w14:textId="2F960F93" w:rsidR="00AE2C66" w:rsidRDefault="000C18E0" w:rsidP="00AE2C66">
      <w:pPr>
        <w:pStyle w:val="Text"/>
        <w:ind w:left="0"/>
        <w:rPr>
          <w:rFonts w:cs="Arial"/>
          <w:iCs/>
          <w:sz w:val="20"/>
          <w:szCs w:val="22"/>
          <w:lang w:val="de-AT" w:eastAsia="de-DE"/>
        </w:rPr>
      </w:pPr>
      <w:r w:rsidRPr="000C18E0">
        <w:rPr>
          <w:rFonts w:cs="Arial"/>
          <w:iCs/>
          <w:sz w:val="20"/>
          <w:szCs w:val="22"/>
          <w:lang w:val="de-AT" w:eastAsia="de-DE"/>
        </w:rPr>
        <w:t>Für die DFE-Subsysteme werden die erforderlichen Sicherheitsnachweise erstellt oder durch die jeweiligen Lieferorganisationen bereitgestellt</w:t>
      </w:r>
      <w:r w:rsidR="00371A83" w:rsidRPr="00371A83">
        <w:rPr>
          <w:rFonts w:cs="Arial"/>
          <w:iCs/>
          <w:sz w:val="20"/>
          <w:szCs w:val="22"/>
          <w:lang w:val="de-AT" w:eastAsia="de-DE"/>
        </w:rPr>
        <w:t>:</w:t>
      </w:r>
    </w:p>
    <w:p w14:paraId="012E08CC" w14:textId="77777777" w:rsidR="00371A83" w:rsidRPr="00371A83" w:rsidRDefault="00371A83" w:rsidP="00362C69">
      <w:pPr>
        <w:pStyle w:val="Paragraph"/>
        <w:numPr>
          <w:ilvl w:val="0"/>
          <w:numId w:val="24"/>
        </w:numPr>
        <w:rPr>
          <w:lang w:val="en-US"/>
        </w:rPr>
      </w:pPr>
      <w:r w:rsidRPr="00371A83">
        <w:rPr>
          <w:lang w:val="en-US"/>
        </w:rPr>
        <w:t>Safety Case,</w:t>
      </w:r>
    </w:p>
    <w:p w14:paraId="5E143D65" w14:textId="77777777" w:rsidR="00371A83" w:rsidRPr="00371A83" w:rsidRDefault="00371A83" w:rsidP="00362C69">
      <w:pPr>
        <w:pStyle w:val="Paragraph"/>
        <w:numPr>
          <w:ilvl w:val="0"/>
          <w:numId w:val="24"/>
        </w:numPr>
        <w:rPr>
          <w:lang w:val="en-US"/>
        </w:rPr>
      </w:pPr>
      <w:r w:rsidRPr="00371A83">
        <w:rPr>
          <w:lang w:val="en-US"/>
        </w:rPr>
        <w:t>Hazard Log,</w:t>
      </w:r>
    </w:p>
    <w:p w14:paraId="498429E1" w14:textId="77777777" w:rsidR="00371A83" w:rsidRPr="00371A83" w:rsidRDefault="00371A83" w:rsidP="00362C69">
      <w:pPr>
        <w:pStyle w:val="Paragraph"/>
        <w:numPr>
          <w:ilvl w:val="0"/>
          <w:numId w:val="24"/>
        </w:numPr>
        <w:rPr>
          <w:lang w:val="en-US"/>
        </w:rPr>
      </w:pPr>
      <w:r w:rsidRPr="00371A83">
        <w:rPr>
          <w:lang w:val="en-US"/>
        </w:rPr>
        <w:t>Safety Related Application Conditions (SRAC),</w:t>
      </w:r>
    </w:p>
    <w:p w14:paraId="6E47680A" w14:textId="77777777" w:rsidR="00371A83" w:rsidRPr="000C18E0" w:rsidRDefault="00371A83" w:rsidP="00362C69">
      <w:pPr>
        <w:pStyle w:val="Paragraph"/>
        <w:numPr>
          <w:ilvl w:val="0"/>
          <w:numId w:val="24"/>
        </w:numPr>
        <w:rPr>
          <w:lang w:val="en-US"/>
        </w:rPr>
      </w:pPr>
      <w:r w:rsidRPr="000C18E0">
        <w:rPr>
          <w:lang w:val="en-US"/>
        </w:rPr>
        <w:t>unabhängige Gutachten,</w:t>
      </w:r>
    </w:p>
    <w:p w14:paraId="5CEC235B" w14:textId="446F3687" w:rsidR="00371A83" w:rsidRPr="000C18E0" w:rsidRDefault="00371A83" w:rsidP="00362C69">
      <w:pPr>
        <w:pStyle w:val="Paragraph"/>
        <w:numPr>
          <w:ilvl w:val="0"/>
          <w:numId w:val="24"/>
        </w:numPr>
        <w:rPr>
          <w:lang w:val="en-US"/>
        </w:rPr>
      </w:pPr>
      <w:r w:rsidRPr="000C18E0">
        <w:rPr>
          <w:lang w:val="en-US"/>
        </w:rPr>
        <w:t>weitere sicherheitsrelevante Nachweisdokumente.</w:t>
      </w:r>
    </w:p>
    <w:p w14:paraId="530607DD" w14:textId="6EB13350" w:rsidR="00AE2C66" w:rsidRPr="00AE2C66" w:rsidRDefault="00371A83" w:rsidP="00AE2C66">
      <w:pPr>
        <w:pStyle w:val="Text"/>
        <w:ind w:left="0"/>
        <w:rPr>
          <w:rFonts w:cs="Arial"/>
          <w:iCs/>
          <w:sz w:val="20"/>
          <w:szCs w:val="22"/>
          <w:lang w:val="de-AT" w:eastAsia="de-DE"/>
        </w:rPr>
      </w:pPr>
      <w:r w:rsidRPr="00371A83">
        <w:rPr>
          <w:rFonts w:cs="Arial"/>
          <w:iCs/>
          <w:sz w:val="20"/>
          <w:szCs w:val="22"/>
          <w:lang w:val="de-AT" w:eastAsia="de-DE"/>
        </w:rPr>
        <w:lastRenderedPageBreak/>
        <w:t>Die Schnittstellen zwischen diesen sicherheitsrelevanten Systemen und den jeweils zugehörigen Feldobjekten werden als Bestandteil der jeweiligen Sicherheitsfunktion betrachtet. Die zugehörigen Sicherheitsnachweise, Sicherheitsannahmen und Randbedingungen sind Bestandteil der jeweiligen Supplier Safety Cases und der zugehörigen Gutachten.</w:t>
      </w:r>
    </w:p>
    <w:p w14:paraId="29688107" w14:textId="7938038F" w:rsidR="00AE2C66" w:rsidRPr="00371A83" w:rsidRDefault="00371A83" w:rsidP="00AE2C66">
      <w:pPr>
        <w:pStyle w:val="Text"/>
        <w:ind w:left="0"/>
        <w:rPr>
          <w:rFonts w:cs="Arial"/>
          <w:iCs/>
          <w:sz w:val="20"/>
          <w:szCs w:val="22"/>
          <w:lang w:val="de-AT" w:eastAsia="de-DE"/>
        </w:rPr>
      </w:pPr>
      <w:r w:rsidRPr="00371A83">
        <w:rPr>
          <w:rFonts w:cs="Arial"/>
          <w:iCs/>
          <w:sz w:val="20"/>
          <w:szCs w:val="22"/>
          <w:lang w:val="de-AT" w:eastAsia="de-DE"/>
        </w:rPr>
        <w:t>Die Verantwortung des DFE-Projekts umfasst die sichere Integration der DFE-Subsysteme innerhalb der DFE-Architektur. Hierzu gehören insbesondere:</w:t>
      </w:r>
    </w:p>
    <w:p w14:paraId="27CBEBAC" w14:textId="77777777" w:rsidR="00371A83" w:rsidRPr="000C18E0" w:rsidRDefault="00371A83" w:rsidP="00362C69">
      <w:pPr>
        <w:pStyle w:val="Paragraph"/>
        <w:numPr>
          <w:ilvl w:val="0"/>
          <w:numId w:val="24"/>
        </w:numPr>
        <w:rPr>
          <w:lang w:val="en-US"/>
        </w:rPr>
      </w:pPr>
      <w:r w:rsidRPr="000C18E0">
        <w:rPr>
          <w:lang w:val="en-US"/>
        </w:rPr>
        <w:t>die Bewertung von Integrationsvoraussetzungen,</w:t>
      </w:r>
    </w:p>
    <w:p w14:paraId="551CEEB0" w14:textId="77777777" w:rsidR="00371A83" w:rsidRPr="00B85AB4" w:rsidRDefault="00371A83" w:rsidP="00362C69">
      <w:pPr>
        <w:pStyle w:val="Paragraph"/>
        <w:numPr>
          <w:ilvl w:val="0"/>
          <w:numId w:val="24"/>
        </w:numPr>
        <w:rPr>
          <w:lang w:val="de-AT"/>
        </w:rPr>
      </w:pPr>
      <w:r w:rsidRPr="00B85AB4">
        <w:rPr>
          <w:lang w:val="de-AT"/>
        </w:rPr>
        <w:t>die Erfüllung von Hardware- und Infrastrukturanforderungen,</w:t>
      </w:r>
    </w:p>
    <w:p w14:paraId="51FDC189" w14:textId="77777777" w:rsidR="00371A83" w:rsidRPr="00B85AB4" w:rsidRDefault="00371A83" w:rsidP="00362C69">
      <w:pPr>
        <w:pStyle w:val="Paragraph"/>
        <w:numPr>
          <w:ilvl w:val="0"/>
          <w:numId w:val="24"/>
        </w:numPr>
        <w:rPr>
          <w:lang w:val="de-AT"/>
        </w:rPr>
      </w:pPr>
      <w:r w:rsidRPr="00B85AB4">
        <w:rPr>
          <w:lang w:val="de-AT"/>
        </w:rPr>
        <w:t>die Bewertung von Schnittstellen zwischen den DFE-Subsystemen,</w:t>
      </w:r>
    </w:p>
    <w:p w14:paraId="0EF67851" w14:textId="77777777" w:rsidR="00371A83" w:rsidRPr="00B85AB4" w:rsidRDefault="00371A83" w:rsidP="00362C69">
      <w:pPr>
        <w:pStyle w:val="Paragraph"/>
        <w:numPr>
          <w:ilvl w:val="0"/>
          <w:numId w:val="24"/>
        </w:numPr>
        <w:rPr>
          <w:lang w:val="de-AT"/>
        </w:rPr>
      </w:pPr>
      <w:r w:rsidRPr="00B85AB4">
        <w:rPr>
          <w:lang w:val="de-AT"/>
        </w:rPr>
        <w:t>die Berücksichtigung der jeweiligen SRACs,</w:t>
      </w:r>
    </w:p>
    <w:p w14:paraId="25E0B7FB" w14:textId="77777777" w:rsidR="00371A83" w:rsidRPr="00371A83" w:rsidRDefault="00371A83" w:rsidP="00371A83">
      <w:pPr>
        <w:spacing w:line="300" w:lineRule="atLeast"/>
        <w:rPr>
          <w:rFonts w:ascii="Arial" w:hAnsi="Arial" w:cs="Arial"/>
          <w:iCs/>
          <w:sz w:val="20"/>
          <w:szCs w:val="22"/>
          <w:lang w:eastAsia="de-DE"/>
        </w:rPr>
      </w:pPr>
      <w:r w:rsidRPr="00371A83">
        <w:rPr>
          <w:rFonts w:ascii="Arial" w:hAnsi="Arial" w:cs="Arial"/>
          <w:iCs/>
          <w:sz w:val="20"/>
          <w:szCs w:val="22"/>
          <w:lang w:eastAsia="de-DE"/>
        </w:rPr>
        <w:t>Die Field Element Stations (FES) stellen die infrastrukturelle Grundlage für den Betrieb der sicherheitsrelevanten DFE-Subsysteme bereit. Obwohl sie keine eigenen Sicherheitsfunktionen ausführen, werden ihre sicherheitsrelevanten Integrationsaspekte innerhalb dieses Safety Concepts betrachtet.</w:t>
      </w:r>
    </w:p>
    <w:p w14:paraId="617A8C94" w14:textId="77777777" w:rsidR="00D91AF2" w:rsidRPr="00371A83" w:rsidRDefault="00D91AF2" w:rsidP="00D91AF2">
      <w:pPr>
        <w:pStyle w:val="Heading2"/>
        <w:keepLines w:val="0"/>
        <w:tabs>
          <w:tab w:val="clear" w:pos="1080"/>
          <w:tab w:val="num" w:pos="720"/>
        </w:tabs>
        <w:spacing w:before="480" w:after="120" w:line="240" w:lineRule="auto"/>
        <w:ind w:left="0" w:firstLine="0"/>
        <w:rPr>
          <w:lang w:val="de-AT"/>
        </w:rPr>
      </w:pPr>
      <w:bookmarkStart w:id="9" w:name="_Toc242167512"/>
      <w:r>
        <w:t>Zielsetzung</w:t>
      </w:r>
      <w:bookmarkEnd w:id="9"/>
    </w:p>
    <w:p w14:paraId="356FE8DA" w14:textId="5B9E1DA2" w:rsidR="00D91AF2" w:rsidRPr="00623A51" w:rsidRDefault="00623A51" w:rsidP="00623A51">
      <w:pPr>
        <w:pStyle w:val="Text"/>
        <w:ind w:left="0"/>
        <w:rPr>
          <w:rFonts w:cs="Arial"/>
          <w:iCs/>
          <w:sz w:val="20"/>
          <w:szCs w:val="22"/>
          <w:lang w:val="de-AT" w:eastAsia="de-DE"/>
        </w:rPr>
      </w:pPr>
      <w:r w:rsidRPr="00623A51">
        <w:rPr>
          <w:rFonts w:cs="Arial"/>
          <w:iCs/>
          <w:sz w:val="20"/>
          <w:szCs w:val="22"/>
          <w:lang w:val="de-AT" w:eastAsia="de-DE"/>
        </w:rPr>
        <w:t xml:space="preserve">Dieses Safety Concept beschreibt die Sicherheitsstrategie für das </w:t>
      </w:r>
      <w:r w:rsidR="00D91AF2" w:rsidRPr="00623A51">
        <w:rPr>
          <w:rFonts w:cs="Arial"/>
          <w:iCs/>
          <w:sz w:val="20"/>
          <w:szCs w:val="22"/>
          <w:lang w:val="de-AT" w:eastAsia="de-DE"/>
        </w:rPr>
        <w:t xml:space="preserve"> </w:t>
      </w:r>
      <w:bookmarkStart w:id="10" w:name="AA_OUC"/>
      <w:r w:rsidR="00D91AF2" w:rsidRPr="00623A51">
        <w:rPr>
          <w:rFonts w:cs="Arial"/>
          <w:iCs/>
          <w:sz w:val="20"/>
          <w:szCs w:val="22"/>
          <w:lang w:val="de-AT" w:eastAsia="de-DE"/>
        </w:rPr>
        <w:t>technische Projekt DFE</w:t>
      </w:r>
      <w:bookmarkEnd w:id="10"/>
      <w:r w:rsidR="00D91AF2" w:rsidRPr="00623A51">
        <w:rPr>
          <w:rFonts w:cs="Arial"/>
          <w:iCs/>
          <w:sz w:val="20"/>
          <w:szCs w:val="22"/>
          <w:lang w:val="de-AT" w:eastAsia="de-DE"/>
        </w:rPr>
        <w:t xml:space="preserve"> (Digital Field Elements) </w:t>
      </w:r>
      <w:r>
        <w:rPr>
          <w:rFonts w:cs="Arial"/>
          <w:iCs/>
          <w:sz w:val="20"/>
          <w:szCs w:val="22"/>
          <w:lang w:val="de-AT" w:eastAsia="de-DE"/>
        </w:rPr>
        <w:t>und legt</w:t>
      </w:r>
      <w:r w:rsidRPr="00623A51">
        <w:rPr>
          <w:rFonts w:cs="Arial"/>
          <w:iCs/>
          <w:sz w:val="20"/>
          <w:szCs w:val="22"/>
          <w:lang w:val="de-AT" w:eastAsia="de-DE"/>
        </w:rPr>
        <w:t xml:space="preserve"> die grundlegenden Sicherheitsprinzipien für die Entwicklung, Integration und Nachweisführung der DFE-Subsysteme fest.</w:t>
      </w:r>
    </w:p>
    <w:p w14:paraId="2144B9EE" w14:textId="5AEAE120" w:rsidR="00D91AF2" w:rsidRDefault="00623A51" w:rsidP="00D91AF2">
      <w:pPr>
        <w:pStyle w:val="Paragraph"/>
        <w:rPr>
          <w:lang w:val="de-AT"/>
        </w:rPr>
      </w:pPr>
      <w:r w:rsidRPr="00623A51">
        <w:rPr>
          <w:lang w:val="de-AT"/>
        </w:rPr>
        <w:t>Ziel des Dokuments ist die Beschreibung der Maßnahmen, mit denen sichergestellt wird, dass die im Rahmen des DFE-Projekts entwickelten oder integrierten DFE-Subsysteme die ihnen zugewiesenen Sicherheitsanforderungen erfüllen und keinen unzulässigen Beitrag zum Gesamtrisiko der Generic Application Digital Interlocking (GA DIL) leisten.</w:t>
      </w:r>
    </w:p>
    <w:p w14:paraId="5ABC06CB" w14:textId="1E296369" w:rsidR="00412CF1" w:rsidRDefault="00412CF1" w:rsidP="00D91AF2">
      <w:pPr>
        <w:pStyle w:val="Paragraph"/>
        <w:rPr>
          <w:lang w:val="de-AT"/>
        </w:rPr>
      </w:pPr>
      <w:r w:rsidRPr="00412CF1">
        <w:rPr>
          <w:lang w:val="de-AT"/>
        </w:rPr>
        <w:t>Für die sicherheitsrelevanten DFE-Subsysteme werden eigenständige Sicherheitsnachweise erstellt oder durch die jeweiligen Lieferorganisationen bereitgestellt. Für zugelieferte Systeme werden insbesondere Safety Cases, Hazard Logs, Safety Related Application Conditions (SRACs) sowie unabhängige Gutachten als Grundlage für die Sicherheitsnachweisführung verwendet.</w:t>
      </w:r>
    </w:p>
    <w:p w14:paraId="47C4E535" w14:textId="3243623C" w:rsidR="00412CF1" w:rsidRPr="00035BEB" w:rsidRDefault="00412CF1" w:rsidP="00D91AF2">
      <w:pPr>
        <w:pStyle w:val="Paragraph"/>
        <w:rPr>
          <w:lang w:val="de-AT"/>
        </w:rPr>
      </w:pPr>
      <w:r w:rsidRPr="00412CF1">
        <w:rPr>
          <w:lang w:val="de-AT"/>
        </w:rPr>
        <w:t>Ein wesentlicher Bestandteil des DFE-Projekts ist die sichere Integration der beteiligten DFE-Subsysteme. Hierzu werden die jeweiligen Sicherheitsannahmen, Schnittstellenanforderungen, Hardware- und Infrastrukturvoraussetzungen sowie die relevanten SRACs berücksichtigt und bewertet.</w:t>
      </w:r>
    </w:p>
    <w:p w14:paraId="23133E32" w14:textId="77777777" w:rsidR="00412CF1" w:rsidRDefault="00412CF1" w:rsidP="00D91AF2">
      <w:pPr>
        <w:pStyle w:val="Paragraph"/>
        <w:rPr>
          <w:lang w:val="de-AT"/>
        </w:rPr>
      </w:pPr>
      <w:r w:rsidRPr="00412CF1">
        <w:rPr>
          <w:lang w:val="de-AT"/>
        </w:rPr>
        <w:t>Das Safety Concept dient darüber hinaus als Grundlage für die Erstellung, Bewertung und Pflege der sicherheitsrelevanten Projektartefakte sowie für die Durchführung von Verifikations-, Validierungs- und Integrationsaktivitäten innerhalb des DFE-Projekts.</w:t>
      </w:r>
    </w:p>
    <w:p w14:paraId="3F570700" w14:textId="7776C93E" w:rsidR="00D91AF2" w:rsidRDefault="00D91AF2" w:rsidP="00D91AF2">
      <w:pPr>
        <w:pStyle w:val="Paragraph"/>
        <w:rPr>
          <w:lang w:val="de-AT"/>
        </w:rPr>
      </w:pPr>
      <w:r w:rsidRPr="00035BEB">
        <w:rPr>
          <w:lang w:val="de-AT"/>
        </w:rPr>
        <w:t xml:space="preserve">Die Sicherheitsnachweise werden unter Berücksichtigung der Anforderungen der geltenden CENELEC-Normen, insbesondere </w:t>
      </w:r>
      <w:r>
        <w:rPr>
          <w:lang w:val="de-AT"/>
        </w:rPr>
        <w:fldChar w:fldCharType="begin"/>
      </w:r>
      <w:r>
        <w:rPr>
          <w:lang w:val="de-AT"/>
        </w:rPr>
        <w:instrText xml:space="preserve"> REF CEN_50126_2 \h </w:instrText>
      </w:r>
      <w:r>
        <w:rPr>
          <w:lang w:val="de-AT"/>
        </w:rPr>
      </w:r>
      <w:r>
        <w:rPr>
          <w:lang w:val="de-AT"/>
        </w:rPr>
        <w:fldChar w:fldCharType="separate"/>
      </w:r>
      <w:r w:rsidR="00371A83" w:rsidRPr="00371A83">
        <w:rPr>
          <w:lang w:val="de-AT"/>
        </w:rPr>
        <w:t>[EN 50126-2]</w:t>
      </w:r>
      <w:r>
        <w:rPr>
          <w:lang w:val="de-AT"/>
        </w:rPr>
        <w:fldChar w:fldCharType="end"/>
      </w:r>
      <w:r w:rsidRPr="00035BEB">
        <w:rPr>
          <w:lang w:val="de-AT"/>
        </w:rPr>
        <w:t xml:space="preserve">, </w:t>
      </w:r>
      <w:r>
        <w:rPr>
          <w:lang w:val="de-AT"/>
        </w:rPr>
        <w:fldChar w:fldCharType="begin"/>
      </w:r>
      <w:r>
        <w:rPr>
          <w:lang w:val="de-AT"/>
        </w:rPr>
        <w:instrText xml:space="preserve"> REF Cen_50129 \h </w:instrText>
      </w:r>
      <w:r>
        <w:rPr>
          <w:lang w:val="de-AT"/>
        </w:rPr>
      </w:r>
      <w:r>
        <w:rPr>
          <w:lang w:val="de-AT"/>
        </w:rPr>
        <w:fldChar w:fldCharType="separate"/>
      </w:r>
      <w:r w:rsidR="00371A83" w:rsidRPr="00371A83">
        <w:rPr>
          <w:lang w:val="de-AT"/>
        </w:rPr>
        <w:t>[EN 50129]</w:t>
      </w:r>
      <w:r>
        <w:rPr>
          <w:lang w:val="de-AT"/>
        </w:rPr>
        <w:fldChar w:fldCharType="end"/>
      </w:r>
      <w:r w:rsidRPr="00035BEB">
        <w:rPr>
          <w:lang w:val="de-AT"/>
        </w:rPr>
        <w:t xml:space="preserve">, </w:t>
      </w:r>
      <w:r>
        <w:rPr>
          <w:lang w:val="de-AT"/>
        </w:rPr>
        <w:fldChar w:fldCharType="begin"/>
      </w:r>
      <w:r>
        <w:rPr>
          <w:lang w:val="de-AT"/>
        </w:rPr>
        <w:instrText xml:space="preserve"> REF Cen_50716 \h </w:instrText>
      </w:r>
      <w:r>
        <w:rPr>
          <w:lang w:val="de-AT"/>
        </w:rPr>
      </w:r>
      <w:r>
        <w:rPr>
          <w:lang w:val="de-AT"/>
        </w:rPr>
        <w:fldChar w:fldCharType="separate"/>
      </w:r>
      <w:r w:rsidR="00371A83" w:rsidRPr="00371A83">
        <w:rPr>
          <w:lang w:val="de-AT"/>
        </w:rPr>
        <w:t>[EN 50716]</w:t>
      </w:r>
      <w:r>
        <w:rPr>
          <w:lang w:val="de-AT"/>
        </w:rPr>
        <w:fldChar w:fldCharType="end"/>
      </w:r>
      <w:r w:rsidRPr="00035BEB">
        <w:rPr>
          <w:lang w:val="de-AT"/>
        </w:rPr>
        <w:t xml:space="preserve"> und </w:t>
      </w:r>
      <w:r>
        <w:rPr>
          <w:lang w:val="de-AT"/>
        </w:rPr>
        <w:fldChar w:fldCharType="begin"/>
      </w:r>
      <w:r>
        <w:rPr>
          <w:lang w:val="de-AT"/>
        </w:rPr>
        <w:instrText xml:space="preserve"> REF Cen_50159 \h </w:instrText>
      </w:r>
      <w:r>
        <w:rPr>
          <w:lang w:val="de-AT"/>
        </w:rPr>
      </w:r>
      <w:r>
        <w:rPr>
          <w:lang w:val="de-AT"/>
        </w:rPr>
        <w:fldChar w:fldCharType="separate"/>
      </w:r>
      <w:r w:rsidR="00371A83" w:rsidRPr="00371A83">
        <w:rPr>
          <w:lang w:val="de-AT"/>
        </w:rPr>
        <w:t>[EN 50159]</w:t>
      </w:r>
      <w:r>
        <w:rPr>
          <w:lang w:val="de-AT"/>
        </w:rPr>
        <w:fldChar w:fldCharType="end"/>
      </w:r>
      <w:r w:rsidRPr="00035BEB">
        <w:rPr>
          <w:lang w:val="de-AT"/>
        </w:rPr>
        <w:t>, erbracht.</w:t>
      </w:r>
    </w:p>
    <w:p w14:paraId="64A17E56" w14:textId="579B4D6D" w:rsidR="00412CF1" w:rsidRDefault="00412CF1" w:rsidP="00412CF1">
      <w:pPr>
        <w:pStyle w:val="Heading2"/>
      </w:pPr>
      <w:r>
        <w:t>Abgrenzung</w:t>
      </w:r>
    </w:p>
    <w:p w14:paraId="0487C21C" w14:textId="51F159E5" w:rsidR="00412CF1" w:rsidRPr="00412CF1" w:rsidRDefault="00412CF1" w:rsidP="00412CF1">
      <w:pPr>
        <w:pStyle w:val="Paragraph"/>
        <w:rPr>
          <w:lang w:val="de-AT"/>
        </w:rPr>
      </w:pPr>
      <w:r w:rsidRPr="00412CF1">
        <w:rPr>
          <w:lang w:val="de-AT"/>
        </w:rPr>
        <w:t xml:space="preserve">Dieses Safety Concept beschreibt die Sicherheitsstrategie des </w:t>
      </w:r>
      <w:r>
        <w:rPr>
          <w:lang w:val="de-AT"/>
        </w:rPr>
        <w:fldChar w:fldCharType="begin"/>
      </w:r>
      <w:r>
        <w:rPr>
          <w:lang w:val="de-AT"/>
        </w:rPr>
        <w:instrText xml:space="preserve"> REF AA_OUC \h </w:instrText>
      </w:r>
      <w:r>
        <w:rPr>
          <w:lang w:val="de-AT"/>
        </w:rPr>
      </w:r>
      <w:r>
        <w:rPr>
          <w:lang w:val="de-AT"/>
        </w:rPr>
        <w:fldChar w:fldCharType="separate"/>
      </w:r>
      <w:r w:rsidRPr="00623A51">
        <w:rPr>
          <w:iCs w:val="0"/>
          <w:lang w:val="de-AT"/>
        </w:rPr>
        <w:t>technische Projekt DFE</w:t>
      </w:r>
      <w:r>
        <w:rPr>
          <w:lang w:val="de-AT"/>
        </w:rPr>
        <w:fldChar w:fldCharType="end"/>
      </w:r>
      <w:r w:rsidRPr="00412CF1">
        <w:rPr>
          <w:lang w:val="de-AT"/>
        </w:rPr>
        <w:t xml:space="preserve"> sowie die Grundsätze für die Sicherheitsnachweisführung und die sichere Integration der DFE-Subsysteme innerhalb der </w:t>
      </w:r>
      <w:r w:rsidR="003E7C2A">
        <w:rPr>
          <w:lang w:val="de-AT"/>
        </w:rPr>
        <w:t>DFE Architektur</w:t>
      </w:r>
      <w:r w:rsidRPr="00412CF1">
        <w:rPr>
          <w:lang w:val="de-AT"/>
        </w:rPr>
        <w:t>.</w:t>
      </w:r>
    </w:p>
    <w:p w14:paraId="3012247D" w14:textId="6EBDF269" w:rsidR="00412CF1" w:rsidRDefault="00D4477F" w:rsidP="00D4477F">
      <w:pPr>
        <w:pStyle w:val="Text"/>
        <w:ind w:left="0"/>
        <w:rPr>
          <w:rFonts w:cs="Arial"/>
          <w:iCs/>
          <w:sz w:val="20"/>
          <w:szCs w:val="22"/>
          <w:lang w:val="de-AT" w:eastAsia="de-DE"/>
        </w:rPr>
      </w:pPr>
      <w:r w:rsidRPr="00D4477F">
        <w:rPr>
          <w:rFonts w:cs="Arial"/>
          <w:iCs/>
          <w:sz w:val="20"/>
          <w:szCs w:val="22"/>
          <w:lang w:val="de-AT" w:eastAsia="de-DE"/>
        </w:rPr>
        <w:t>Nicht Gegenstand dieses Safety Concepts sind:</w:t>
      </w:r>
    </w:p>
    <w:p w14:paraId="53EAA484" w14:textId="77777777" w:rsidR="003E7C2A" w:rsidRPr="003E7C2A" w:rsidRDefault="003E7C2A" w:rsidP="00362C69">
      <w:pPr>
        <w:pStyle w:val="Text"/>
        <w:numPr>
          <w:ilvl w:val="0"/>
          <w:numId w:val="30"/>
        </w:numPr>
        <w:rPr>
          <w:rFonts w:cs="Arial"/>
          <w:iCs/>
          <w:sz w:val="20"/>
          <w:szCs w:val="22"/>
          <w:lang w:val="de-AT" w:eastAsia="de-DE"/>
        </w:rPr>
      </w:pPr>
      <w:r w:rsidRPr="003E7C2A">
        <w:rPr>
          <w:rFonts w:cs="Arial"/>
          <w:iCs/>
          <w:sz w:val="20"/>
          <w:szCs w:val="22"/>
          <w:lang w:val="de-AT" w:eastAsia="de-DE"/>
        </w:rPr>
        <w:lastRenderedPageBreak/>
        <w:t>die sicherheitstechnische Bewertung der Generic Application Digital Interlocking (GA DIL) als Gesamtsystem,</w:t>
      </w:r>
    </w:p>
    <w:p w14:paraId="6BB64719" w14:textId="3E7D81BA" w:rsidR="003E7C2A" w:rsidRPr="003E7C2A" w:rsidRDefault="003E7C2A" w:rsidP="00362C69">
      <w:pPr>
        <w:pStyle w:val="Text"/>
        <w:numPr>
          <w:ilvl w:val="0"/>
          <w:numId w:val="30"/>
        </w:numPr>
        <w:rPr>
          <w:rFonts w:cs="Arial"/>
          <w:iCs/>
          <w:sz w:val="20"/>
          <w:szCs w:val="22"/>
          <w:lang w:val="de-AT" w:eastAsia="de-DE"/>
        </w:rPr>
      </w:pPr>
      <w:r w:rsidRPr="003E7C2A">
        <w:rPr>
          <w:rFonts w:cs="Arial"/>
          <w:iCs/>
          <w:sz w:val="20"/>
          <w:szCs w:val="22"/>
          <w:lang w:val="de-AT" w:eastAsia="de-DE"/>
        </w:rPr>
        <w:t>die Definition der übergeordneten Sicherheitsziele und Sicherheitsanforderungen auf Ebene der GA DIL,</w:t>
      </w:r>
    </w:p>
    <w:p w14:paraId="4AD2808B" w14:textId="77777777" w:rsidR="003E7C2A" w:rsidRPr="003E7C2A" w:rsidRDefault="003E7C2A" w:rsidP="00362C69">
      <w:pPr>
        <w:pStyle w:val="Text"/>
        <w:numPr>
          <w:ilvl w:val="0"/>
          <w:numId w:val="30"/>
        </w:numPr>
        <w:rPr>
          <w:rFonts w:cs="Arial"/>
          <w:iCs/>
          <w:sz w:val="20"/>
          <w:szCs w:val="22"/>
          <w:lang w:val="de-AT" w:eastAsia="de-DE"/>
        </w:rPr>
      </w:pPr>
      <w:r w:rsidRPr="003E7C2A">
        <w:rPr>
          <w:rFonts w:cs="Arial"/>
          <w:iCs/>
          <w:sz w:val="20"/>
          <w:szCs w:val="22"/>
          <w:lang w:val="de-AT" w:eastAsia="de-DE"/>
        </w:rPr>
        <w:t>die Freigabe von Systemkonfigurationen auf Ebene der Generic Application Digital Interlocking (GA DIL-ÖBB),</w:t>
      </w:r>
    </w:p>
    <w:p w14:paraId="7ED1EC9A" w14:textId="77777777" w:rsidR="003E7C2A" w:rsidRPr="003E7C2A" w:rsidRDefault="003E7C2A" w:rsidP="00362C69">
      <w:pPr>
        <w:pStyle w:val="Text"/>
        <w:numPr>
          <w:ilvl w:val="0"/>
          <w:numId w:val="30"/>
        </w:numPr>
        <w:rPr>
          <w:rFonts w:cs="Arial"/>
          <w:iCs/>
          <w:sz w:val="20"/>
          <w:szCs w:val="22"/>
          <w:lang w:val="de-AT" w:eastAsia="de-DE"/>
        </w:rPr>
      </w:pPr>
      <w:r w:rsidRPr="003E7C2A">
        <w:rPr>
          <w:rFonts w:cs="Arial"/>
          <w:iCs/>
          <w:sz w:val="20"/>
          <w:szCs w:val="22"/>
          <w:lang w:val="de-AT" w:eastAsia="de-DE"/>
        </w:rPr>
        <w:t>die projektspezifische Anwendung der DFE-Subsysteme innerhalb konkreter Kundenprojekte,</w:t>
      </w:r>
    </w:p>
    <w:p w14:paraId="566EBCAA" w14:textId="77777777" w:rsidR="003E7C2A" w:rsidRPr="003E7C2A" w:rsidRDefault="003E7C2A" w:rsidP="00362C69">
      <w:pPr>
        <w:pStyle w:val="Text"/>
        <w:numPr>
          <w:ilvl w:val="0"/>
          <w:numId w:val="30"/>
        </w:numPr>
        <w:rPr>
          <w:rFonts w:cs="Arial"/>
          <w:iCs/>
          <w:sz w:val="20"/>
          <w:szCs w:val="22"/>
          <w:lang w:val="de-AT" w:eastAsia="de-DE"/>
        </w:rPr>
      </w:pPr>
      <w:r w:rsidRPr="003E7C2A">
        <w:rPr>
          <w:rFonts w:cs="Arial"/>
          <w:iCs/>
          <w:sz w:val="20"/>
          <w:szCs w:val="22"/>
          <w:lang w:val="de-AT" w:eastAsia="de-DE"/>
        </w:rPr>
        <w:t>die sicherheitstechnische Bewertung der angeschlossenen Feldobjekte,</w:t>
      </w:r>
    </w:p>
    <w:p w14:paraId="1C8DFE17" w14:textId="22F24F2E" w:rsidR="00D4477F" w:rsidRDefault="003E7C2A" w:rsidP="00362C69">
      <w:pPr>
        <w:pStyle w:val="Text"/>
        <w:numPr>
          <w:ilvl w:val="0"/>
          <w:numId w:val="30"/>
        </w:numPr>
        <w:rPr>
          <w:rFonts w:cs="Arial"/>
          <w:iCs/>
          <w:sz w:val="20"/>
          <w:szCs w:val="22"/>
          <w:lang w:val="de-AT" w:eastAsia="de-DE"/>
        </w:rPr>
      </w:pPr>
      <w:r w:rsidRPr="003E7C2A">
        <w:rPr>
          <w:rFonts w:cs="Arial"/>
          <w:iCs/>
          <w:sz w:val="20"/>
          <w:szCs w:val="22"/>
          <w:lang w:val="de-AT" w:eastAsia="de-DE"/>
        </w:rPr>
        <w:t>sowie die sicherheitstechnische Bewertung von Systemen, für die eigenständige Sicherheitsnachweise durch die jeweiligen Lieferorganisationen bereitgestellt werden</w:t>
      </w:r>
      <w:r w:rsidR="00D4477F" w:rsidRPr="00D4477F">
        <w:rPr>
          <w:rFonts w:cs="Arial"/>
          <w:iCs/>
          <w:sz w:val="20"/>
          <w:szCs w:val="22"/>
          <w:lang w:val="de-AT" w:eastAsia="de-DE"/>
        </w:rPr>
        <w:t>.</w:t>
      </w:r>
    </w:p>
    <w:p w14:paraId="339451C8" w14:textId="77777777" w:rsidR="003E7C2A" w:rsidRDefault="003E7C2A" w:rsidP="00C75DF8">
      <w:pPr>
        <w:pStyle w:val="Text"/>
        <w:ind w:left="0"/>
        <w:rPr>
          <w:rFonts w:cs="Arial"/>
          <w:iCs/>
          <w:sz w:val="20"/>
          <w:szCs w:val="22"/>
          <w:lang w:val="de-AT" w:eastAsia="de-DE"/>
        </w:rPr>
      </w:pPr>
      <w:r w:rsidRPr="003E7C2A">
        <w:rPr>
          <w:rFonts w:cs="Arial"/>
          <w:iCs/>
          <w:sz w:val="20"/>
          <w:szCs w:val="22"/>
          <w:lang w:val="de-AT" w:eastAsia="de-DE"/>
        </w:rPr>
        <w:t>Die Verantwortung des technischen Projekts DFE umfasst die Integration der DFE-Subsysteme innerhalb der DFE-Architektur. Hierzu gehören insbesondere:</w:t>
      </w:r>
    </w:p>
    <w:p w14:paraId="6811C0F6" w14:textId="77777777" w:rsidR="003E7C2A" w:rsidRPr="003E7C2A" w:rsidRDefault="003E7C2A" w:rsidP="00362C69">
      <w:pPr>
        <w:pStyle w:val="Text"/>
        <w:numPr>
          <w:ilvl w:val="0"/>
          <w:numId w:val="31"/>
        </w:numPr>
        <w:rPr>
          <w:rFonts w:cs="Arial"/>
          <w:iCs/>
          <w:sz w:val="20"/>
          <w:szCs w:val="22"/>
          <w:lang w:val="de-AT" w:eastAsia="de-DE"/>
        </w:rPr>
      </w:pPr>
      <w:r w:rsidRPr="003E7C2A">
        <w:rPr>
          <w:rFonts w:cs="Arial"/>
          <w:iCs/>
          <w:sz w:val="20"/>
          <w:szCs w:val="22"/>
          <w:lang w:val="de-AT" w:eastAsia="de-DE"/>
        </w:rPr>
        <w:t>die Bewertung von Integrationsvoraussetzungen,</w:t>
      </w:r>
    </w:p>
    <w:p w14:paraId="0C248632" w14:textId="77777777" w:rsidR="003E7C2A" w:rsidRPr="003E7C2A" w:rsidRDefault="003E7C2A" w:rsidP="00362C69">
      <w:pPr>
        <w:pStyle w:val="Text"/>
        <w:numPr>
          <w:ilvl w:val="0"/>
          <w:numId w:val="31"/>
        </w:numPr>
        <w:rPr>
          <w:rFonts w:cs="Arial"/>
          <w:iCs/>
          <w:sz w:val="20"/>
          <w:szCs w:val="22"/>
          <w:lang w:val="de-AT" w:eastAsia="de-DE"/>
        </w:rPr>
      </w:pPr>
      <w:r w:rsidRPr="003E7C2A">
        <w:rPr>
          <w:rFonts w:cs="Arial"/>
          <w:iCs/>
          <w:sz w:val="20"/>
          <w:szCs w:val="22"/>
          <w:lang w:val="de-AT" w:eastAsia="de-DE"/>
        </w:rPr>
        <w:t>die Erfüllung von Hardware- und Infrastrukturanforderungen,</w:t>
      </w:r>
    </w:p>
    <w:p w14:paraId="703CE40F" w14:textId="77777777" w:rsidR="003E7C2A" w:rsidRPr="003E7C2A" w:rsidRDefault="003E7C2A" w:rsidP="00362C69">
      <w:pPr>
        <w:pStyle w:val="Text"/>
        <w:numPr>
          <w:ilvl w:val="0"/>
          <w:numId w:val="31"/>
        </w:numPr>
        <w:rPr>
          <w:rFonts w:cs="Arial"/>
          <w:iCs/>
          <w:sz w:val="20"/>
          <w:szCs w:val="22"/>
          <w:lang w:val="de-AT" w:eastAsia="de-DE"/>
        </w:rPr>
      </w:pPr>
      <w:r w:rsidRPr="003E7C2A">
        <w:rPr>
          <w:rFonts w:cs="Arial"/>
          <w:iCs/>
          <w:sz w:val="20"/>
          <w:szCs w:val="22"/>
          <w:lang w:val="de-AT" w:eastAsia="de-DE"/>
        </w:rPr>
        <w:t>die Bewertung der Schnittstellen zwischen den DFE-Subsystemen,</w:t>
      </w:r>
    </w:p>
    <w:p w14:paraId="6B06009E" w14:textId="77777777" w:rsidR="003E7C2A" w:rsidRPr="003E7C2A" w:rsidRDefault="003E7C2A" w:rsidP="00362C69">
      <w:pPr>
        <w:pStyle w:val="Text"/>
        <w:numPr>
          <w:ilvl w:val="0"/>
          <w:numId w:val="31"/>
        </w:numPr>
        <w:rPr>
          <w:rFonts w:cs="Arial"/>
          <w:iCs/>
          <w:sz w:val="20"/>
          <w:szCs w:val="22"/>
          <w:lang w:val="de-AT" w:eastAsia="de-DE"/>
        </w:rPr>
      </w:pPr>
      <w:r w:rsidRPr="003E7C2A">
        <w:rPr>
          <w:rFonts w:cs="Arial"/>
          <w:iCs/>
          <w:sz w:val="20"/>
          <w:szCs w:val="22"/>
          <w:lang w:val="de-AT" w:eastAsia="de-DE"/>
        </w:rPr>
        <w:t>die Berücksichtigung der jeweiligen Sicherheitsannahmen und Safety Related Application Conditions (SRACs),</w:t>
      </w:r>
    </w:p>
    <w:p w14:paraId="6052A043" w14:textId="77777777" w:rsidR="003E7C2A" w:rsidRPr="003E7C2A" w:rsidRDefault="003E7C2A" w:rsidP="00362C69">
      <w:pPr>
        <w:pStyle w:val="Text"/>
        <w:numPr>
          <w:ilvl w:val="0"/>
          <w:numId w:val="31"/>
        </w:numPr>
        <w:rPr>
          <w:rFonts w:cs="Arial"/>
          <w:iCs/>
          <w:sz w:val="20"/>
          <w:szCs w:val="22"/>
          <w:lang w:val="de-AT" w:eastAsia="de-DE"/>
        </w:rPr>
      </w:pPr>
      <w:r w:rsidRPr="003E7C2A">
        <w:rPr>
          <w:rFonts w:cs="Arial"/>
          <w:iCs/>
          <w:sz w:val="20"/>
          <w:szCs w:val="22"/>
          <w:lang w:val="de-AT" w:eastAsia="de-DE"/>
        </w:rPr>
        <w:t>die Durchführung von Integrationsbewertungen,</w:t>
      </w:r>
    </w:p>
    <w:p w14:paraId="441D712B" w14:textId="0859D3BC" w:rsidR="003E7C2A" w:rsidRDefault="000C18E0" w:rsidP="00362C69">
      <w:pPr>
        <w:pStyle w:val="Text"/>
        <w:numPr>
          <w:ilvl w:val="0"/>
          <w:numId w:val="31"/>
        </w:numPr>
        <w:rPr>
          <w:rFonts w:cs="Arial"/>
          <w:iCs/>
          <w:sz w:val="20"/>
          <w:szCs w:val="22"/>
          <w:lang w:val="de-AT" w:eastAsia="de-DE"/>
        </w:rPr>
      </w:pPr>
      <w:r w:rsidRPr="000C18E0">
        <w:rPr>
          <w:rFonts w:cs="Arial"/>
          <w:iCs/>
          <w:sz w:val="20"/>
          <w:szCs w:val="22"/>
          <w:lang w:val="de-AT" w:eastAsia="de-DE"/>
        </w:rPr>
        <w:t>sowie die Bereitstellung der für die Bewertung zulässiger Systemkonfigurationen erforderlichen Nachweise und Integrationsbewertungen</w:t>
      </w:r>
      <w:r w:rsidR="003E7C2A" w:rsidRPr="003E7C2A">
        <w:rPr>
          <w:rFonts w:cs="Arial"/>
          <w:iCs/>
          <w:sz w:val="20"/>
          <w:szCs w:val="22"/>
          <w:lang w:val="de-AT" w:eastAsia="de-DE"/>
        </w:rPr>
        <w:t>.</w:t>
      </w:r>
    </w:p>
    <w:p w14:paraId="36451FED" w14:textId="77777777" w:rsidR="003E7C2A" w:rsidRPr="003E7C2A" w:rsidRDefault="003E7C2A" w:rsidP="003E7C2A">
      <w:pPr>
        <w:pStyle w:val="Text"/>
        <w:ind w:left="0"/>
        <w:rPr>
          <w:rFonts w:cs="Arial"/>
          <w:iCs/>
          <w:sz w:val="20"/>
          <w:szCs w:val="22"/>
          <w:lang w:val="de-AT" w:eastAsia="de-DE"/>
        </w:rPr>
      </w:pPr>
      <w:r w:rsidRPr="003E7C2A">
        <w:rPr>
          <w:rFonts w:cs="Arial"/>
          <w:iCs/>
          <w:sz w:val="20"/>
          <w:szCs w:val="22"/>
          <w:lang w:val="de-AT" w:eastAsia="de-DE"/>
        </w:rPr>
        <w:t>Die Field Element Stations (FES) sind Bestandteil der DFE-Architektur und stellen die für den Betrieb der DFE-Subsysteme erforderliche Infrastruktur bereit. Sie werden hinsichtlich ihrer sicherheitsrelevanten Integrationsaspekte betrachtet, führen jedoch keine eigenständigen Sicherheitsfunktionen aus.</w:t>
      </w:r>
    </w:p>
    <w:p w14:paraId="6CB8CA9C" w14:textId="40BC0E44" w:rsidR="00C75DF8" w:rsidRPr="00C75DF8" w:rsidRDefault="000C18E0" w:rsidP="003E7C2A">
      <w:pPr>
        <w:pStyle w:val="Text"/>
        <w:ind w:left="0"/>
        <w:rPr>
          <w:rFonts w:cs="Arial"/>
          <w:iCs/>
          <w:sz w:val="20"/>
          <w:szCs w:val="22"/>
          <w:lang w:val="de-AT" w:eastAsia="de-DE"/>
        </w:rPr>
      </w:pPr>
      <w:r w:rsidRPr="000C18E0">
        <w:rPr>
          <w:rFonts w:cs="Arial"/>
          <w:iCs/>
          <w:sz w:val="20"/>
          <w:szCs w:val="22"/>
          <w:lang w:val="de-AT" w:eastAsia="de-DE"/>
        </w:rPr>
        <w:t>Die Sicherheitsnachweise der DFE-Subsysteme sowie die zugehörigen Integrationsbewertungen werden zur Beschreibung und Bewertung zulässiger Konfigurationsvarianten verwendet. Die Zusammenführung dieser Informationen erfolgt auf Ebene der Generic Application Digital Interlocking (GA DIL-ÖBB). Diese Informationen dienen als Grundlage für die Bewertung und Freigabe der jeweiligen Systemkonfigurationen.</w:t>
      </w:r>
    </w:p>
    <w:p w14:paraId="10DC9021" w14:textId="77777777" w:rsidR="00D3696D" w:rsidRPr="009733D6" w:rsidRDefault="0083585D">
      <w:pPr>
        <w:pStyle w:val="Heading2"/>
        <w:keepLines w:val="0"/>
        <w:tabs>
          <w:tab w:val="clear" w:pos="1080"/>
          <w:tab w:val="num" w:pos="720"/>
        </w:tabs>
        <w:spacing w:before="480" w:after="120" w:line="240" w:lineRule="auto"/>
        <w:ind w:left="0" w:firstLine="0"/>
      </w:pPr>
      <w:bookmarkStart w:id="11" w:name="_Toc242167513"/>
      <w:r w:rsidRPr="009733D6">
        <w:t>Struktur des Dokumentes</w:t>
      </w:r>
      <w:bookmarkEnd w:id="11"/>
    </w:p>
    <w:p w14:paraId="7891F8AF" w14:textId="77777777" w:rsidR="00D3696D" w:rsidRPr="009733D6" w:rsidRDefault="0083585D">
      <w:pPr>
        <w:pStyle w:val="Paragraph"/>
        <w:rPr>
          <w:highlight w:val="yellow"/>
          <w:lang w:val="de-AT"/>
        </w:rPr>
      </w:pPr>
      <w:r w:rsidRPr="009733D6">
        <w:rPr>
          <w:highlight w:val="yellow"/>
          <w:lang w:val="de-AT"/>
        </w:rPr>
        <w:t>Das Dokument ist wie folgt aufgebaut:</w:t>
      </w:r>
    </w:p>
    <w:p w14:paraId="12FE4258" w14:textId="18834E39" w:rsidR="00D3696D" w:rsidRPr="009733D6" w:rsidRDefault="0083585D">
      <w:pPr>
        <w:pStyle w:val="ULbullet1"/>
        <w:rPr>
          <w:highlight w:val="yellow"/>
          <w:lang w:val="de-AT"/>
        </w:rPr>
      </w:pPr>
      <w:r w:rsidRPr="009733D6">
        <w:rPr>
          <w:highlight w:val="yellow"/>
          <w:lang w:val="de-AT"/>
        </w:rPr>
        <w:t xml:space="preserve">Kapitel </w:t>
      </w:r>
      <w:r w:rsidRPr="009733D6">
        <w:rPr>
          <w:highlight w:val="yellow"/>
        </w:rPr>
        <w:fldChar w:fldCharType="begin"/>
      </w:r>
      <w:r w:rsidRPr="009733D6">
        <w:rPr>
          <w:highlight w:val="yellow"/>
          <w:lang w:val="de-AT"/>
        </w:rPr>
        <w:instrText xml:space="preserve"> REF _Ref224127073 \r \h </w:instrText>
      </w:r>
      <w:r w:rsidR="009733D6" w:rsidRPr="009733D6">
        <w:rPr>
          <w:highlight w:val="yellow"/>
          <w:lang w:val="de-AT"/>
        </w:rPr>
        <w:instrText xml:space="preserve"> \* MERGEFORMAT </w:instrText>
      </w:r>
      <w:r w:rsidRPr="009733D6">
        <w:rPr>
          <w:highlight w:val="yellow"/>
        </w:rPr>
      </w:r>
      <w:r w:rsidRPr="009733D6">
        <w:rPr>
          <w:highlight w:val="yellow"/>
        </w:rPr>
        <w:fldChar w:fldCharType="separate"/>
      </w:r>
      <w:r w:rsidR="00371A83">
        <w:rPr>
          <w:highlight w:val="yellow"/>
          <w:lang w:val="de-AT"/>
        </w:rPr>
        <w:t>2</w:t>
      </w:r>
      <w:r w:rsidRPr="009733D6">
        <w:rPr>
          <w:highlight w:val="yellow"/>
        </w:rPr>
        <w:fldChar w:fldCharType="end"/>
      </w:r>
      <w:r w:rsidRPr="009733D6">
        <w:rPr>
          <w:highlight w:val="yellow"/>
          <w:lang w:val="de-AT"/>
        </w:rPr>
        <w:t xml:space="preserve"> enthält alle referenzierten Dokumente, Normen, Prozeduren, Definitionen und Abkürzungen.</w:t>
      </w:r>
    </w:p>
    <w:p w14:paraId="3F43EBAE" w14:textId="12ABFE66" w:rsidR="00D3696D" w:rsidRPr="009733D6" w:rsidRDefault="0083585D">
      <w:pPr>
        <w:pStyle w:val="ULbullet1"/>
        <w:rPr>
          <w:highlight w:val="yellow"/>
          <w:lang w:val="de-AT"/>
        </w:rPr>
      </w:pPr>
      <w:r w:rsidRPr="009733D6">
        <w:rPr>
          <w:highlight w:val="yellow"/>
          <w:lang w:val="de-AT"/>
        </w:rPr>
        <w:lastRenderedPageBreak/>
        <w:t xml:space="preserve">Kapitel </w:t>
      </w:r>
      <w:r w:rsidRPr="009733D6">
        <w:rPr>
          <w:highlight w:val="yellow"/>
        </w:rPr>
        <w:fldChar w:fldCharType="begin"/>
      </w:r>
      <w:r w:rsidRPr="009733D6">
        <w:rPr>
          <w:highlight w:val="yellow"/>
          <w:lang w:val="de-AT"/>
        </w:rPr>
        <w:instrText xml:space="preserve"> REF _Ref224127078 \r \h </w:instrText>
      </w:r>
      <w:r w:rsidR="009733D6" w:rsidRPr="009733D6">
        <w:rPr>
          <w:highlight w:val="yellow"/>
          <w:lang w:val="de-AT"/>
        </w:rPr>
        <w:instrText xml:space="preserve"> \* MERGEFORMAT </w:instrText>
      </w:r>
      <w:r w:rsidRPr="009733D6">
        <w:rPr>
          <w:highlight w:val="yellow"/>
        </w:rPr>
      </w:r>
      <w:r w:rsidRPr="009733D6">
        <w:rPr>
          <w:highlight w:val="yellow"/>
        </w:rPr>
        <w:fldChar w:fldCharType="separate"/>
      </w:r>
      <w:r w:rsidR="00371A83">
        <w:rPr>
          <w:highlight w:val="yellow"/>
          <w:lang w:val="de-AT"/>
        </w:rPr>
        <w:t>3</w:t>
      </w:r>
      <w:r w:rsidRPr="009733D6">
        <w:rPr>
          <w:highlight w:val="yellow"/>
        </w:rPr>
        <w:fldChar w:fldCharType="end"/>
      </w:r>
      <w:r w:rsidRPr="009733D6">
        <w:rPr>
          <w:highlight w:val="yellow"/>
          <w:lang w:val="de-AT"/>
        </w:rPr>
        <w:t xml:space="preserve"> bietet einen Überblick über das </w:t>
      </w:r>
      <w:r w:rsidR="00412CF1">
        <w:rPr>
          <w:highlight w:val="yellow"/>
          <w:lang w:val="de-AT"/>
        </w:rPr>
        <w:fldChar w:fldCharType="begin"/>
      </w:r>
      <w:r w:rsidR="00412CF1">
        <w:rPr>
          <w:highlight w:val="yellow"/>
          <w:lang w:val="de-AT"/>
        </w:rPr>
        <w:instrText xml:space="preserve"> REF AA_OUC \h </w:instrText>
      </w:r>
      <w:r w:rsidR="00412CF1">
        <w:rPr>
          <w:highlight w:val="yellow"/>
          <w:lang w:val="de-AT"/>
        </w:rPr>
      </w:r>
      <w:r w:rsidR="00412CF1">
        <w:rPr>
          <w:highlight w:val="yellow"/>
          <w:lang w:val="de-AT"/>
        </w:rPr>
        <w:fldChar w:fldCharType="separate"/>
      </w:r>
      <w:r w:rsidR="00412CF1" w:rsidRPr="00623A51">
        <w:rPr>
          <w:iCs w:val="0"/>
          <w:lang w:val="de-AT"/>
        </w:rPr>
        <w:t>technische Projekt DFE</w:t>
      </w:r>
      <w:r w:rsidR="00412CF1">
        <w:rPr>
          <w:highlight w:val="yellow"/>
          <w:lang w:val="de-AT"/>
        </w:rPr>
        <w:fldChar w:fldCharType="end"/>
      </w:r>
      <w:r w:rsidRPr="009733D6">
        <w:rPr>
          <w:highlight w:val="yellow"/>
          <w:lang w:val="de-AT"/>
        </w:rPr>
        <w:t>, wobei die Systemstruktur und ihre Funktionsebenen, das Zuverlässigkeitskonzept und das Sicherheitsziel beschrieben werden.</w:t>
      </w:r>
    </w:p>
    <w:p w14:paraId="2BB55784" w14:textId="44468A6B" w:rsidR="00D3696D" w:rsidRPr="009733D6" w:rsidRDefault="0083585D">
      <w:pPr>
        <w:pStyle w:val="ULbullet1"/>
        <w:rPr>
          <w:highlight w:val="yellow"/>
          <w:lang w:val="de-AT"/>
        </w:rPr>
      </w:pPr>
      <w:r w:rsidRPr="009733D6">
        <w:rPr>
          <w:highlight w:val="yellow"/>
          <w:lang w:val="de-AT"/>
        </w:rPr>
        <w:t xml:space="preserve">Kapitel </w:t>
      </w:r>
      <w:r w:rsidRPr="009733D6">
        <w:rPr>
          <w:highlight w:val="yellow"/>
        </w:rPr>
        <w:fldChar w:fldCharType="begin"/>
      </w:r>
      <w:r w:rsidRPr="009733D6">
        <w:rPr>
          <w:highlight w:val="yellow"/>
          <w:lang w:val="de-AT"/>
        </w:rPr>
        <w:instrText xml:space="preserve"> REF _Ref224127090 \r \h </w:instrText>
      </w:r>
      <w:r w:rsidR="009733D6" w:rsidRPr="009733D6">
        <w:rPr>
          <w:highlight w:val="yellow"/>
          <w:lang w:val="de-AT"/>
        </w:rPr>
        <w:instrText xml:space="preserve"> \* MERGEFORMAT </w:instrText>
      </w:r>
      <w:r w:rsidRPr="009733D6">
        <w:rPr>
          <w:highlight w:val="yellow"/>
        </w:rPr>
      </w:r>
      <w:r w:rsidRPr="009733D6">
        <w:rPr>
          <w:highlight w:val="yellow"/>
        </w:rPr>
        <w:fldChar w:fldCharType="separate"/>
      </w:r>
      <w:r w:rsidR="00371A83">
        <w:rPr>
          <w:highlight w:val="yellow"/>
          <w:lang w:val="de-AT"/>
        </w:rPr>
        <w:t>4</w:t>
      </w:r>
      <w:r w:rsidRPr="009733D6">
        <w:rPr>
          <w:highlight w:val="yellow"/>
        </w:rPr>
        <w:fldChar w:fldCharType="end"/>
      </w:r>
      <w:r w:rsidRPr="009733D6">
        <w:rPr>
          <w:highlight w:val="yellow"/>
          <w:lang w:val="de-AT"/>
        </w:rPr>
        <w:t xml:space="preserve"> beschreibt dann das Sicherheitskonzept anhand der verschiedenen Sicherheitsstrategien, die ganz allgemein oder in verschiedenen Teilsystemen zum Einsatz kommen.</w:t>
      </w:r>
    </w:p>
    <w:p w14:paraId="66EB2C9B" w14:textId="57273EB6" w:rsidR="00D3696D" w:rsidRPr="009733D6" w:rsidRDefault="0083585D">
      <w:pPr>
        <w:pStyle w:val="ULbullet1"/>
        <w:rPr>
          <w:highlight w:val="yellow"/>
        </w:rPr>
      </w:pPr>
      <w:r w:rsidRPr="009733D6">
        <w:rPr>
          <w:highlight w:val="yellow"/>
        </w:rPr>
        <w:t xml:space="preserve">Kapitel </w:t>
      </w:r>
      <w:r w:rsidRPr="009733D6">
        <w:rPr>
          <w:highlight w:val="yellow"/>
        </w:rPr>
        <w:fldChar w:fldCharType="begin"/>
      </w:r>
      <w:r w:rsidRPr="009733D6">
        <w:rPr>
          <w:highlight w:val="yellow"/>
        </w:rPr>
        <w:instrText xml:space="preserve"> REF _Ref110494513 \r \h </w:instrText>
      </w:r>
      <w:r w:rsidR="009733D6">
        <w:rPr>
          <w:highlight w:val="yellow"/>
        </w:rPr>
        <w:instrText xml:space="preserve"> \* MERGEFORMAT </w:instrText>
      </w:r>
      <w:r w:rsidRPr="009733D6">
        <w:rPr>
          <w:highlight w:val="yellow"/>
        </w:rPr>
      </w:r>
      <w:r w:rsidRPr="009733D6">
        <w:rPr>
          <w:highlight w:val="yellow"/>
        </w:rPr>
        <w:fldChar w:fldCharType="separate"/>
      </w:r>
      <w:r w:rsidR="00371A83">
        <w:rPr>
          <w:highlight w:val="yellow"/>
        </w:rPr>
        <w:t>5</w:t>
      </w:r>
      <w:r w:rsidRPr="009733D6">
        <w:rPr>
          <w:highlight w:val="yellow"/>
        </w:rPr>
        <w:fldChar w:fldCharType="end"/>
      </w:r>
      <w:r w:rsidRPr="009733D6">
        <w:rPr>
          <w:highlight w:val="yellow"/>
        </w:rPr>
        <w:t xml:space="preserve"> enthält eine Zusammenfassung.</w:t>
      </w:r>
    </w:p>
    <w:p w14:paraId="671B255A" w14:textId="77777777" w:rsidR="00D3696D" w:rsidRPr="009733D6" w:rsidRDefault="0083585D">
      <w:pPr>
        <w:pStyle w:val="Heading2"/>
        <w:keepLines w:val="0"/>
        <w:tabs>
          <w:tab w:val="clear" w:pos="1080"/>
          <w:tab w:val="num" w:pos="720"/>
        </w:tabs>
        <w:spacing w:before="480" w:after="120" w:line="240" w:lineRule="auto"/>
        <w:ind w:left="0" w:firstLine="0"/>
      </w:pPr>
      <w:bookmarkStart w:id="12" w:name="_Toc242167514"/>
      <w:r w:rsidRPr="009733D6">
        <w:t>Dokumentenmanagement</w:t>
      </w:r>
      <w:bookmarkEnd w:id="12"/>
    </w:p>
    <w:p w14:paraId="1774CEE1" w14:textId="4651CC47" w:rsidR="00D3696D" w:rsidRPr="009733D6" w:rsidRDefault="0083585D">
      <w:pPr>
        <w:pStyle w:val="Paragraph"/>
        <w:rPr>
          <w:lang w:val="de-AT"/>
        </w:rPr>
      </w:pPr>
      <w:r w:rsidRPr="009733D6">
        <w:rPr>
          <w:lang w:val="de-AT"/>
        </w:rPr>
        <w:t xml:space="preserve">Die Entwicklung dieses Dokuments folgt den Regeln, welche im Dokument </w:t>
      </w:r>
      <w:r w:rsidRPr="009733D6">
        <w:fldChar w:fldCharType="begin"/>
      </w:r>
      <w:r w:rsidRPr="009733D6">
        <w:rPr>
          <w:lang w:val="de-AT"/>
        </w:rPr>
        <w:instrText xml:space="preserve"> REF full_DOC_RULES \h </w:instrText>
      </w:r>
      <w:r w:rsidR="009733D6" w:rsidRPr="009733D6">
        <w:rPr>
          <w:lang w:val="de-AT"/>
        </w:rPr>
        <w:instrText xml:space="preserve"> \* MERGEFORMAT </w:instrText>
      </w:r>
      <w:r w:rsidRPr="009733D6">
        <w:fldChar w:fldCharType="separate"/>
      </w:r>
      <w:r w:rsidR="00371A83" w:rsidRPr="00371A83">
        <w:rPr>
          <w:szCs w:val="18"/>
          <w:lang w:val="de-AT"/>
        </w:rPr>
        <w:t>Document Management Rules</w:t>
      </w:r>
      <w:r w:rsidRPr="009733D6">
        <w:fldChar w:fldCharType="end"/>
      </w:r>
      <w:r w:rsidRPr="009733D6">
        <w:rPr>
          <w:lang w:val="de-AT"/>
        </w:rPr>
        <w:t xml:space="preserve"> </w:t>
      </w:r>
      <w:r w:rsidRPr="009733D6">
        <w:fldChar w:fldCharType="begin"/>
      </w:r>
      <w:r w:rsidRPr="009733D6">
        <w:rPr>
          <w:lang w:val="de-AT"/>
        </w:rPr>
        <w:instrText xml:space="preserve"> REF ref_DOC_RULES \h  \* MERGEFORMAT </w:instrText>
      </w:r>
      <w:r w:rsidRPr="009733D6">
        <w:fldChar w:fldCharType="separate"/>
      </w:r>
      <w:r w:rsidR="00371A83" w:rsidRPr="00371A83">
        <w:rPr>
          <w:lang w:val="de-AT"/>
        </w:rPr>
        <w:t>[DOC_RULES]</w:t>
      </w:r>
      <w:r w:rsidRPr="009733D6">
        <w:fldChar w:fldCharType="end"/>
      </w:r>
      <w:r w:rsidRPr="009733D6">
        <w:rPr>
          <w:lang w:val="de-AT"/>
        </w:rPr>
        <w:t xml:space="preserve"> festgelegt sind.</w:t>
      </w:r>
    </w:p>
    <w:p w14:paraId="773157C4" w14:textId="77777777" w:rsidR="00D3696D" w:rsidRPr="009733D6" w:rsidRDefault="0083585D">
      <w:pPr>
        <w:pStyle w:val="Heading3"/>
        <w:keepLines w:val="0"/>
        <w:tabs>
          <w:tab w:val="left" w:pos="885"/>
          <w:tab w:val="num" w:pos="1080"/>
        </w:tabs>
        <w:spacing w:before="360" w:after="120" w:line="240" w:lineRule="auto"/>
        <w:ind w:left="0" w:firstLine="0"/>
      </w:pPr>
      <w:bookmarkStart w:id="13" w:name="_Toc242167515"/>
      <w:r w:rsidRPr="009733D6">
        <w:t>Konfigurationsmanagement</w:t>
      </w:r>
      <w:bookmarkEnd w:id="13"/>
    </w:p>
    <w:p w14:paraId="3B00E5BA" w14:textId="75794068" w:rsidR="00D3696D" w:rsidRPr="009733D6" w:rsidRDefault="0083585D">
      <w:pPr>
        <w:pStyle w:val="Paragraph"/>
        <w:rPr>
          <w:lang w:val="de-AT"/>
        </w:rPr>
      </w:pPr>
      <w:r w:rsidRPr="009733D6">
        <w:rPr>
          <w:lang w:val="de-AT"/>
        </w:rPr>
        <w:t xml:space="preserve">Beginnend ab der ersten Edition unterliegt dieses Dokument dem Konfigurationsmanagementprozess. Die Umsetzung dieses Prozesses gewährleistet, dass jede Version dieses Dokuments und jedes zur Review verteilte Proposal innerhalb des Konfigurationsmanagementsystems eindeutig identifiziert ist (siehe </w:t>
      </w:r>
      <w:r w:rsidRPr="009733D6">
        <w:fldChar w:fldCharType="begin"/>
      </w:r>
      <w:r w:rsidRPr="009733D6">
        <w:rPr>
          <w:lang w:val="de-AT"/>
        </w:rPr>
        <w:instrText xml:space="preserve"> REF REF_CMP_EL \h  \* MERGEFORMAT \* MERGEFORMAT </w:instrText>
      </w:r>
      <w:r w:rsidRPr="009733D6">
        <w:fldChar w:fldCharType="separate"/>
      </w:r>
      <w:r w:rsidR="00371A83" w:rsidRPr="00371A83">
        <w:rPr>
          <w:b/>
          <w:bCs/>
          <w:lang w:val="de-AT"/>
        </w:rPr>
        <w:t>Error! Reference source not found.</w:t>
      </w:r>
      <w:r w:rsidRPr="009733D6">
        <w:fldChar w:fldCharType="end"/>
      </w:r>
      <w:r w:rsidRPr="009733D6">
        <w:rPr>
          <w:lang w:val="de-AT"/>
        </w:rPr>
        <w:t>).</w:t>
      </w:r>
    </w:p>
    <w:p w14:paraId="2C79DD39" w14:textId="77777777" w:rsidR="00D3696D" w:rsidRPr="009733D6" w:rsidRDefault="0083585D">
      <w:pPr>
        <w:pStyle w:val="Heading3"/>
        <w:keepLines w:val="0"/>
        <w:tabs>
          <w:tab w:val="left" w:pos="885"/>
          <w:tab w:val="num" w:pos="1080"/>
        </w:tabs>
        <w:spacing w:before="360" w:after="120" w:line="240" w:lineRule="auto"/>
        <w:ind w:left="0" w:firstLine="0"/>
      </w:pPr>
      <w:bookmarkStart w:id="14" w:name="_Toc242167516"/>
      <w:r w:rsidRPr="009733D6">
        <w:t>Dokumentenarchivierung</w:t>
      </w:r>
      <w:bookmarkEnd w:id="14"/>
    </w:p>
    <w:p w14:paraId="5A28A694" w14:textId="26CFC406" w:rsidR="00D3696D" w:rsidRPr="009733D6" w:rsidRDefault="0083585D">
      <w:pPr>
        <w:pStyle w:val="Paragraph"/>
        <w:rPr>
          <w:lang w:val="de-AT"/>
        </w:rPr>
      </w:pPr>
      <w:r w:rsidRPr="009733D6">
        <w:rPr>
          <w:szCs w:val="20"/>
          <w:lang w:val="de-AT"/>
        </w:rPr>
        <w:t xml:space="preserve">Die Archivierung dieses Dokumentes wird gemäß der </w:t>
      </w:r>
      <w:r w:rsidRPr="009733D6">
        <w:fldChar w:fldCharType="begin"/>
      </w:r>
      <w:r w:rsidRPr="009733D6">
        <w:rPr>
          <w:lang w:val="de-AT"/>
        </w:rPr>
        <w:instrText xml:space="preserve"> REF full_DOC_RULES \h </w:instrText>
      </w:r>
      <w:r w:rsidR="009733D6" w:rsidRPr="009733D6">
        <w:rPr>
          <w:lang w:val="de-AT"/>
        </w:rPr>
        <w:instrText xml:space="preserve"> \* MERGEFORMAT </w:instrText>
      </w:r>
      <w:r w:rsidRPr="009733D6">
        <w:fldChar w:fldCharType="separate"/>
      </w:r>
      <w:r w:rsidR="00371A83" w:rsidRPr="00371A83">
        <w:rPr>
          <w:szCs w:val="18"/>
          <w:lang w:val="de-AT"/>
        </w:rPr>
        <w:t>Document Management Rules</w:t>
      </w:r>
      <w:r w:rsidRPr="009733D6">
        <w:fldChar w:fldCharType="end"/>
      </w:r>
      <w:r w:rsidRPr="009733D6">
        <w:rPr>
          <w:szCs w:val="20"/>
          <w:lang w:val="de-AT"/>
        </w:rPr>
        <w:t xml:space="preserve"> </w:t>
      </w:r>
      <w:r w:rsidRPr="009733D6">
        <w:fldChar w:fldCharType="begin"/>
      </w:r>
      <w:r w:rsidRPr="009733D6">
        <w:rPr>
          <w:lang w:val="de-AT"/>
        </w:rPr>
        <w:instrText xml:space="preserve"> REF ref_DOC_RULES \h  \* MERGEFORMAT </w:instrText>
      </w:r>
      <w:r w:rsidRPr="009733D6">
        <w:fldChar w:fldCharType="separate"/>
      </w:r>
      <w:r w:rsidR="00371A83" w:rsidRPr="00371A83">
        <w:rPr>
          <w:lang w:val="de-AT"/>
        </w:rPr>
        <w:t>[DOC_RULES]</w:t>
      </w:r>
      <w:r w:rsidRPr="009733D6">
        <w:fldChar w:fldCharType="end"/>
      </w:r>
      <w:r w:rsidRPr="009733D6">
        <w:rPr>
          <w:szCs w:val="20"/>
          <w:lang w:val="de-AT"/>
        </w:rPr>
        <w:t xml:space="preserve"> durchgeführt. Jede Edition dieses Dokumentes wird im Online Dokument Archiv gespeichert.</w:t>
      </w:r>
    </w:p>
    <w:p w14:paraId="648B518E" w14:textId="77777777" w:rsidR="00D3696D" w:rsidRPr="009733D6" w:rsidRDefault="0083585D">
      <w:pPr>
        <w:pStyle w:val="Heading3"/>
        <w:keepLines w:val="0"/>
        <w:tabs>
          <w:tab w:val="left" w:pos="885"/>
          <w:tab w:val="num" w:pos="1080"/>
        </w:tabs>
        <w:spacing w:before="360" w:after="120" w:line="240" w:lineRule="auto"/>
        <w:ind w:left="0" w:firstLine="0"/>
      </w:pPr>
      <w:bookmarkStart w:id="15" w:name="_Toc242167517"/>
      <w:r w:rsidRPr="009733D6">
        <w:t>Änderungen</w:t>
      </w:r>
      <w:bookmarkEnd w:id="15"/>
    </w:p>
    <w:p w14:paraId="4FC4B3F7" w14:textId="77777777" w:rsidR="00D3696D" w:rsidRPr="009733D6" w:rsidRDefault="0083585D">
      <w:pPr>
        <w:pStyle w:val="Heading4"/>
        <w:keepLines w:val="0"/>
        <w:tabs>
          <w:tab w:val="clear" w:pos="1800"/>
          <w:tab w:val="num" w:pos="1080"/>
          <w:tab w:val="left" w:pos="1440"/>
        </w:tabs>
        <w:spacing w:before="360" w:after="120" w:line="240" w:lineRule="auto"/>
        <w:ind w:left="0" w:firstLine="0"/>
      </w:pPr>
      <w:bookmarkStart w:id="16" w:name="_Ref370305824"/>
      <w:r w:rsidRPr="009733D6">
        <w:t>Edition 01</w:t>
      </w:r>
      <w:bookmarkEnd w:id="16"/>
    </w:p>
    <w:p w14:paraId="4838DC7A" w14:textId="4F8A37FF" w:rsidR="00D3696D" w:rsidRPr="00314F43" w:rsidRDefault="0083585D" w:rsidP="00314F43">
      <w:pPr>
        <w:pStyle w:val="Text"/>
        <w:ind w:left="0"/>
        <w:rPr>
          <w:rFonts w:cs="Arial"/>
          <w:iCs/>
          <w:sz w:val="20"/>
          <w:lang w:val="de-AT" w:eastAsia="de-DE"/>
        </w:rPr>
      </w:pPr>
      <w:r w:rsidRPr="00314F43">
        <w:rPr>
          <w:rFonts w:cs="Arial"/>
          <w:iCs/>
          <w:sz w:val="20"/>
          <w:lang w:val="de-AT" w:eastAsia="de-DE"/>
        </w:rPr>
        <w:t xml:space="preserve">Die Ausgabe basiert teilweise auf dem Dokument </w:t>
      </w:r>
      <w:r w:rsidR="00B95D62" w:rsidRPr="00314F43">
        <w:rPr>
          <w:rFonts w:cs="Arial"/>
          <w:iCs/>
          <w:sz w:val="20"/>
          <w:lang w:val="de-AT" w:eastAsia="de-DE"/>
        </w:rPr>
        <w:fldChar w:fldCharType="begin"/>
      </w:r>
      <w:r w:rsidR="00B95D62" w:rsidRPr="00314F43">
        <w:rPr>
          <w:rFonts w:cs="Arial"/>
          <w:iCs/>
          <w:sz w:val="20"/>
          <w:lang w:val="de-AT" w:eastAsia="de-DE"/>
        </w:rPr>
        <w:instrText xml:space="preserve"> REF REF_SC_DIL_TITLE \h </w:instrText>
      </w:r>
      <w:r w:rsidR="00314F43">
        <w:rPr>
          <w:rFonts w:cs="Arial"/>
          <w:iCs/>
          <w:sz w:val="20"/>
          <w:lang w:val="de-AT" w:eastAsia="de-DE"/>
        </w:rPr>
        <w:instrText xml:space="preserve"> \* MERGEFORMAT </w:instrText>
      </w:r>
      <w:r w:rsidR="00B95D62" w:rsidRPr="00314F43">
        <w:rPr>
          <w:rFonts w:cs="Arial"/>
          <w:iCs/>
          <w:sz w:val="20"/>
          <w:lang w:val="de-AT" w:eastAsia="de-DE"/>
        </w:rPr>
      </w:r>
      <w:r w:rsidR="00B95D62" w:rsidRPr="00314F43">
        <w:rPr>
          <w:rFonts w:cs="Arial"/>
          <w:iCs/>
          <w:sz w:val="20"/>
          <w:lang w:val="de-AT" w:eastAsia="de-DE"/>
        </w:rPr>
        <w:fldChar w:fldCharType="separate"/>
      </w:r>
      <w:r w:rsidR="00B95D62" w:rsidRPr="00314F43">
        <w:rPr>
          <w:rFonts w:cs="Arial"/>
          <w:iCs/>
          <w:sz w:val="20"/>
          <w:lang w:val="de-AT" w:eastAsia="de-DE"/>
        </w:rPr>
        <w:t>Safety Concept DIL</w:t>
      </w:r>
      <w:r w:rsidR="00B95D62" w:rsidRPr="00314F43">
        <w:rPr>
          <w:rFonts w:cs="Arial"/>
          <w:iCs/>
          <w:sz w:val="20"/>
          <w:lang w:val="de-AT" w:eastAsia="de-DE"/>
        </w:rPr>
        <w:fldChar w:fldCharType="end"/>
      </w:r>
      <w:r w:rsidR="00B95D62" w:rsidRPr="00314F43">
        <w:rPr>
          <w:rFonts w:cs="Arial"/>
          <w:iCs/>
          <w:sz w:val="20"/>
          <w:lang w:val="de-AT" w:eastAsia="de-DE"/>
        </w:rPr>
        <w:t xml:space="preserve"> </w:t>
      </w:r>
      <w:r w:rsidRPr="00314F43">
        <w:rPr>
          <w:rFonts w:cs="Arial"/>
          <w:iCs/>
          <w:sz w:val="20"/>
          <w:lang w:val="de-AT" w:eastAsia="de-DE"/>
        </w:rPr>
        <w:t>(</w:t>
      </w:r>
      <w:r w:rsidR="00B95D62" w:rsidRPr="00314F43">
        <w:rPr>
          <w:rFonts w:cs="Arial"/>
          <w:iCs/>
          <w:sz w:val="20"/>
          <w:lang w:val="de-AT" w:eastAsia="de-DE"/>
        </w:rPr>
        <w:fldChar w:fldCharType="begin"/>
      </w:r>
      <w:r w:rsidR="00B95D62" w:rsidRPr="00314F43">
        <w:rPr>
          <w:rFonts w:cs="Arial"/>
          <w:iCs/>
          <w:sz w:val="20"/>
          <w:lang w:val="de-AT" w:eastAsia="de-DE"/>
        </w:rPr>
        <w:instrText xml:space="preserve"> REF REF_SC_DIL_ANV \h </w:instrText>
      </w:r>
      <w:r w:rsidR="00314F43">
        <w:rPr>
          <w:rFonts w:cs="Arial"/>
          <w:iCs/>
          <w:sz w:val="20"/>
          <w:lang w:val="de-AT" w:eastAsia="de-DE"/>
        </w:rPr>
        <w:instrText xml:space="preserve"> \* MERGEFORMAT </w:instrText>
      </w:r>
      <w:r w:rsidR="00B95D62" w:rsidRPr="00314F43">
        <w:rPr>
          <w:rFonts w:cs="Arial"/>
          <w:iCs/>
          <w:sz w:val="20"/>
          <w:lang w:val="de-AT" w:eastAsia="de-DE"/>
        </w:rPr>
      </w:r>
      <w:r w:rsidR="00B95D62" w:rsidRPr="00314F43">
        <w:rPr>
          <w:rFonts w:cs="Arial"/>
          <w:iCs/>
          <w:sz w:val="20"/>
          <w:lang w:val="de-AT" w:eastAsia="de-DE"/>
        </w:rPr>
        <w:fldChar w:fldCharType="separate"/>
      </w:r>
      <w:r w:rsidR="00B95D62" w:rsidRPr="00314F43">
        <w:rPr>
          <w:rFonts w:cs="Arial"/>
          <w:iCs/>
          <w:sz w:val="20"/>
          <w:lang w:val="de-AT" w:eastAsia="de-DE"/>
        </w:rPr>
        <w:t>3BU 17300 1280 DUAPC</w:t>
      </w:r>
      <w:r w:rsidR="00B95D62" w:rsidRPr="00314F43">
        <w:rPr>
          <w:rFonts w:cs="Arial"/>
          <w:iCs/>
          <w:sz w:val="20"/>
          <w:lang w:val="de-AT" w:eastAsia="de-DE"/>
        </w:rPr>
        <w:fldChar w:fldCharType="end"/>
      </w:r>
      <w:r w:rsidRPr="00314F43">
        <w:rPr>
          <w:rFonts w:cs="Arial"/>
          <w:iCs/>
          <w:sz w:val="20"/>
          <w:lang w:val="de-AT" w:eastAsia="de-DE"/>
        </w:rPr>
        <w:t>)</w:t>
      </w:r>
      <w:r w:rsidR="00B95D62" w:rsidRPr="00314F43">
        <w:rPr>
          <w:rFonts w:cs="Arial"/>
          <w:iCs/>
          <w:sz w:val="20"/>
          <w:lang w:val="de-AT" w:eastAsia="de-DE"/>
        </w:rPr>
        <w:t>.</w:t>
      </w:r>
    </w:p>
    <w:p w14:paraId="18272F71" w14:textId="77777777" w:rsidR="00D3696D" w:rsidRDefault="0083585D">
      <w:pPr>
        <w:pStyle w:val="Heading2"/>
        <w:keepLines w:val="0"/>
        <w:tabs>
          <w:tab w:val="clear" w:pos="1080"/>
          <w:tab w:val="num" w:pos="720"/>
        </w:tabs>
        <w:spacing w:before="480" w:after="120" w:line="240" w:lineRule="auto"/>
        <w:ind w:left="0" w:firstLine="0"/>
      </w:pPr>
      <w:bookmarkStart w:id="17" w:name="_Ref530108968"/>
      <w:bookmarkStart w:id="18" w:name="_Toc242167518"/>
      <w:r w:rsidRPr="009733D6">
        <w:t>Offene Punkte</w:t>
      </w:r>
      <w:bookmarkEnd w:id="17"/>
      <w:bookmarkEnd w:id="18"/>
    </w:p>
    <w:p w14:paraId="25964621" w14:textId="77777777" w:rsidR="00AF2F45" w:rsidRPr="00AF2F45" w:rsidRDefault="00AF2F45" w:rsidP="00AF2F45">
      <w:pPr>
        <w:pStyle w:val="Text"/>
        <w:ind w:left="0"/>
        <w:rPr>
          <w:lang w:val="de-AT" w:eastAsia="ja-JP"/>
        </w:rPr>
      </w:pPr>
      <w:r w:rsidRPr="00AF2F45">
        <w:rPr>
          <w:rFonts w:cs="Arial"/>
          <w:iCs/>
          <w:sz w:val="20"/>
          <w:lang w:val="de-AT" w:eastAsia="de-DE"/>
        </w:rPr>
        <w:t>Folgende Punkte sind in der vorliegenden Ausgabe des Safety Concepts noch nicht abschließend behandelt und werden in zukünftigen Revisionen ergänzt oder konkretisiert:</w:t>
      </w:r>
    </w:p>
    <w:p w14:paraId="110D1EB5" w14:textId="77777777" w:rsidR="00AF2F45" w:rsidRPr="00AF2F45" w:rsidRDefault="00AF2F45" w:rsidP="00362C69">
      <w:pPr>
        <w:pStyle w:val="Paragraph"/>
        <w:numPr>
          <w:ilvl w:val="0"/>
          <w:numId w:val="29"/>
        </w:numPr>
        <w:rPr>
          <w:lang w:val="de-AT"/>
        </w:rPr>
      </w:pPr>
      <w:r w:rsidRPr="00AF2F45">
        <w:rPr>
          <w:lang w:val="de-AT"/>
        </w:rPr>
        <w:t>Durchführung und Dokumentation einer vorläufigen Gefährdungsanalyse (Preliminary Hazard Analysis, PHA) einschließlich der Ableitung sicherheitsrelevanter Anforderungen.</w:t>
      </w:r>
    </w:p>
    <w:p w14:paraId="3F5FBA81" w14:textId="77777777" w:rsidR="00AF2F45" w:rsidRPr="00AF2F45" w:rsidRDefault="00AF2F45" w:rsidP="00362C69">
      <w:pPr>
        <w:pStyle w:val="Paragraph"/>
        <w:numPr>
          <w:ilvl w:val="0"/>
          <w:numId w:val="29"/>
        </w:numPr>
        <w:rPr>
          <w:lang w:val="de-AT"/>
        </w:rPr>
      </w:pPr>
      <w:r w:rsidRPr="00AF2F45">
        <w:rPr>
          <w:lang w:val="de-AT"/>
        </w:rPr>
        <w:t>Beschreibung der Schnittstellen zwischen den DFE-Subsystemen und den angeschlossenen Feldsystemen bzw. Feldobjekten einschließlich der zugehörigen Sicherheitsannahmen, Schnittstellenbedingungen und Verantwortlichkeiten.</w:t>
      </w:r>
    </w:p>
    <w:p w14:paraId="5682BBE8" w14:textId="77777777" w:rsidR="00AF2F45" w:rsidRPr="00AF2F45" w:rsidRDefault="00AF2F45" w:rsidP="00362C69">
      <w:pPr>
        <w:pStyle w:val="Paragraph"/>
        <w:numPr>
          <w:ilvl w:val="0"/>
          <w:numId w:val="29"/>
        </w:numPr>
        <w:rPr>
          <w:lang w:val="de-AT"/>
        </w:rPr>
      </w:pPr>
      <w:r w:rsidRPr="00AF2F45">
        <w:rPr>
          <w:lang w:val="de-AT"/>
        </w:rPr>
        <w:t>Festlegung der sicherheitstechnischen Behandlung der Erd- und Adernschlussüberwachung der Field Element Stations (FES). Derzeit wird davon ausgegangen, dass diese Funktion als Non-SIL-Funktion behandelt wird, da keine unmittelbare sicherheitsgerichtete Reaktion ausgelöst werden kann.</w:t>
      </w:r>
    </w:p>
    <w:p w14:paraId="706F9356" w14:textId="77777777" w:rsidR="00AF2F45" w:rsidRPr="00AF2F45" w:rsidRDefault="00AF2F45" w:rsidP="00362C69">
      <w:pPr>
        <w:pStyle w:val="Paragraph"/>
        <w:numPr>
          <w:ilvl w:val="0"/>
          <w:numId w:val="29"/>
        </w:numPr>
        <w:rPr>
          <w:lang w:val="de-AT"/>
        </w:rPr>
      </w:pPr>
      <w:r w:rsidRPr="00AF2F45">
        <w:rPr>
          <w:lang w:val="de-AT"/>
        </w:rPr>
        <w:t>Fertigstellung der Systembeschreibung und Architektur der Interface Converter IFC-ZG62 und IFC-Sbl60A.</w:t>
      </w:r>
    </w:p>
    <w:p w14:paraId="03744534" w14:textId="77777777" w:rsidR="00AF2F45" w:rsidRPr="00AF2F45" w:rsidRDefault="00AF2F45" w:rsidP="00362C69">
      <w:pPr>
        <w:pStyle w:val="Paragraph"/>
        <w:numPr>
          <w:ilvl w:val="0"/>
          <w:numId w:val="29"/>
        </w:numPr>
        <w:rPr>
          <w:lang w:val="de-AT"/>
        </w:rPr>
      </w:pPr>
      <w:r w:rsidRPr="00AF2F45">
        <w:rPr>
          <w:lang w:val="de-AT"/>
        </w:rPr>
        <w:t>Ableitung und Beschreibung der Sicherheitsstrategie für die Interface Converter IFC-ZG62 und IFC-Sbl60A einschließlich der zugrunde liegenden Hardware- und Softwarearchitekturen sowie der vorgesehenen Sicherheitsmechanismen.</w:t>
      </w:r>
    </w:p>
    <w:p w14:paraId="1E8F9237" w14:textId="77777777" w:rsidR="00AF2F45" w:rsidRPr="00AF2F45" w:rsidRDefault="00AF2F45" w:rsidP="00362C69">
      <w:pPr>
        <w:pStyle w:val="Paragraph"/>
        <w:numPr>
          <w:ilvl w:val="0"/>
          <w:numId w:val="29"/>
        </w:numPr>
        <w:rPr>
          <w:lang w:val="de-AT"/>
        </w:rPr>
      </w:pPr>
      <w:r w:rsidRPr="00AF2F45">
        <w:rPr>
          <w:lang w:val="de-AT"/>
        </w:rPr>
        <w:lastRenderedPageBreak/>
        <w:t>Konkretisierung der Sicherheitsnachweisführung für die DFE-Subsysteme auf Grundlage der im Safety Concept der Generic Application Digital Interlocking (GA DIL) zugewiesenen Gefährdungsraten.</w:t>
      </w:r>
    </w:p>
    <w:p w14:paraId="04E915E9" w14:textId="77777777" w:rsidR="00AF2F45" w:rsidRPr="00AF2F45" w:rsidRDefault="00AF2F45" w:rsidP="00362C69">
      <w:pPr>
        <w:pStyle w:val="Paragraph"/>
        <w:numPr>
          <w:ilvl w:val="0"/>
          <w:numId w:val="29"/>
        </w:numPr>
        <w:rPr>
          <w:lang w:val="de-AT"/>
        </w:rPr>
      </w:pPr>
      <w:r w:rsidRPr="00AF2F45">
        <w:rPr>
          <w:lang w:val="de-AT"/>
        </w:rPr>
        <w:t>Abstimmung der Sicherheitsnachweis- und Integrationsstrategie mit den Lieferorganisationen für IFC-LCSI, OC-DCA3 und OC-AzLM einschließlich der Berücksichtigung von Safety Cases, Hazard Logs, Safety Related Application Conditions (SRACs) und Gutachten.</w:t>
      </w:r>
    </w:p>
    <w:p w14:paraId="7CFA3B85" w14:textId="77777777" w:rsidR="00AF2F45" w:rsidRPr="00AF2F45" w:rsidRDefault="00AF2F45" w:rsidP="00362C69">
      <w:pPr>
        <w:pStyle w:val="Paragraph"/>
        <w:numPr>
          <w:ilvl w:val="0"/>
          <w:numId w:val="29"/>
        </w:numPr>
        <w:rPr>
          <w:lang w:val="de-AT"/>
        </w:rPr>
      </w:pPr>
      <w:r w:rsidRPr="00AF2F45">
        <w:rPr>
          <w:lang w:val="de-AT"/>
        </w:rPr>
        <w:t>Konkretisierung der Integrationsnachweise für die in Abbildung 1 dargestellten Beziehungen „Fulfillment of HW Requirements“ einschließlich der zugehörigen Bewertungs- und Nachweisverfahren.</w:t>
      </w:r>
    </w:p>
    <w:p w14:paraId="329DA54F" w14:textId="3D9D5063" w:rsidR="00460F22" w:rsidRPr="00AF2F45" w:rsidRDefault="00AF2F45" w:rsidP="00362C69">
      <w:pPr>
        <w:pStyle w:val="Paragraph"/>
        <w:numPr>
          <w:ilvl w:val="0"/>
          <w:numId w:val="29"/>
        </w:numPr>
        <w:rPr>
          <w:lang w:val="de-AT"/>
        </w:rPr>
      </w:pPr>
      <w:r w:rsidRPr="00AF2F45">
        <w:rPr>
          <w:lang w:val="de-AT"/>
        </w:rPr>
        <w:t>Erstellung und Referenzierung der erforderlichen Schnittstellenspezifikationen (ICD) sowie der zugehörigen Integrationsdokumente.</w:t>
      </w:r>
    </w:p>
    <w:p w14:paraId="658F2E62" w14:textId="77777777" w:rsidR="00E53E18" w:rsidRDefault="00E53E18">
      <w:pPr>
        <w:pStyle w:val="Paragraph"/>
        <w:rPr>
          <w:highlight w:val="yellow"/>
          <w:lang w:val="de-AT"/>
        </w:rPr>
      </w:pPr>
    </w:p>
    <w:p w14:paraId="450A51A8" w14:textId="77777777" w:rsidR="00E53E18" w:rsidRDefault="00E53E18">
      <w:pPr>
        <w:pStyle w:val="Paragraph"/>
        <w:rPr>
          <w:highlight w:val="yellow"/>
          <w:lang w:val="de-AT"/>
        </w:rPr>
      </w:pPr>
    </w:p>
    <w:p w14:paraId="626C91ED" w14:textId="77777777" w:rsidR="00D3696D" w:rsidRPr="00AB034D" w:rsidRDefault="00D3696D">
      <w:pPr>
        <w:pStyle w:val="Paragraph"/>
        <w:rPr>
          <w:highlight w:val="yellow"/>
          <w:lang w:val="de-AT"/>
        </w:rPr>
      </w:pPr>
    </w:p>
    <w:p w14:paraId="7A272529" w14:textId="77777777" w:rsidR="00D3696D" w:rsidRPr="009733D6" w:rsidRDefault="0083585D">
      <w:pPr>
        <w:pStyle w:val="Heading1"/>
      </w:pPr>
      <w:bookmarkStart w:id="19" w:name="_Ref224127073"/>
      <w:bookmarkStart w:id="20" w:name="_Toc242167519"/>
      <w:r w:rsidRPr="009733D6">
        <w:lastRenderedPageBreak/>
        <w:t>R</w:t>
      </w:r>
      <w:bookmarkEnd w:id="5"/>
      <w:bookmarkEnd w:id="6"/>
      <w:bookmarkEnd w:id="7"/>
      <w:bookmarkEnd w:id="8"/>
      <w:r w:rsidRPr="009733D6">
        <w:t>EFERENZMATERIAL</w:t>
      </w:r>
      <w:bookmarkEnd w:id="19"/>
      <w:bookmarkEnd w:id="20"/>
    </w:p>
    <w:p w14:paraId="4AC97D98" w14:textId="77777777" w:rsidR="00D3696D" w:rsidRPr="009733D6" w:rsidRDefault="0083585D">
      <w:pPr>
        <w:pStyle w:val="Heading2"/>
        <w:keepLines w:val="0"/>
        <w:tabs>
          <w:tab w:val="clear" w:pos="1080"/>
          <w:tab w:val="num" w:pos="720"/>
        </w:tabs>
        <w:spacing w:before="480" w:after="120" w:line="240" w:lineRule="auto"/>
        <w:ind w:left="0" w:firstLine="0"/>
      </w:pPr>
      <w:bookmarkStart w:id="21" w:name="_Ref529937861"/>
      <w:bookmarkStart w:id="22" w:name="_Toc242167520"/>
      <w:r w:rsidRPr="009733D6">
        <w:t>Referenzierte und verwandte Dokumente</w:t>
      </w:r>
      <w:bookmarkEnd w:id="21"/>
      <w:bookmarkEnd w:id="22"/>
    </w:p>
    <w:p w14:paraId="2EE4190B" w14:textId="7654AFB7" w:rsidR="00D3696D" w:rsidRPr="004975AB" w:rsidRDefault="0083585D">
      <w:pPr>
        <w:pStyle w:val="Paragraph"/>
        <w:rPr>
          <w:lang w:val="de-AT"/>
        </w:rPr>
      </w:pPr>
      <w:r w:rsidRPr="004975AB">
        <w:rPr>
          <w:lang w:val="de-AT"/>
        </w:rPr>
        <w:t>Die hier angegebenen Dokumente werden mit der zum Zeitpunkt der Erstellung dieses Dokuments vorliegenden aktuellen Ausgabe zitiert.</w:t>
      </w:r>
      <w:r w:rsidR="00C07EC7" w:rsidRPr="004975AB">
        <w:rPr>
          <w:lang w:val="de-AT"/>
        </w:rPr>
        <w:t xml:space="preserve"> Bei nicht vorhandenen Dokumenten wird die geplante Referenz zitiert.</w:t>
      </w:r>
      <w:r w:rsidRPr="004975AB">
        <w:rPr>
          <w:lang w:val="de-AT"/>
        </w:rPr>
        <w:t xml:space="preserve"> Es ist aber aus Sicht des Sicherheitskonzepts nicht eine bestimmte Ausgabe relevant, sondern die Referenzen dienen zum besseren Auffinden weiterführender Dokumentation.</w:t>
      </w:r>
    </w:p>
    <w:p w14:paraId="7FA19941" w14:textId="77777777" w:rsidR="002653EE" w:rsidRPr="009733D6" w:rsidRDefault="002653EE">
      <w:pPr>
        <w:pStyle w:val="Paragraph"/>
        <w:rPr>
          <w:highlight w:val="yellow"/>
          <w:lang w:val="de-AT"/>
        </w:rPr>
      </w:pPr>
    </w:p>
    <w:tbl>
      <w:tblPr>
        <w:tblW w:w="97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64"/>
        <w:gridCol w:w="4389"/>
        <w:gridCol w:w="2530"/>
        <w:gridCol w:w="875"/>
      </w:tblGrid>
      <w:tr w:rsidR="00384CE2" w:rsidRPr="009733D6" w14:paraId="4FDAEC91" w14:textId="77777777" w:rsidTr="005D73E0">
        <w:trPr>
          <w:cantSplit/>
          <w:tblHeader/>
        </w:trPr>
        <w:tc>
          <w:tcPr>
            <w:tcW w:w="1964" w:type="dxa"/>
            <w:shd w:val="clear" w:color="auto" w:fill="DBE5F1"/>
          </w:tcPr>
          <w:p w14:paraId="75813FC8" w14:textId="77777777" w:rsidR="00384CE2" w:rsidRPr="009733D6" w:rsidRDefault="00384CE2" w:rsidP="00454996">
            <w:pPr>
              <w:pStyle w:val="TableEntry"/>
              <w:rPr>
                <w:szCs w:val="18"/>
              </w:rPr>
            </w:pPr>
            <w:r w:rsidRPr="009733D6">
              <w:rPr>
                <w:szCs w:val="18"/>
              </w:rPr>
              <w:t>Id</w:t>
            </w:r>
          </w:p>
        </w:tc>
        <w:tc>
          <w:tcPr>
            <w:tcW w:w="4389" w:type="dxa"/>
            <w:shd w:val="clear" w:color="auto" w:fill="DBE5F1"/>
          </w:tcPr>
          <w:p w14:paraId="7A78CE85" w14:textId="77777777" w:rsidR="00384CE2" w:rsidRPr="009733D6" w:rsidRDefault="00384CE2" w:rsidP="00454996">
            <w:pPr>
              <w:pStyle w:val="TableEntry"/>
              <w:rPr>
                <w:szCs w:val="18"/>
              </w:rPr>
            </w:pPr>
            <w:r w:rsidRPr="009733D6">
              <w:rPr>
                <w:szCs w:val="18"/>
              </w:rPr>
              <w:t>Titel</w:t>
            </w:r>
          </w:p>
        </w:tc>
        <w:tc>
          <w:tcPr>
            <w:tcW w:w="2530" w:type="dxa"/>
            <w:shd w:val="clear" w:color="auto" w:fill="DBE5F1"/>
          </w:tcPr>
          <w:p w14:paraId="0797AFB1" w14:textId="77777777" w:rsidR="00384CE2" w:rsidRPr="009733D6" w:rsidRDefault="00384CE2" w:rsidP="00454996">
            <w:pPr>
              <w:pStyle w:val="TableEntry"/>
              <w:rPr>
                <w:szCs w:val="18"/>
              </w:rPr>
            </w:pPr>
            <w:r w:rsidRPr="009733D6">
              <w:rPr>
                <w:szCs w:val="18"/>
              </w:rPr>
              <w:t>Referenz</w:t>
            </w:r>
          </w:p>
        </w:tc>
        <w:tc>
          <w:tcPr>
            <w:tcW w:w="875" w:type="dxa"/>
            <w:shd w:val="clear" w:color="auto" w:fill="DBE5F1"/>
          </w:tcPr>
          <w:p w14:paraId="613BD804" w14:textId="77777777" w:rsidR="00384CE2" w:rsidRPr="009733D6" w:rsidRDefault="00384CE2" w:rsidP="00454996">
            <w:pPr>
              <w:pStyle w:val="TableEntry"/>
              <w:rPr>
                <w:szCs w:val="18"/>
              </w:rPr>
            </w:pPr>
            <w:r w:rsidRPr="009733D6">
              <w:rPr>
                <w:szCs w:val="18"/>
              </w:rPr>
              <w:t>Edition</w:t>
            </w:r>
          </w:p>
        </w:tc>
      </w:tr>
      <w:tr w:rsidR="002653EE" w:rsidRPr="009733D6" w14:paraId="569A2EB8" w14:textId="77777777" w:rsidTr="005D73E0">
        <w:trPr>
          <w:cantSplit/>
        </w:trPr>
        <w:tc>
          <w:tcPr>
            <w:tcW w:w="1964" w:type="dxa"/>
          </w:tcPr>
          <w:p w14:paraId="1CB24BB9" w14:textId="5FC7CC59" w:rsidR="002653EE" w:rsidRPr="00371A83" w:rsidRDefault="002653EE" w:rsidP="002653EE">
            <w:pPr>
              <w:pStyle w:val="TableEntry"/>
              <w:rPr>
                <w:rFonts w:ascii="Arial" w:hAnsi="Arial" w:cs="Arial"/>
                <w:szCs w:val="18"/>
              </w:rPr>
            </w:pPr>
            <w:bookmarkStart w:id="23" w:name="REF_ABBR_EL"/>
            <w:r w:rsidRPr="00371A83">
              <w:rPr>
                <w:rFonts w:ascii="Arial" w:hAnsi="Arial" w:cs="Arial"/>
                <w:szCs w:val="18"/>
              </w:rPr>
              <w:t>[ABBR EL]</w:t>
            </w:r>
            <w:bookmarkEnd w:id="23"/>
          </w:p>
        </w:tc>
        <w:tc>
          <w:tcPr>
            <w:tcW w:w="4389" w:type="dxa"/>
          </w:tcPr>
          <w:p w14:paraId="7F0FB1E6" w14:textId="77777777" w:rsidR="002653EE" w:rsidRPr="00371A83" w:rsidRDefault="002653EE" w:rsidP="002653EE">
            <w:pPr>
              <w:pStyle w:val="TableEntry"/>
              <w:rPr>
                <w:rFonts w:ascii="Arial" w:hAnsi="Arial" w:cs="Arial"/>
                <w:szCs w:val="18"/>
              </w:rPr>
            </w:pPr>
            <w:bookmarkStart w:id="24" w:name="REF_ABBR_EL_TITLE"/>
            <w:r w:rsidRPr="00371A83">
              <w:rPr>
                <w:rFonts w:ascii="Arial" w:hAnsi="Arial" w:cs="Arial"/>
                <w:szCs w:val="18"/>
              </w:rPr>
              <w:t>ELEKTRA 2.x System, Glossary: Definitions, Acronyms and Abbreviations</w:t>
            </w:r>
            <w:bookmarkEnd w:id="24"/>
          </w:p>
        </w:tc>
        <w:tc>
          <w:tcPr>
            <w:tcW w:w="2530" w:type="dxa"/>
          </w:tcPr>
          <w:p w14:paraId="1828BF84" w14:textId="77777777" w:rsidR="002653EE" w:rsidRPr="00371A83" w:rsidRDefault="002653EE" w:rsidP="002653EE">
            <w:pPr>
              <w:pStyle w:val="Paragraph"/>
              <w:spacing w:before="80" w:after="40"/>
              <w:jc w:val="left"/>
              <w:rPr>
                <w:iCs w:val="0"/>
                <w:sz w:val="18"/>
                <w:szCs w:val="18"/>
              </w:rPr>
            </w:pPr>
            <w:bookmarkStart w:id="25" w:name="REF_ABBR_EL_ANV"/>
            <w:r w:rsidRPr="00371A83">
              <w:rPr>
                <w:iCs w:val="0"/>
                <w:sz w:val="18"/>
                <w:szCs w:val="18"/>
              </w:rPr>
              <w:t>3BU 15000 0081 DCAPA</w:t>
            </w:r>
            <w:bookmarkEnd w:id="25"/>
          </w:p>
        </w:tc>
        <w:tc>
          <w:tcPr>
            <w:tcW w:w="875" w:type="dxa"/>
          </w:tcPr>
          <w:p w14:paraId="6E47E146" w14:textId="77777777" w:rsidR="002653EE" w:rsidRPr="00371A83" w:rsidRDefault="002653EE" w:rsidP="002653EE">
            <w:pPr>
              <w:pStyle w:val="Paragraph"/>
              <w:spacing w:before="80" w:after="40"/>
              <w:jc w:val="left"/>
              <w:rPr>
                <w:iCs w:val="0"/>
                <w:sz w:val="18"/>
                <w:szCs w:val="18"/>
              </w:rPr>
            </w:pPr>
            <w:bookmarkStart w:id="26" w:name="REF_ABBR_EL_ED"/>
            <w:r w:rsidRPr="00371A83">
              <w:rPr>
                <w:iCs w:val="0"/>
                <w:sz w:val="18"/>
                <w:szCs w:val="18"/>
              </w:rPr>
              <w:t>06</w:t>
            </w:r>
            <w:bookmarkEnd w:id="26"/>
          </w:p>
        </w:tc>
      </w:tr>
      <w:tr w:rsidR="009E1D64" w:rsidRPr="009733D6" w14:paraId="7DB6EDD1" w14:textId="77777777" w:rsidTr="005D5476">
        <w:trPr>
          <w:cantSplit/>
        </w:trPr>
        <w:tc>
          <w:tcPr>
            <w:tcW w:w="1964" w:type="dxa"/>
            <w:vAlign w:val="center"/>
          </w:tcPr>
          <w:p w14:paraId="6963C1B1" w14:textId="06256D5D" w:rsidR="009E1D64" w:rsidRPr="005D5476" w:rsidRDefault="009E1D64" w:rsidP="005D5476">
            <w:pPr>
              <w:pStyle w:val="TableEntry"/>
              <w:rPr>
                <w:rFonts w:ascii="Arial" w:hAnsi="Arial" w:cs="Arial"/>
                <w:szCs w:val="18"/>
              </w:rPr>
            </w:pPr>
            <w:bookmarkStart w:id="27" w:name="REF_SP_EL"/>
            <w:r w:rsidRPr="005D5476">
              <w:rPr>
                <w:rFonts w:ascii="Arial" w:hAnsi="Arial" w:cs="Arial"/>
                <w:szCs w:val="18"/>
              </w:rPr>
              <w:t>[SP </w:t>
            </w:r>
            <w:r w:rsidR="00886C7C">
              <w:rPr>
                <w:rFonts w:ascii="Arial" w:hAnsi="Arial" w:cs="Arial"/>
                <w:szCs w:val="18"/>
              </w:rPr>
              <w:t>DIL</w:t>
            </w:r>
            <w:r w:rsidRPr="005D5476">
              <w:rPr>
                <w:rFonts w:ascii="Arial" w:hAnsi="Arial" w:cs="Arial"/>
                <w:szCs w:val="18"/>
              </w:rPr>
              <w:t>]</w:t>
            </w:r>
            <w:bookmarkEnd w:id="27"/>
          </w:p>
        </w:tc>
        <w:tc>
          <w:tcPr>
            <w:tcW w:w="4389" w:type="dxa"/>
            <w:vAlign w:val="center"/>
          </w:tcPr>
          <w:p w14:paraId="330AA0CF" w14:textId="2F6CCBEA" w:rsidR="009E1D64" w:rsidRPr="005D5476" w:rsidRDefault="009E1D64" w:rsidP="005D5476">
            <w:pPr>
              <w:pStyle w:val="TableEntry"/>
              <w:rPr>
                <w:rFonts w:ascii="Arial" w:hAnsi="Arial" w:cs="Arial"/>
                <w:szCs w:val="18"/>
                <w:lang w:val="en-US"/>
              </w:rPr>
            </w:pPr>
            <w:bookmarkStart w:id="28" w:name="REF_SP_EL_TITLE"/>
            <w:r w:rsidRPr="005D5476">
              <w:rPr>
                <w:rFonts w:ascii="Arial" w:hAnsi="Arial" w:cs="Arial"/>
                <w:szCs w:val="18"/>
                <w:lang w:val="en-US"/>
              </w:rPr>
              <w:t xml:space="preserve">Safety Plan, </w:t>
            </w:r>
            <w:r w:rsidR="004721C5" w:rsidRPr="005D5476">
              <w:rPr>
                <w:rFonts w:ascii="Arial" w:hAnsi="Arial" w:cs="Arial"/>
                <w:szCs w:val="18"/>
                <w:lang w:val="en-US"/>
              </w:rPr>
              <w:t>Generic Application Digital Interlocking</w:t>
            </w:r>
            <w:bookmarkEnd w:id="28"/>
          </w:p>
        </w:tc>
        <w:tc>
          <w:tcPr>
            <w:tcW w:w="2530" w:type="dxa"/>
            <w:vAlign w:val="center"/>
          </w:tcPr>
          <w:p w14:paraId="39C7E231" w14:textId="5E315B04" w:rsidR="009E1D64" w:rsidRPr="005D5476" w:rsidRDefault="009E1D64" w:rsidP="005D5476">
            <w:pPr>
              <w:pStyle w:val="Paragraph"/>
              <w:spacing w:before="0" w:after="40"/>
              <w:jc w:val="left"/>
              <w:rPr>
                <w:sz w:val="18"/>
                <w:szCs w:val="18"/>
              </w:rPr>
            </w:pPr>
            <w:bookmarkStart w:id="29" w:name="REF_SP_EL_ANV"/>
            <w:r w:rsidRPr="005D5476">
              <w:rPr>
                <w:sz w:val="18"/>
                <w:szCs w:val="18"/>
                <w:lang w:val="en-US"/>
              </w:rPr>
              <w:t xml:space="preserve">3BU </w:t>
            </w:r>
            <w:r w:rsidR="004721C5" w:rsidRPr="005D5476">
              <w:rPr>
                <w:sz w:val="18"/>
                <w:szCs w:val="18"/>
                <w:lang w:val="en-US"/>
              </w:rPr>
              <w:t>17300</w:t>
            </w:r>
            <w:r w:rsidRPr="005D5476">
              <w:rPr>
                <w:sz w:val="18"/>
                <w:szCs w:val="18"/>
                <w:lang w:val="en-US"/>
              </w:rPr>
              <w:t xml:space="preserve"> </w:t>
            </w:r>
            <w:r w:rsidR="004721C5" w:rsidRPr="005D5476">
              <w:rPr>
                <w:sz w:val="18"/>
                <w:szCs w:val="18"/>
                <w:lang w:val="en-US"/>
              </w:rPr>
              <w:t>1204</w:t>
            </w:r>
            <w:r w:rsidRPr="005D5476">
              <w:rPr>
                <w:sz w:val="18"/>
                <w:szCs w:val="18"/>
                <w:lang w:val="en-US"/>
              </w:rPr>
              <w:t xml:space="preserve"> DUAPA</w:t>
            </w:r>
            <w:bookmarkEnd w:id="29"/>
          </w:p>
        </w:tc>
        <w:tc>
          <w:tcPr>
            <w:tcW w:w="875" w:type="dxa"/>
            <w:vAlign w:val="center"/>
          </w:tcPr>
          <w:p w14:paraId="443D4618" w14:textId="3CE47067" w:rsidR="009E1D64" w:rsidRPr="005D5476" w:rsidRDefault="009E1D64" w:rsidP="005D5476">
            <w:pPr>
              <w:pStyle w:val="Paragraph"/>
              <w:spacing w:before="0" w:after="40"/>
              <w:jc w:val="left"/>
              <w:rPr>
                <w:sz w:val="18"/>
                <w:szCs w:val="18"/>
              </w:rPr>
            </w:pPr>
            <w:bookmarkStart w:id="30" w:name="REF_SP_EL_ED"/>
            <w:r w:rsidRPr="005D5476">
              <w:rPr>
                <w:sz w:val="18"/>
                <w:szCs w:val="18"/>
                <w:lang w:val="en-US"/>
              </w:rPr>
              <w:t>0</w:t>
            </w:r>
            <w:r w:rsidR="004721C5" w:rsidRPr="005D5476">
              <w:rPr>
                <w:sz w:val="18"/>
                <w:szCs w:val="18"/>
                <w:lang w:val="en-US"/>
              </w:rPr>
              <w:t>2</w:t>
            </w:r>
            <w:bookmarkEnd w:id="30"/>
          </w:p>
        </w:tc>
      </w:tr>
      <w:tr w:rsidR="00F52590" w:rsidRPr="009733D6" w14:paraId="6B5E0C15" w14:textId="77777777" w:rsidTr="005D5476">
        <w:trPr>
          <w:cantSplit/>
        </w:trPr>
        <w:tc>
          <w:tcPr>
            <w:tcW w:w="1964" w:type="dxa"/>
            <w:vAlign w:val="center"/>
          </w:tcPr>
          <w:p w14:paraId="0069C41F" w14:textId="46173F04" w:rsidR="00F52590" w:rsidRPr="005D5476" w:rsidRDefault="00F52590" w:rsidP="005D5476">
            <w:pPr>
              <w:pStyle w:val="TableEntry"/>
              <w:rPr>
                <w:rFonts w:ascii="Arial" w:hAnsi="Arial" w:cs="Arial"/>
                <w:szCs w:val="18"/>
              </w:rPr>
            </w:pPr>
            <w:bookmarkStart w:id="31" w:name="REF_SC_DIL"/>
            <w:r>
              <w:rPr>
                <w:rFonts w:ascii="Arial" w:hAnsi="Arial" w:cs="Arial"/>
                <w:szCs w:val="18"/>
              </w:rPr>
              <w:t>[SC DIL]</w:t>
            </w:r>
            <w:bookmarkEnd w:id="31"/>
          </w:p>
        </w:tc>
        <w:tc>
          <w:tcPr>
            <w:tcW w:w="4389" w:type="dxa"/>
            <w:vAlign w:val="center"/>
          </w:tcPr>
          <w:p w14:paraId="74958D56" w14:textId="350DEB2E" w:rsidR="00F52590" w:rsidRPr="005D5476" w:rsidRDefault="00F52590" w:rsidP="005D5476">
            <w:pPr>
              <w:pStyle w:val="TableEntry"/>
              <w:rPr>
                <w:rFonts w:ascii="Arial" w:hAnsi="Arial" w:cs="Arial"/>
                <w:szCs w:val="18"/>
                <w:lang w:val="en-US"/>
              </w:rPr>
            </w:pPr>
            <w:bookmarkStart w:id="32" w:name="REF_SC_DIL_TITLE"/>
            <w:r>
              <w:rPr>
                <w:rFonts w:ascii="Arial" w:hAnsi="Arial" w:cs="Arial"/>
                <w:szCs w:val="18"/>
                <w:lang w:val="en-US"/>
              </w:rPr>
              <w:t>Safety Concept DIL</w:t>
            </w:r>
            <w:bookmarkEnd w:id="32"/>
          </w:p>
        </w:tc>
        <w:tc>
          <w:tcPr>
            <w:tcW w:w="2530" w:type="dxa"/>
            <w:vAlign w:val="center"/>
          </w:tcPr>
          <w:p w14:paraId="285BFF4D" w14:textId="2EB81562" w:rsidR="00F52590" w:rsidRPr="00F52590" w:rsidRDefault="00F52590" w:rsidP="00F52590">
            <w:pPr>
              <w:pStyle w:val="Paragraph"/>
              <w:spacing w:before="0" w:after="40"/>
              <w:rPr>
                <w:sz w:val="18"/>
                <w:szCs w:val="18"/>
                <w:lang w:val="de-AT"/>
              </w:rPr>
            </w:pPr>
            <w:bookmarkStart w:id="33" w:name="REF_SC_DIL_ANV"/>
            <w:r w:rsidRPr="00F52590">
              <w:rPr>
                <w:sz w:val="18"/>
                <w:szCs w:val="18"/>
                <w:lang w:val="de-AT"/>
              </w:rPr>
              <w:t>3BU 17300 1280 DUAPC</w:t>
            </w:r>
            <w:bookmarkEnd w:id="33"/>
          </w:p>
        </w:tc>
        <w:tc>
          <w:tcPr>
            <w:tcW w:w="875" w:type="dxa"/>
            <w:vAlign w:val="center"/>
          </w:tcPr>
          <w:p w14:paraId="6C5DF3C7" w14:textId="4F254DA4" w:rsidR="00F52590" w:rsidRPr="005D5476" w:rsidRDefault="00F52590" w:rsidP="005D5476">
            <w:pPr>
              <w:pStyle w:val="Paragraph"/>
              <w:spacing w:before="0" w:after="40"/>
              <w:jc w:val="left"/>
              <w:rPr>
                <w:sz w:val="18"/>
                <w:szCs w:val="18"/>
                <w:lang w:val="en-US"/>
              </w:rPr>
            </w:pPr>
            <w:r>
              <w:rPr>
                <w:sz w:val="18"/>
                <w:szCs w:val="18"/>
                <w:lang w:val="en-US"/>
              </w:rPr>
              <w:t>01PD01</w:t>
            </w:r>
          </w:p>
        </w:tc>
      </w:tr>
      <w:tr w:rsidR="00371A83" w:rsidRPr="009733D6" w14:paraId="15BA83F8" w14:textId="77777777" w:rsidTr="007C762D">
        <w:trPr>
          <w:cantSplit/>
        </w:trPr>
        <w:tc>
          <w:tcPr>
            <w:tcW w:w="1964" w:type="dxa"/>
          </w:tcPr>
          <w:p w14:paraId="4737DCF4" w14:textId="61775B01" w:rsidR="00371A83" w:rsidRPr="00371A83" w:rsidRDefault="00371A83" w:rsidP="00371A83">
            <w:pPr>
              <w:pStyle w:val="TableEntry"/>
              <w:rPr>
                <w:rFonts w:ascii="Arial" w:hAnsi="Arial" w:cs="Arial"/>
                <w:szCs w:val="18"/>
                <w:lang w:val="en-US"/>
              </w:rPr>
            </w:pPr>
            <w:bookmarkStart w:id="34" w:name="REF_TOOL_CLASS"/>
            <w:r w:rsidRPr="00371A83">
              <w:rPr>
                <w:rFonts w:ascii="Arial" w:hAnsi="Arial" w:cs="Arial"/>
                <w:szCs w:val="18"/>
                <w:lang w:val="en-US"/>
              </w:rPr>
              <w:t>[TOOL_CLASS]</w:t>
            </w:r>
            <w:bookmarkEnd w:id="34"/>
          </w:p>
        </w:tc>
        <w:tc>
          <w:tcPr>
            <w:tcW w:w="4389" w:type="dxa"/>
          </w:tcPr>
          <w:p w14:paraId="3AEB217C" w14:textId="77777777" w:rsidR="00371A83" w:rsidRPr="00371A83" w:rsidRDefault="00371A83" w:rsidP="00371A83">
            <w:pPr>
              <w:pStyle w:val="TableEntry"/>
              <w:rPr>
                <w:rFonts w:ascii="Arial" w:hAnsi="Arial" w:cs="Arial"/>
                <w:szCs w:val="18"/>
                <w:lang w:val="en-US"/>
              </w:rPr>
            </w:pPr>
            <w:bookmarkStart w:id="35" w:name="REF_TOOL_CLASS_TITLE"/>
            <w:r w:rsidRPr="00371A83">
              <w:rPr>
                <w:rFonts w:ascii="Arial" w:hAnsi="Arial" w:cs="Arial"/>
                <w:szCs w:val="18"/>
                <w:lang w:val="en-US"/>
              </w:rPr>
              <w:t>Software Development, Tool Classification, EN 50716</w:t>
            </w:r>
            <w:bookmarkEnd w:id="35"/>
          </w:p>
          <w:p w14:paraId="69707001" w14:textId="77777777" w:rsidR="00371A83" w:rsidRPr="00371A83" w:rsidRDefault="00371A83" w:rsidP="00371A83">
            <w:pPr>
              <w:pStyle w:val="TableEntry"/>
              <w:rPr>
                <w:rFonts w:ascii="Arial" w:hAnsi="Arial" w:cs="Arial"/>
                <w:szCs w:val="18"/>
                <w:lang w:val="en-US"/>
              </w:rPr>
            </w:pPr>
            <w:r w:rsidRPr="00371A83">
              <w:rPr>
                <w:rFonts w:ascii="Arial" w:hAnsi="Arial" w:cs="Arial"/>
                <w:szCs w:val="18"/>
                <w:lang w:val="en-US"/>
              </w:rPr>
              <w:t>Software Development, Tool Classification, EN 50128</w:t>
            </w:r>
          </w:p>
          <w:p w14:paraId="45244AA4" w14:textId="1985CE07" w:rsidR="00371A83" w:rsidRDefault="00371A83" w:rsidP="00371A83">
            <w:pPr>
              <w:pStyle w:val="TableEntry"/>
              <w:rPr>
                <w:rFonts w:ascii="Arial" w:hAnsi="Arial" w:cs="Arial"/>
                <w:szCs w:val="18"/>
                <w:lang w:val="en-US"/>
              </w:rPr>
            </w:pPr>
            <w:r w:rsidRPr="00371A83">
              <w:rPr>
                <w:rFonts w:ascii="Arial" w:hAnsi="Arial" w:cs="Arial"/>
                <w:szCs w:val="18"/>
                <w:lang w:val="en-US"/>
              </w:rPr>
              <w:t>Tool Classification, EN 50129</w:t>
            </w:r>
          </w:p>
        </w:tc>
        <w:tc>
          <w:tcPr>
            <w:tcW w:w="2530" w:type="dxa"/>
          </w:tcPr>
          <w:p w14:paraId="3D3D9917" w14:textId="77777777" w:rsidR="00371A83" w:rsidRPr="00B85AB4" w:rsidRDefault="00371A83" w:rsidP="00371A83">
            <w:pPr>
              <w:pStyle w:val="TableEntry"/>
              <w:rPr>
                <w:rFonts w:ascii="Arial" w:hAnsi="Arial" w:cs="Arial"/>
                <w:szCs w:val="18"/>
                <w:lang w:val="de-AT"/>
              </w:rPr>
            </w:pPr>
            <w:bookmarkStart w:id="36" w:name="REF_TOOL_CLASS_ANV"/>
            <w:r w:rsidRPr="00B85AB4">
              <w:rPr>
                <w:rFonts w:ascii="Arial" w:hAnsi="Arial" w:cs="Arial"/>
                <w:szCs w:val="18"/>
                <w:lang w:val="de-AT"/>
              </w:rPr>
              <w:t>3BU 00606 0000 191EN</w:t>
            </w:r>
            <w:bookmarkEnd w:id="36"/>
          </w:p>
          <w:p w14:paraId="7F26EA2F" w14:textId="77777777" w:rsidR="00371A83" w:rsidRPr="00B85AB4" w:rsidRDefault="00371A83" w:rsidP="00371A83">
            <w:pPr>
              <w:pStyle w:val="TableEntry"/>
              <w:rPr>
                <w:rFonts w:ascii="Arial" w:hAnsi="Arial" w:cs="Arial"/>
                <w:szCs w:val="18"/>
                <w:lang w:val="de-AT"/>
              </w:rPr>
            </w:pPr>
            <w:r w:rsidRPr="00B85AB4">
              <w:rPr>
                <w:rFonts w:ascii="Arial" w:hAnsi="Arial" w:cs="Arial"/>
                <w:szCs w:val="18"/>
                <w:lang w:val="de-AT"/>
              </w:rPr>
              <w:t>3BU 15000 5135 AAAPA</w:t>
            </w:r>
          </w:p>
          <w:p w14:paraId="12F2FD52" w14:textId="77777777" w:rsidR="00371A83" w:rsidRPr="00B85AB4" w:rsidRDefault="00371A83" w:rsidP="00371A83">
            <w:pPr>
              <w:pStyle w:val="Paragraph"/>
              <w:spacing w:before="80" w:after="40"/>
              <w:jc w:val="left"/>
              <w:rPr>
                <w:iCs w:val="0"/>
                <w:sz w:val="18"/>
                <w:szCs w:val="18"/>
                <w:lang w:val="de-AT"/>
              </w:rPr>
            </w:pPr>
            <w:r w:rsidRPr="00B85AB4">
              <w:rPr>
                <w:iCs w:val="0"/>
                <w:sz w:val="18"/>
                <w:szCs w:val="18"/>
                <w:lang w:val="de-AT"/>
              </w:rPr>
              <w:t>3BU 15000 5135 190EN</w:t>
            </w:r>
          </w:p>
          <w:p w14:paraId="1C5052CB" w14:textId="0EECEA2A" w:rsidR="00371A83" w:rsidRPr="00371A83" w:rsidRDefault="00371A83" w:rsidP="00371A83">
            <w:pPr>
              <w:pStyle w:val="Paragraph"/>
              <w:spacing w:before="0" w:after="40"/>
              <w:rPr>
                <w:iCs w:val="0"/>
                <w:sz w:val="18"/>
                <w:szCs w:val="18"/>
                <w:lang w:val="en-US"/>
              </w:rPr>
            </w:pPr>
            <w:r w:rsidRPr="00371A83">
              <w:rPr>
                <w:iCs w:val="0"/>
                <w:sz w:val="18"/>
                <w:szCs w:val="18"/>
                <w:lang w:val="en-US"/>
              </w:rPr>
              <w:t>Current version for EL2, update or new document for DSTW expected.</w:t>
            </w:r>
          </w:p>
        </w:tc>
        <w:tc>
          <w:tcPr>
            <w:tcW w:w="875" w:type="dxa"/>
          </w:tcPr>
          <w:p w14:paraId="5084E7B9" w14:textId="31E009A7" w:rsidR="00371A83" w:rsidRPr="00371A83" w:rsidRDefault="00371A83" w:rsidP="00371A83">
            <w:pPr>
              <w:pStyle w:val="Paragraph"/>
              <w:spacing w:before="0" w:after="40"/>
              <w:jc w:val="left"/>
              <w:rPr>
                <w:iCs w:val="0"/>
                <w:sz w:val="18"/>
                <w:szCs w:val="18"/>
                <w:lang w:val="en-US"/>
              </w:rPr>
            </w:pPr>
            <w:r w:rsidRPr="00371A83">
              <w:rPr>
                <w:iCs w:val="0"/>
                <w:sz w:val="18"/>
                <w:szCs w:val="18"/>
                <w:lang w:val="en-US"/>
              </w:rPr>
              <w:t>Latest</w:t>
            </w:r>
          </w:p>
        </w:tc>
      </w:tr>
    </w:tbl>
    <w:p w14:paraId="6A9FF5B1" w14:textId="0F55EB96" w:rsidR="00D3696D" w:rsidRPr="009733D6" w:rsidRDefault="0083585D">
      <w:pPr>
        <w:pStyle w:val="Caption"/>
        <w:rPr>
          <w:highlight w:val="yellow"/>
        </w:rPr>
      </w:pPr>
      <w:bookmarkStart w:id="37" w:name="_Ref231903268"/>
      <w:bookmarkStart w:id="38" w:name="_Toc114389004"/>
      <w:bookmarkStart w:id="39" w:name="_Toc239147719"/>
      <w:bookmarkStart w:id="40" w:name="_Toc321146008"/>
      <w:r w:rsidRPr="009733D6">
        <w:rPr>
          <w:highlight w:val="yellow"/>
        </w:rPr>
        <w:t xml:space="preserve">Tabelle </w:t>
      </w:r>
      <w:r w:rsidRPr="009733D6">
        <w:rPr>
          <w:highlight w:val="yellow"/>
        </w:rPr>
        <w:fldChar w:fldCharType="begin"/>
      </w:r>
      <w:r w:rsidRPr="009733D6">
        <w:rPr>
          <w:highlight w:val="yellow"/>
        </w:rPr>
        <w:instrText xml:space="preserve"> SEQ Tabelle \* ARABIC </w:instrText>
      </w:r>
      <w:r w:rsidRPr="009733D6">
        <w:rPr>
          <w:highlight w:val="yellow"/>
        </w:rPr>
        <w:fldChar w:fldCharType="separate"/>
      </w:r>
      <w:r w:rsidR="00886C7C">
        <w:rPr>
          <w:noProof/>
          <w:highlight w:val="yellow"/>
        </w:rPr>
        <w:t>1</w:t>
      </w:r>
      <w:r w:rsidRPr="009733D6">
        <w:rPr>
          <w:highlight w:val="yellow"/>
        </w:rPr>
        <w:fldChar w:fldCharType="end"/>
      </w:r>
      <w:bookmarkEnd w:id="37"/>
      <w:r w:rsidRPr="009733D6">
        <w:rPr>
          <w:highlight w:val="yellow"/>
        </w:rPr>
        <w:t>: Referenzierte und verwandte Dokumente</w:t>
      </w:r>
      <w:bookmarkEnd w:id="38"/>
      <w:bookmarkEnd w:id="39"/>
    </w:p>
    <w:p w14:paraId="15A169D6" w14:textId="77777777" w:rsidR="00D3696D" w:rsidRPr="009733D6" w:rsidRDefault="0083585D">
      <w:pPr>
        <w:pStyle w:val="Heading2"/>
        <w:keepLines w:val="0"/>
        <w:tabs>
          <w:tab w:val="clear" w:pos="1080"/>
          <w:tab w:val="num" w:pos="720"/>
        </w:tabs>
        <w:spacing w:before="480" w:after="120" w:line="240" w:lineRule="auto"/>
        <w:ind w:left="0" w:firstLine="0"/>
        <w:rPr>
          <w:highlight w:val="yellow"/>
        </w:rPr>
      </w:pPr>
      <w:bookmarkStart w:id="41" w:name="_Toc321829715"/>
      <w:bookmarkStart w:id="42" w:name="_Ref529937820"/>
      <w:bookmarkStart w:id="43" w:name="_Ref20457079"/>
      <w:bookmarkStart w:id="44" w:name="_Toc242167521"/>
      <w:bookmarkEnd w:id="40"/>
      <w:r w:rsidRPr="009733D6">
        <w:rPr>
          <w:highlight w:val="yellow"/>
        </w:rPr>
        <w:t>Normen und Prozeduren</w:t>
      </w:r>
      <w:bookmarkEnd w:id="41"/>
      <w:bookmarkEnd w:id="42"/>
      <w:bookmarkEnd w:id="43"/>
      <w:bookmarkEnd w:id="44"/>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843"/>
        <w:gridCol w:w="7796"/>
      </w:tblGrid>
      <w:tr w:rsidR="00D3696D" w:rsidRPr="009733D6" w14:paraId="157898E7" w14:textId="77777777" w:rsidTr="6E4FF81E">
        <w:trPr>
          <w:cantSplit/>
          <w:tblHeader/>
        </w:trPr>
        <w:tc>
          <w:tcPr>
            <w:tcW w:w="1843" w:type="dxa"/>
            <w:shd w:val="clear" w:color="auto" w:fill="DBE5F1"/>
          </w:tcPr>
          <w:p w14:paraId="6C65E4BF" w14:textId="77777777" w:rsidR="00D3696D" w:rsidRPr="00625DFE" w:rsidRDefault="0083585D">
            <w:pPr>
              <w:pStyle w:val="TableEntry"/>
              <w:rPr>
                <w:rFonts w:ascii="Arial" w:hAnsi="Arial" w:cs="Arial"/>
                <w:highlight w:val="yellow"/>
              </w:rPr>
            </w:pPr>
            <w:r w:rsidRPr="00625DFE">
              <w:rPr>
                <w:rFonts w:ascii="Arial" w:hAnsi="Arial" w:cs="Arial"/>
                <w:highlight w:val="yellow"/>
              </w:rPr>
              <w:t>Id</w:t>
            </w:r>
          </w:p>
        </w:tc>
        <w:tc>
          <w:tcPr>
            <w:tcW w:w="7796" w:type="dxa"/>
            <w:shd w:val="clear" w:color="auto" w:fill="DBE5F1"/>
          </w:tcPr>
          <w:p w14:paraId="1C056175" w14:textId="77777777" w:rsidR="00D3696D" w:rsidRPr="00625DFE" w:rsidRDefault="0083585D">
            <w:pPr>
              <w:pStyle w:val="TableEntry"/>
              <w:rPr>
                <w:rFonts w:ascii="Arial" w:hAnsi="Arial" w:cs="Arial"/>
                <w:highlight w:val="yellow"/>
              </w:rPr>
            </w:pPr>
            <w:r w:rsidRPr="00625DFE">
              <w:rPr>
                <w:rFonts w:ascii="Arial" w:hAnsi="Arial" w:cs="Arial"/>
                <w:highlight w:val="yellow"/>
              </w:rPr>
              <w:t>Referenz</w:t>
            </w:r>
          </w:p>
        </w:tc>
      </w:tr>
      <w:tr w:rsidR="0053759C" w:rsidRPr="00933B44" w14:paraId="57EA26E1" w14:textId="77777777" w:rsidTr="6E4FF81E">
        <w:trPr>
          <w:cantSplit/>
        </w:trPr>
        <w:tc>
          <w:tcPr>
            <w:tcW w:w="1843" w:type="dxa"/>
          </w:tcPr>
          <w:p w14:paraId="4E8E8FC3" w14:textId="63E0ED7E" w:rsidR="0053759C" w:rsidRPr="00625DFE" w:rsidRDefault="0053759C" w:rsidP="0053759C">
            <w:pPr>
              <w:pStyle w:val="TableEntry"/>
              <w:rPr>
                <w:rFonts w:ascii="Arial" w:hAnsi="Arial" w:cs="Arial"/>
                <w:highlight w:val="yellow"/>
              </w:rPr>
            </w:pPr>
            <w:bookmarkStart w:id="45" w:name="REF_EN_50121m4_2016"/>
            <w:r w:rsidRPr="00625DFE">
              <w:rPr>
                <w:rFonts w:ascii="Arial" w:hAnsi="Arial" w:cs="Arial"/>
                <w:highlight w:val="yellow"/>
              </w:rPr>
              <w:t>[EN 50121-4]</w:t>
            </w:r>
            <w:bookmarkEnd w:id="45"/>
          </w:p>
        </w:tc>
        <w:tc>
          <w:tcPr>
            <w:tcW w:w="7796" w:type="dxa"/>
          </w:tcPr>
          <w:p w14:paraId="4E2E0E5F" w14:textId="4703E818" w:rsidR="0053759C" w:rsidRPr="00625DFE" w:rsidRDefault="0053759C" w:rsidP="0053759C">
            <w:pPr>
              <w:pStyle w:val="TableEntry"/>
              <w:rPr>
                <w:rFonts w:ascii="Arial" w:hAnsi="Arial" w:cs="Arial"/>
                <w:highlight w:val="yellow"/>
                <w:lang w:val="en-US"/>
              </w:rPr>
            </w:pPr>
            <w:bookmarkStart w:id="46" w:name="REF_EN_50121m4_2016_TITLE"/>
            <w:r w:rsidRPr="00625DFE">
              <w:rPr>
                <w:rFonts w:ascii="Arial" w:hAnsi="Arial" w:cs="Arial"/>
                <w:highlight w:val="yellow"/>
              </w:rPr>
              <w:t>EN 50121-4:2016 +A1:2019 Railway applications – Electromagnetic compatibility - Part 4: Emission and immunity of the signalling and telecommunications apparatus</w:t>
            </w:r>
            <w:bookmarkEnd w:id="46"/>
          </w:p>
        </w:tc>
      </w:tr>
      <w:tr w:rsidR="0053759C" w:rsidRPr="00933B44" w14:paraId="28378A09" w14:textId="77777777" w:rsidTr="6E4FF81E">
        <w:trPr>
          <w:cantSplit/>
        </w:trPr>
        <w:tc>
          <w:tcPr>
            <w:tcW w:w="1843" w:type="dxa"/>
          </w:tcPr>
          <w:p w14:paraId="48551493" w14:textId="637B243C" w:rsidR="0053759C" w:rsidRPr="00625DFE" w:rsidRDefault="0053759C" w:rsidP="0053759C">
            <w:pPr>
              <w:pStyle w:val="TableEntry"/>
              <w:rPr>
                <w:rFonts w:ascii="Arial" w:hAnsi="Arial" w:cs="Arial"/>
                <w:highlight w:val="yellow"/>
              </w:rPr>
            </w:pPr>
            <w:bookmarkStart w:id="47" w:name="REF_EN_50124m1_2017"/>
            <w:r w:rsidRPr="00625DFE">
              <w:rPr>
                <w:rFonts w:ascii="Arial" w:hAnsi="Arial" w:cs="Arial"/>
                <w:highlight w:val="yellow"/>
              </w:rPr>
              <w:t>[EN 50124-1]</w:t>
            </w:r>
            <w:bookmarkEnd w:id="47"/>
          </w:p>
        </w:tc>
        <w:tc>
          <w:tcPr>
            <w:tcW w:w="7796" w:type="dxa"/>
          </w:tcPr>
          <w:p w14:paraId="03031489" w14:textId="0629FCE0" w:rsidR="0053759C" w:rsidRPr="00625DFE" w:rsidRDefault="0053759C" w:rsidP="0053759C">
            <w:pPr>
              <w:pStyle w:val="TableEntry"/>
              <w:rPr>
                <w:rFonts w:ascii="Arial" w:hAnsi="Arial" w:cs="Arial"/>
                <w:highlight w:val="yellow"/>
                <w:lang w:val="en-US"/>
              </w:rPr>
            </w:pPr>
            <w:bookmarkStart w:id="48" w:name="REF_EN_50124m1_2017_TITLE"/>
            <w:r w:rsidRPr="00625DFE">
              <w:rPr>
                <w:rFonts w:ascii="Arial" w:hAnsi="Arial" w:cs="Arial"/>
                <w:highlight w:val="yellow"/>
              </w:rPr>
              <w:t>EN 50124-1: 2017 Railway applications - Insulation coordination – Part 1: Basic requirements – Clearness and creepage distances for all electrical and electronic equipment</w:t>
            </w:r>
            <w:bookmarkEnd w:id="48"/>
          </w:p>
        </w:tc>
      </w:tr>
      <w:tr w:rsidR="0053759C" w:rsidRPr="00933B44" w14:paraId="47B1E471" w14:textId="77777777" w:rsidTr="6E4FF81E">
        <w:trPr>
          <w:cantSplit/>
        </w:trPr>
        <w:tc>
          <w:tcPr>
            <w:tcW w:w="1843" w:type="dxa"/>
          </w:tcPr>
          <w:p w14:paraId="313C9C8C" w14:textId="20543141" w:rsidR="0053759C" w:rsidRPr="00625DFE" w:rsidRDefault="0053759C" w:rsidP="0053759C">
            <w:pPr>
              <w:pStyle w:val="TableEntry"/>
              <w:rPr>
                <w:rFonts w:ascii="Arial" w:hAnsi="Arial" w:cs="Arial"/>
                <w:highlight w:val="yellow"/>
              </w:rPr>
            </w:pPr>
            <w:bookmarkStart w:id="49" w:name="REF_EN_50125m3_2003"/>
            <w:r w:rsidRPr="00625DFE">
              <w:rPr>
                <w:rFonts w:ascii="Arial" w:hAnsi="Arial" w:cs="Arial"/>
                <w:highlight w:val="yellow"/>
              </w:rPr>
              <w:t>[EN 50125-3]</w:t>
            </w:r>
            <w:bookmarkEnd w:id="49"/>
          </w:p>
        </w:tc>
        <w:tc>
          <w:tcPr>
            <w:tcW w:w="7796" w:type="dxa"/>
          </w:tcPr>
          <w:p w14:paraId="7D4E80D8" w14:textId="58F23E03" w:rsidR="0053759C" w:rsidRPr="00625DFE" w:rsidRDefault="0053759C" w:rsidP="0053759C">
            <w:pPr>
              <w:pStyle w:val="TableEntry"/>
              <w:rPr>
                <w:rFonts w:ascii="Arial" w:hAnsi="Arial" w:cs="Arial"/>
                <w:highlight w:val="yellow"/>
                <w:lang w:val="en-US"/>
              </w:rPr>
            </w:pPr>
            <w:bookmarkStart w:id="50" w:name="REF_EN_50125m3_2003_TITLE"/>
            <w:r w:rsidRPr="00625DFE">
              <w:rPr>
                <w:rFonts w:ascii="Arial" w:hAnsi="Arial" w:cs="Arial"/>
                <w:highlight w:val="yellow"/>
                <w:lang w:val="en-US"/>
              </w:rPr>
              <w:t xml:space="preserve">EN 50125-3:2003 +AC:2010: </w:t>
            </w:r>
            <w:r w:rsidRPr="00625DFE">
              <w:rPr>
                <w:rFonts w:ascii="Arial" w:hAnsi="Arial" w:cs="Arial"/>
                <w:highlight w:val="yellow"/>
              </w:rPr>
              <w:t>Railway applications - Environmental conditions for equipment - Part 3: Equipment for signalling and telecommunications</w:t>
            </w:r>
            <w:bookmarkEnd w:id="50"/>
          </w:p>
        </w:tc>
      </w:tr>
      <w:tr w:rsidR="0053759C" w:rsidRPr="00985EE5" w14:paraId="2F223B1F" w14:textId="77777777" w:rsidTr="6E4FF81E">
        <w:trPr>
          <w:cantSplit/>
        </w:trPr>
        <w:tc>
          <w:tcPr>
            <w:tcW w:w="1843" w:type="dxa"/>
          </w:tcPr>
          <w:p w14:paraId="5D78FFEF" w14:textId="6F26A775" w:rsidR="0053759C" w:rsidRPr="00625DFE" w:rsidRDefault="0053759C" w:rsidP="0053759C">
            <w:pPr>
              <w:pStyle w:val="TableEntry"/>
              <w:rPr>
                <w:rFonts w:ascii="Arial" w:hAnsi="Arial" w:cs="Arial"/>
              </w:rPr>
            </w:pPr>
            <w:bookmarkStart w:id="51" w:name="CEN_50126_1"/>
            <w:r w:rsidRPr="00625DFE">
              <w:rPr>
                <w:rFonts w:ascii="Arial" w:hAnsi="Arial" w:cs="Arial"/>
              </w:rPr>
              <w:t>[EN 50126-1]</w:t>
            </w:r>
            <w:bookmarkEnd w:id="51"/>
          </w:p>
        </w:tc>
        <w:tc>
          <w:tcPr>
            <w:tcW w:w="7796" w:type="dxa"/>
          </w:tcPr>
          <w:p w14:paraId="05FF5310" w14:textId="6E54EBCA" w:rsidR="0053759C" w:rsidRPr="00625DFE" w:rsidRDefault="0A98D289" w:rsidP="0053759C">
            <w:pPr>
              <w:pStyle w:val="TableEntry"/>
              <w:rPr>
                <w:rFonts w:ascii="Arial" w:hAnsi="Arial" w:cs="Arial"/>
                <w:lang w:val="de-AT"/>
              </w:rPr>
            </w:pPr>
            <w:r w:rsidRPr="00625DFE">
              <w:rPr>
                <w:rFonts w:ascii="Arial" w:hAnsi="Arial" w:cs="Arial"/>
                <w:lang w:val="de-AT"/>
              </w:rPr>
              <w:t>EN 50126:2017</w:t>
            </w:r>
            <w:r w:rsidR="635DCEFA" w:rsidRPr="00625DFE">
              <w:rPr>
                <w:rFonts w:ascii="Arial" w:hAnsi="Arial" w:cs="Arial"/>
                <w:lang w:val="de-AT"/>
              </w:rPr>
              <w:t>+A1:2024</w:t>
            </w:r>
            <w:r w:rsidRPr="00625DFE">
              <w:rPr>
                <w:rFonts w:ascii="Arial" w:hAnsi="Arial" w:cs="Arial"/>
                <w:lang w:val="de-AT"/>
              </w:rPr>
              <w:t xml:space="preserve"> Bahnanwendungen – Spezifikation und Nachweis der Zuverlässigkeit, Verfügbarkeit, Instandhaltbarkeit, Sicherheit (RAMS) – Teil 1: Generischer RAMS-Prozess</w:t>
            </w:r>
          </w:p>
        </w:tc>
      </w:tr>
      <w:tr w:rsidR="0053759C" w:rsidRPr="00985EE5" w14:paraId="55D18A8E" w14:textId="77777777" w:rsidTr="6E4FF81E">
        <w:trPr>
          <w:cantSplit/>
        </w:trPr>
        <w:tc>
          <w:tcPr>
            <w:tcW w:w="1843" w:type="dxa"/>
          </w:tcPr>
          <w:p w14:paraId="4CE273CF" w14:textId="38F31656" w:rsidR="0053759C" w:rsidRPr="00625DFE" w:rsidRDefault="0053759C" w:rsidP="0053759C">
            <w:pPr>
              <w:pStyle w:val="TableEntry"/>
              <w:rPr>
                <w:rFonts w:ascii="Arial" w:hAnsi="Arial" w:cs="Arial"/>
              </w:rPr>
            </w:pPr>
            <w:bookmarkStart w:id="52" w:name="CEN_50126_2"/>
            <w:r w:rsidRPr="00625DFE">
              <w:rPr>
                <w:rFonts w:ascii="Arial" w:hAnsi="Arial" w:cs="Arial"/>
              </w:rPr>
              <w:t>[EN 50126-2]</w:t>
            </w:r>
            <w:bookmarkEnd w:id="52"/>
          </w:p>
        </w:tc>
        <w:tc>
          <w:tcPr>
            <w:tcW w:w="7796" w:type="dxa"/>
          </w:tcPr>
          <w:p w14:paraId="26819F85" w14:textId="77777777" w:rsidR="0053759C" w:rsidRPr="00625DFE" w:rsidRDefault="0053759C" w:rsidP="0053759C">
            <w:pPr>
              <w:pStyle w:val="TableEntry"/>
              <w:rPr>
                <w:rFonts w:ascii="Arial" w:hAnsi="Arial" w:cs="Arial"/>
                <w:lang w:val="de-AT"/>
              </w:rPr>
            </w:pPr>
            <w:r w:rsidRPr="00625DFE">
              <w:rPr>
                <w:rFonts w:ascii="Arial" w:hAnsi="Arial" w:cs="Arial"/>
                <w:lang w:val="de-AT"/>
              </w:rPr>
              <w:t>EN 50126:2017 Bahnanwendungen – Spezifikation und Nachweis der Zuverlässigkeit, Verfügbarkeit, Instandhaltbarkeit, Sicherheit (RAMS) – Teil 2: Systembezogene Sicherheitsmethodik</w:t>
            </w:r>
          </w:p>
        </w:tc>
      </w:tr>
      <w:tr w:rsidR="0053759C" w:rsidRPr="00985EE5" w14:paraId="2F91B1C3" w14:textId="77777777" w:rsidTr="6E4FF81E">
        <w:trPr>
          <w:cantSplit/>
        </w:trPr>
        <w:tc>
          <w:tcPr>
            <w:tcW w:w="1843" w:type="dxa"/>
          </w:tcPr>
          <w:p w14:paraId="62BD503C" w14:textId="6D292792" w:rsidR="0053759C" w:rsidRPr="00625DFE" w:rsidRDefault="0053759C" w:rsidP="0053759C">
            <w:pPr>
              <w:pStyle w:val="TableEntry"/>
              <w:rPr>
                <w:rFonts w:ascii="Arial" w:hAnsi="Arial" w:cs="Arial"/>
              </w:rPr>
            </w:pPr>
            <w:bookmarkStart w:id="53" w:name="Cen_50129"/>
            <w:r w:rsidRPr="00625DFE">
              <w:rPr>
                <w:rFonts w:ascii="Arial" w:hAnsi="Arial" w:cs="Arial"/>
              </w:rPr>
              <w:t>[EN 50129]</w:t>
            </w:r>
            <w:bookmarkEnd w:id="53"/>
          </w:p>
        </w:tc>
        <w:tc>
          <w:tcPr>
            <w:tcW w:w="7796" w:type="dxa"/>
          </w:tcPr>
          <w:p w14:paraId="13BC0828" w14:textId="77777777" w:rsidR="0053759C" w:rsidRPr="00625DFE" w:rsidRDefault="0053759C" w:rsidP="0053759C">
            <w:pPr>
              <w:pStyle w:val="TableEntry"/>
              <w:rPr>
                <w:rFonts w:ascii="Arial" w:hAnsi="Arial" w:cs="Arial"/>
                <w:lang w:val="de-AT"/>
              </w:rPr>
            </w:pPr>
            <w:r w:rsidRPr="00625DFE">
              <w:rPr>
                <w:rFonts w:ascii="Arial" w:hAnsi="Arial" w:cs="Arial"/>
                <w:lang w:val="de-AT"/>
              </w:rPr>
              <w:t>EN 50129:2018 +AC:2019 Bahnanwendungen – Telekommunikationstechnik, Signaltechnik und Datensicherungssysteme; Sicherheitsrelevante elektronische Systeme für Signaltechnik</w:t>
            </w:r>
          </w:p>
        </w:tc>
      </w:tr>
      <w:tr w:rsidR="0053759C" w:rsidRPr="00985EE5" w14:paraId="217C1DEB" w14:textId="77777777" w:rsidTr="6E4FF81E">
        <w:trPr>
          <w:cantSplit/>
        </w:trPr>
        <w:tc>
          <w:tcPr>
            <w:tcW w:w="1843" w:type="dxa"/>
          </w:tcPr>
          <w:p w14:paraId="035D4768" w14:textId="0B9B5999" w:rsidR="0053759C" w:rsidRPr="00625DFE" w:rsidRDefault="0053759C" w:rsidP="0053759C">
            <w:pPr>
              <w:pStyle w:val="TableEntry"/>
              <w:rPr>
                <w:rFonts w:ascii="Arial" w:hAnsi="Arial" w:cs="Arial"/>
              </w:rPr>
            </w:pPr>
            <w:bookmarkStart w:id="54" w:name="Cen_50159"/>
            <w:r w:rsidRPr="00625DFE">
              <w:rPr>
                <w:rFonts w:ascii="Arial" w:hAnsi="Arial" w:cs="Arial"/>
              </w:rPr>
              <w:t>[EN 50159]</w:t>
            </w:r>
            <w:bookmarkEnd w:id="54"/>
          </w:p>
        </w:tc>
        <w:tc>
          <w:tcPr>
            <w:tcW w:w="7796" w:type="dxa"/>
          </w:tcPr>
          <w:p w14:paraId="2C8911C9" w14:textId="77777777" w:rsidR="0053759C" w:rsidRPr="00625DFE" w:rsidRDefault="0053759C" w:rsidP="0053759C">
            <w:pPr>
              <w:pStyle w:val="TableEntry"/>
              <w:rPr>
                <w:rFonts w:ascii="Arial" w:hAnsi="Arial" w:cs="Arial"/>
                <w:lang w:val="de-AT"/>
              </w:rPr>
            </w:pPr>
            <w:r w:rsidRPr="00625DFE">
              <w:rPr>
                <w:rFonts w:ascii="Arial" w:hAnsi="Arial" w:cs="Arial"/>
                <w:lang w:val="de-AT"/>
              </w:rPr>
              <w:t>EN 50159:2010 +A1:2020 – Bahnanwendungen – Telekommunikationstechnik, Signaltechnik und Datenverarbeitungssysteme – Sicherheitsrelevante Kommunikation in Übertragungssystemen</w:t>
            </w:r>
          </w:p>
        </w:tc>
      </w:tr>
      <w:tr w:rsidR="0053759C" w:rsidRPr="00985EE5" w14:paraId="74D18E31" w14:textId="77777777" w:rsidTr="6E4FF81E">
        <w:trPr>
          <w:cantSplit/>
        </w:trPr>
        <w:tc>
          <w:tcPr>
            <w:tcW w:w="1843" w:type="dxa"/>
          </w:tcPr>
          <w:p w14:paraId="3194884E" w14:textId="57E76EB3" w:rsidR="0053759C" w:rsidRPr="00625DFE" w:rsidRDefault="0053759C" w:rsidP="0053759C">
            <w:pPr>
              <w:pStyle w:val="TableEntry"/>
              <w:rPr>
                <w:rFonts w:ascii="Arial" w:hAnsi="Arial" w:cs="Arial"/>
              </w:rPr>
            </w:pPr>
            <w:bookmarkStart w:id="55" w:name="Cen_50716"/>
            <w:r w:rsidRPr="00625DFE">
              <w:rPr>
                <w:rFonts w:ascii="Arial" w:hAnsi="Arial" w:cs="Arial"/>
              </w:rPr>
              <w:t>[EN 50716]</w:t>
            </w:r>
            <w:bookmarkEnd w:id="55"/>
          </w:p>
        </w:tc>
        <w:tc>
          <w:tcPr>
            <w:tcW w:w="7796" w:type="dxa"/>
          </w:tcPr>
          <w:p w14:paraId="2A3DDA33" w14:textId="77777777" w:rsidR="0053759C" w:rsidRPr="00625DFE" w:rsidRDefault="0053759C" w:rsidP="0053759C">
            <w:pPr>
              <w:pStyle w:val="TableEntry"/>
              <w:rPr>
                <w:rFonts w:ascii="Arial" w:hAnsi="Arial" w:cs="Arial"/>
                <w:lang w:val="de-AT"/>
              </w:rPr>
            </w:pPr>
            <w:r w:rsidRPr="00625DFE">
              <w:rPr>
                <w:rFonts w:ascii="Arial" w:hAnsi="Arial" w:cs="Arial"/>
                <w:lang w:val="de-AT"/>
              </w:rPr>
              <w:t>EN 50716:2023 Bahnanwendungen –</w:t>
            </w:r>
          </w:p>
          <w:p w14:paraId="21E8A368" w14:textId="77777777" w:rsidR="0053759C" w:rsidRPr="00625DFE" w:rsidRDefault="0053759C" w:rsidP="0053759C">
            <w:pPr>
              <w:pStyle w:val="TableEntry"/>
              <w:rPr>
                <w:rFonts w:ascii="Arial" w:hAnsi="Arial" w:cs="Arial"/>
                <w:lang w:val="de-AT"/>
              </w:rPr>
            </w:pPr>
            <w:r w:rsidRPr="00625DFE">
              <w:rPr>
                <w:rFonts w:ascii="Arial" w:hAnsi="Arial" w:cs="Arial"/>
                <w:lang w:val="de-AT"/>
              </w:rPr>
              <w:t>Anforderungen für die Softwareentwicklung</w:t>
            </w:r>
          </w:p>
        </w:tc>
      </w:tr>
      <w:tr w:rsidR="008B3F3E" w:rsidRPr="00933B44" w14:paraId="3E440865" w14:textId="77777777" w:rsidTr="6E4FF81E">
        <w:trPr>
          <w:cantSplit/>
        </w:trPr>
        <w:tc>
          <w:tcPr>
            <w:tcW w:w="1843" w:type="dxa"/>
          </w:tcPr>
          <w:p w14:paraId="35BC9F68" w14:textId="699B830A" w:rsidR="008B3F3E" w:rsidRPr="00625DFE" w:rsidRDefault="008B3F3E" w:rsidP="008B3F3E">
            <w:pPr>
              <w:pStyle w:val="TableEntry"/>
              <w:rPr>
                <w:rFonts w:ascii="Arial" w:hAnsi="Arial" w:cs="Arial"/>
                <w:highlight w:val="yellow"/>
              </w:rPr>
            </w:pPr>
            <w:bookmarkStart w:id="56" w:name="REF_ASP"/>
            <w:r w:rsidRPr="00625DFE">
              <w:rPr>
                <w:rFonts w:ascii="Arial" w:hAnsi="Arial" w:cs="Arial"/>
                <w:highlight w:val="yellow"/>
              </w:rPr>
              <w:t>[ASP]</w:t>
            </w:r>
            <w:bookmarkEnd w:id="56"/>
          </w:p>
        </w:tc>
        <w:tc>
          <w:tcPr>
            <w:tcW w:w="7796" w:type="dxa"/>
          </w:tcPr>
          <w:p w14:paraId="203C2429" w14:textId="07842FF5" w:rsidR="008B3F3E" w:rsidRPr="00625DFE" w:rsidRDefault="008B3F3E" w:rsidP="008B3F3E">
            <w:pPr>
              <w:pStyle w:val="TableEntry"/>
              <w:rPr>
                <w:rFonts w:ascii="Arial" w:hAnsi="Arial" w:cs="Arial"/>
                <w:highlight w:val="yellow"/>
                <w:lang w:val="en-US"/>
              </w:rPr>
            </w:pPr>
            <w:bookmarkStart w:id="57" w:name="REF_ASP_TITLE"/>
            <w:r w:rsidRPr="00625DFE">
              <w:rPr>
                <w:rFonts w:ascii="Arial" w:hAnsi="Arial" w:cs="Arial"/>
                <w:highlight w:val="yellow"/>
              </w:rPr>
              <w:t>Assurance Safety Process</w:t>
            </w:r>
            <w:bookmarkEnd w:id="57"/>
            <w:r w:rsidRPr="00625DFE">
              <w:rPr>
                <w:rFonts w:ascii="Arial" w:hAnsi="Arial" w:cs="Arial"/>
                <w:highlight w:val="yellow"/>
              </w:rPr>
              <w:t xml:space="preserve">, </w:t>
            </w:r>
            <w:r w:rsidRPr="00625DFE">
              <w:rPr>
                <w:rFonts w:ascii="Arial" w:hAnsi="Arial" w:cs="Arial"/>
                <w:highlight w:val="yellow"/>
              </w:rPr>
              <w:br/>
            </w:r>
            <w:bookmarkStart w:id="58" w:name="REF_ASP_ANV"/>
            <w:r w:rsidRPr="00625DFE">
              <w:rPr>
                <w:rFonts w:ascii="Arial" w:hAnsi="Arial" w:cs="Arial"/>
                <w:highlight w:val="yellow"/>
              </w:rPr>
              <w:t>90000516-DDQ-AUT-EN</w:t>
            </w:r>
            <w:bookmarkEnd w:id="58"/>
            <w:r w:rsidRPr="00625DFE">
              <w:rPr>
                <w:rFonts w:ascii="Arial" w:hAnsi="Arial" w:cs="Arial"/>
                <w:highlight w:val="yellow"/>
              </w:rPr>
              <w:t>, Rev. 001</w:t>
            </w:r>
          </w:p>
        </w:tc>
      </w:tr>
      <w:tr w:rsidR="008B3F3E" w:rsidRPr="009733D6" w14:paraId="7E50929A" w14:textId="77777777" w:rsidTr="6E4FF81E">
        <w:trPr>
          <w:cantSplit/>
        </w:trPr>
        <w:tc>
          <w:tcPr>
            <w:tcW w:w="1843" w:type="dxa"/>
          </w:tcPr>
          <w:p w14:paraId="2648DD98" w14:textId="77777777" w:rsidR="008B3F3E" w:rsidRPr="00625DFE" w:rsidRDefault="008B3F3E" w:rsidP="008B3F3E">
            <w:pPr>
              <w:pStyle w:val="TableEntry"/>
              <w:rPr>
                <w:rFonts w:ascii="Arial" w:hAnsi="Arial" w:cs="Arial"/>
              </w:rPr>
            </w:pPr>
            <w:bookmarkStart w:id="59" w:name="ref_DOC_RULES"/>
            <w:r w:rsidRPr="00625DFE">
              <w:rPr>
                <w:rFonts w:ascii="Arial" w:hAnsi="Arial" w:cs="Arial"/>
              </w:rPr>
              <w:t>[DOC_RULES]</w:t>
            </w:r>
            <w:bookmarkEnd w:id="59"/>
          </w:p>
        </w:tc>
        <w:tc>
          <w:tcPr>
            <w:tcW w:w="7796" w:type="dxa"/>
          </w:tcPr>
          <w:p w14:paraId="5469EA5B" w14:textId="77777777" w:rsidR="008B3F3E" w:rsidRPr="00625DFE" w:rsidRDefault="008B3F3E" w:rsidP="008B3F3E">
            <w:pPr>
              <w:pStyle w:val="TableEntry"/>
              <w:rPr>
                <w:rFonts w:ascii="Arial" w:hAnsi="Arial" w:cs="Arial"/>
              </w:rPr>
            </w:pPr>
            <w:bookmarkStart w:id="60" w:name="full_DOC_RULES"/>
            <w:r w:rsidRPr="00625DFE">
              <w:rPr>
                <w:rFonts w:ascii="Arial" w:hAnsi="Arial" w:cs="Arial"/>
                <w:szCs w:val="18"/>
              </w:rPr>
              <w:t>Document Management Rules</w:t>
            </w:r>
            <w:bookmarkEnd w:id="60"/>
            <w:r w:rsidRPr="00625DFE">
              <w:rPr>
                <w:rFonts w:ascii="Arial" w:hAnsi="Arial" w:cs="Arial"/>
                <w:szCs w:val="18"/>
              </w:rPr>
              <w:t xml:space="preserve">, </w:t>
            </w:r>
            <w:r w:rsidRPr="00625DFE">
              <w:rPr>
                <w:rFonts w:ascii="Arial" w:hAnsi="Arial" w:cs="Arial"/>
              </w:rPr>
              <w:br w:type="textWrapping" w:clear="all"/>
            </w:r>
            <w:r w:rsidRPr="00625DFE">
              <w:rPr>
                <w:rFonts w:ascii="Arial" w:hAnsi="Arial" w:cs="Arial"/>
                <w:szCs w:val="18"/>
              </w:rPr>
              <w:t>83530061-DOC-AUT-EN, Rev. 014</w:t>
            </w:r>
          </w:p>
        </w:tc>
      </w:tr>
      <w:tr w:rsidR="008B3F3E" w:rsidRPr="00933B44" w14:paraId="69999BD2" w14:textId="77777777" w:rsidTr="6E4FF81E">
        <w:trPr>
          <w:cantSplit/>
        </w:trPr>
        <w:tc>
          <w:tcPr>
            <w:tcW w:w="1843" w:type="dxa"/>
          </w:tcPr>
          <w:p w14:paraId="5D53C062" w14:textId="17FEE17E" w:rsidR="008B3F3E" w:rsidRPr="00625DFE" w:rsidRDefault="008B3F3E" w:rsidP="008B3F3E">
            <w:pPr>
              <w:pStyle w:val="TableEntry"/>
              <w:rPr>
                <w:rFonts w:ascii="Arial" w:hAnsi="Arial" w:cs="Arial"/>
                <w:highlight w:val="yellow"/>
              </w:rPr>
            </w:pPr>
            <w:bookmarkStart w:id="61" w:name="REF_eTUP"/>
            <w:r w:rsidRPr="00625DFE">
              <w:rPr>
                <w:rFonts w:ascii="Arial" w:hAnsi="Arial" w:cs="Arial"/>
                <w:szCs w:val="18"/>
                <w:highlight w:val="yellow"/>
              </w:rPr>
              <w:t>[eTUP]</w:t>
            </w:r>
            <w:bookmarkEnd w:id="61"/>
          </w:p>
        </w:tc>
        <w:tc>
          <w:tcPr>
            <w:tcW w:w="7796" w:type="dxa"/>
          </w:tcPr>
          <w:p w14:paraId="710861B7" w14:textId="28E226EF" w:rsidR="008B3F3E" w:rsidRPr="00625DFE" w:rsidRDefault="008B3F3E" w:rsidP="008B3F3E">
            <w:pPr>
              <w:pStyle w:val="TableEntry"/>
              <w:rPr>
                <w:rFonts w:ascii="Arial" w:hAnsi="Arial" w:cs="Arial"/>
                <w:szCs w:val="18"/>
                <w:highlight w:val="yellow"/>
              </w:rPr>
            </w:pPr>
            <w:bookmarkStart w:id="62" w:name="REF_eTUP_TITLE"/>
            <w:r w:rsidRPr="00625DFE">
              <w:rPr>
                <w:rFonts w:ascii="Arial" w:hAnsi="Arial" w:cs="Arial"/>
                <w:szCs w:val="18"/>
                <w:highlight w:val="yellow"/>
              </w:rPr>
              <w:t>Engineering practices and tools portal</w:t>
            </w:r>
            <w:bookmarkEnd w:id="62"/>
            <w:r w:rsidRPr="00625DFE">
              <w:rPr>
                <w:rFonts w:ascii="Arial" w:hAnsi="Arial" w:cs="Arial"/>
                <w:szCs w:val="18"/>
                <w:highlight w:val="yellow"/>
              </w:rPr>
              <w:br/>
              <w:t xml:space="preserve">see </w:t>
            </w:r>
            <w:hyperlink r:id="rId13" w:history="1">
              <w:r w:rsidRPr="00625DFE">
                <w:rPr>
                  <w:rStyle w:val="Hyperlink"/>
                  <w:rFonts w:cs="Arial"/>
                  <w:color w:val="auto"/>
                  <w:highlight w:val="yellow"/>
                </w:rPr>
                <w:t>https://etup.de.gts/group/index.html</w:t>
              </w:r>
            </w:hyperlink>
            <w:r w:rsidRPr="00625DFE">
              <w:rPr>
                <w:rFonts w:ascii="Arial" w:hAnsi="Arial" w:cs="Arial"/>
                <w:highlight w:val="yellow"/>
              </w:rPr>
              <w:t xml:space="preserve"> (Intranet)</w:t>
            </w:r>
          </w:p>
        </w:tc>
      </w:tr>
      <w:tr w:rsidR="00F122F5" w:rsidRPr="00933B44" w14:paraId="56D02313" w14:textId="77777777" w:rsidTr="6E4FF81E">
        <w:trPr>
          <w:cantSplit/>
        </w:trPr>
        <w:tc>
          <w:tcPr>
            <w:tcW w:w="1843" w:type="dxa"/>
          </w:tcPr>
          <w:p w14:paraId="0C9BB1E4" w14:textId="048E87BC" w:rsidR="00F122F5" w:rsidRPr="00625DFE" w:rsidRDefault="00F122F5" w:rsidP="00F122F5">
            <w:pPr>
              <w:pStyle w:val="TableEntry"/>
              <w:rPr>
                <w:rFonts w:ascii="Arial" w:hAnsi="Arial" w:cs="Arial"/>
                <w:szCs w:val="18"/>
                <w:highlight w:val="yellow"/>
              </w:rPr>
            </w:pPr>
            <w:bookmarkStart w:id="63" w:name="REF_INS_TOOLS"/>
            <w:r w:rsidRPr="00625DFE">
              <w:rPr>
                <w:rFonts w:ascii="Arial" w:hAnsi="Arial" w:cs="Arial"/>
                <w:highlight w:val="yellow"/>
              </w:rPr>
              <w:t>[INS_TOOLS]</w:t>
            </w:r>
            <w:bookmarkEnd w:id="63"/>
          </w:p>
        </w:tc>
        <w:tc>
          <w:tcPr>
            <w:tcW w:w="7796" w:type="dxa"/>
          </w:tcPr>
          <w:p w14:paraId="4C042A1B" w14:textId="16E7A667" w:rsidR="00F122F5" w:rsidRPr="00625DFE" w:rsidRDefault="00F122F5" w:rsidP="00F122F5">
            <w:pPr>
              <w:pStyle w:val="TableEntry"/>
              <w:rPr>
                <w:rFonts w:ascii="Arial" w:hAnsi="Arial" w:cs="Arial"/>
                <w:szCs w:val="18"/>
                <w:highlight w:val="yellow"/>
              </w:rPr>
            </w:pPr>
            <w:bookmarkStart w:id="64" w:name="REF_INS_TOOLS_TITLE"/>
            <w:r w:rsidRPr="00625DFE">
              <w:rPr>
                <w:rFonts w:ascii="Arial" w:hAnsi="Arial" w:cs="Arial"/>
                <w:highlight w:val="yellow"/>
              </w:rPr>
              <w:t>Instruction: Design, Develop and Qualify the Solution Tool Management</w:t>
            </w:r>
            <w:bookmarkEnd w:id="64"/>
            <w:r w:rsidRPr="00625DFE">
              <w:rPr>
                <w:rFonts w:ascii="Arial" w:hAnsi="Arial" w:cs="Arial"/>
                <w:highlight w:val="yellow"/>
              </w:rPr>
              <w:t xml:space="preserve">, </w:t>
            </w:r>
            <w:r w:rsidRPr="00625DFE">
              <w:rPr>
                <w:rFonts w:ascii="Arial" w:hAnsi="Arial" w:cs="Arial"/>
                <w:highlight w:val="yellow"/>
              </w:rPr>
              <w:br/>
            </w:r>
            <w:bookmarkStart w:id="65" w:name="REF_INS_TOOLS_ANV"/>
            <w:r w:rsidRPr="00625DFE">
              <w:rPr>
                <w:rFonts w:ascii="Arial" w:hAnsi="Arial" w:cs="Arial"/>
                <w:highlight w:val="yellow"/>
              </w:rPr>
              <w:t>83530186-DDQ-AUT-EN</w:t>
            </w:r>
            <w:bookmarkEnd w:id="65"/>
            <w:r w:rsidRPr="00625DFE">
              <w:rPr>
                <w:rFonts w:ascii="Arial" w:hAnsi="Arial" w:cs="Arial"/>
                <w:highlight w:val="yellow"/>
              </w:rPr>
              <w:t>, Rev. 004</w:t>
            </w:r>
          </w:p>
        </w:tc>
      </w:tr>
      <w:tr w:rsidR="00F122F5" w:rsidRPr="009733D6" w14:paraId="2A8B38F5" w14:textId="77777777" w:rsidTr="6E4FF81E">
        <w:trPr>
          <w:cantSplit/>
        </w:trPr>
        <w:tc>
          <w:tcPr>
            <w:tcW w:w="1843" w:type="dxa"/>
          </w:tcPr>
          <w:p w14:paraId="20001D2C" w14:textId="17DD1617" w:rsidR="00F122F5" w:rsidRPr="00625DFE" w:rsidRDefault="00F122F5" w:rsidP="00F122F5">
            <w:pPr>
              <w:pStyle w:val="TableEntry"/>
              <w:rPr>
                <w:rFonts w:ascii="Arial" w:hAnsi="Arial" w:cs="Arial"/>
                <w:highlight w:val="yellow"/>
              </w:rPr>
            </w:pPr>
            <w:bookmarkStart w:id="66" w:name="REF_GTS_Mgmt_Sys"/>
            <w:r w:rsidRPr="00625DFE">
              <w:rPr>
                <w:rFonts w:ascii="Arial" w:hAnsi="Arial" w:cs="Arial"/>
                <w:szCs w:val="18"/>
                <w:highlight w:val="yellow"/>
              </w:rPr>
              <w:lastRenderedPageBreak/>
              <w:t>[Mgmt_Sys]</w:t>
            </w:r>
            <w:bookmarkEnd w:id="66"/>
          </w:p>
        </w:tc>
        <w:tc>
          <w:tcPr>
            <w:tcW w:w="7796" w:type="dxa"/>
          </w:tcPr>
          <w:p w14:paraId="3F6BEDB6" w14:textId="1B160CD1" w:rsidR="00F122F5" w:rsidRPr="00625DFE" w:rsidRDefault="00F122F5" w:rsidP="00F122F5">
            <w:pPr>
              <w:pStyle w:val="TableEntry"/>
              <w:rPr>
                <w:rFonts w:ascii="Arial" w:hAnsi="Arial" w:cs="Arial"/>
                <w:szCs w:val="18"/>
                <w:highlight w:val="yellow"/>
              </w:rPr>
            </w:pPr>
            <w:bookmarkStart w:id="67" w:name="REF_GTS_Mgmt_Sys_TITLE"/>
            <w:r w:rsidRPr="00625DFE">
              <w:rPr>
                <w:rFonts w:ascii="Arial" w:hAnsi="Arial" w:cs="Arial"/>
                <w:szCs w:val="18"/>
                <w:highlight w:val="yellow"/>
              </w:rPr>
              <w:t>Management System</w:t>
            </w:r>
            <w:bookmarkEnd w:id="67"/>
            <w:r w:rsidRPr="00625DFE">
              <w:rPr>
                <w:rFonts w:ascii="Arial" w:hAnsi="Arial" w:cs="Arial"/>
                <w:szCs w:val="18"/>
                <w:highlight w:val="yellow"/>
              </w:rPr>
              <w:br/>
              <w:t xml:space="preserve">see </w:t>
            </w:r>
            <w:hyperlink r:id="rId14" w:history="1">
              <w:r w:rsidRPr="00625DFE">
                <w:rPr>
                  <w:rStyle w:val="Hyperlink"/>
                  <w:rFonts w:cs="Arial"/>
                  <w:szCs w:val="18"/>
                  <w:highlight w:val="yellow"/>
                </w:rPr>
                <w:t>Management System</w:t>
              </w:r>
            </w:hyperlink>
            <w:r w:rsidRPr="00625DFE">
              <w:rPr>
                <w:rFonts w:ascii="Arial" w:hAnsi="Arial" w:cs="Arial"/>
                <w:szCs w:val="18"/>
                <w:highlight w:val="yellow"/>
              </w:rPr>
              <w:t xml:space="preserve"> (Intranet)</w:t>
            </w:r>
          </w:p>
        </w:tc>
      </w:tr>
      <w:tr w:rsidR="00F122F5" w:rsidRPr="00933B44" w14:paraId="73DEAB5D" w14:textId="77777777" w:rsidTr="6E4FF81E">
        <w:trPr>
          <w:cantSplit/>
        </w:trPr>
        <w:tc>
          <w:tcPr>
            <w:tcW w:w="1843" w:type="dxa"/>
          </w:tcPr>
          <w:p w14:paraId="74150D36" w14:textId="77777777" w:rsidR="00F122F5" w:rsidRPr="00625DFE" w:rsidRDefault="00F122F5" w:rsidP="00F122F5">
            <w:pPr>
              <w:pStyle w:val="TableEntry"/>
              <w:rPr>
                <w:rFonts w:ascii="Arial" w:hAnsi="Arial" w:cs="Arial"/>
                <w:highlight w:val="yellow"/>
              </w:rPr>
            </w:pPr>
            <w:bookmarkStart w:id="68" w:name="ref_SafetyEng"/>
            <w:r w:rsidRPr="00625DFE">
              <w:rPr>
                <w:rFonts w:ascii="Arial" w:hAnsi="Arial" w:cs="Arial"/>
                <w:highlight w:val="yellow"/>
              </w:rPr>
              <w:t>[SafetyEng]</w:t>
            </w:r>
            <w:bookmarkEnd w:id="68"/>
          </w:p>
        </w:tc>
        <w:tc>
          <w:tcPr>
            <w:tcW w:w="7796" w:type="dxa"/>
          </w:tcPr>
          <w:p w14:paraId="66A8C6C7" w14:textId="77777777" w:rsidR="00F122F5" w:rsidRPr="00625DFE" w:rsidRDefault="00F122F5" w:rsidP="00F122F5">
            <w:pPr>
              <w:pStyle w:val="TableEntry"/>
              <w:keepNext/>
              <w:rPr>
                <w:rFonts w:ascii="Arial" w:hAnsi="Arial" w:cs="Arial"/>
                <w:highlight w:val="yellow"/>
              </w:rPr>
            </w:pPr>
            <w:bookmarkStart w:id="69" w:name="full_SafetyEng"/>
            <w:r w:rsidRPr="00625DFE">
              <w:rPr>
                <w:rFonts w:ascii="Arial" w:hAnsi="Arial" w:cs="Arial"/>
                <w:szCs w:val="18"/>
                <w:highlight w:val="yellow"/>
                <w:lang w:val="en-US"/>
              </w:rPr>
              <w:t>Safety Engineering Instruction</w:t>
            </w:r>
            <w:bookmarkEnd w:id="69"/>
            <w:r w:rsidRPr="00625DFE">
              <w:rPr>
                <w:rFonts w:ascii="Arial" w:hAnsi="Arial" w:cs="Arial"/>
                <w:szCs w:val="18"/>
                <w:highlight w:val="yellow"/>
                <w:lang w:val="en-US"/>
              </w:rPr>
              <w:t xml:space="preserve">, </w:t>
            </w:r>
            <w:r w:rsidRPr="00625DFE">
              <w:rPr>
                <w:rFonts w:ascii="Arial" w:hAnsi="Arial" w:cs="Arial"/>
                <w:highlight w:val="yellow"/>
                <w:lang w:val="en-US"/>
              </w:rPr>
              <w:br w:type="textWrapping" w:clear="all"/>
            </w:r>
            <w:r w:rsidRPr="00625DFE">
              <w:rPr>
                <w:rFonts w:ascii="Arial" w:hAnsi="Arial" w:cs="Arial"/>
                <w:szCs w:val="18"/>
                <w:highlight w:val="yellow"/>
                <w:lang w:val="en-US"/>
              </w:rPr>
              <w:t>87204905-DDQ-GRP-EN, Rev. 007</w:t>
            </w:r>
          </w:p>
        </w:tc>
      </w:tr>
    </w:tbl>
    <w:p w14:paraId="4060FE47" w14:textId="52A04CB4" w:rsidR="00D3696D" w:rsidRPr="009733D6" w:rsidRDefault="0083585D">
      <w:pPr>
        <w:pStyle w:val="Caption"/>
        <w:rPr>
          <w:highlight w:val="yellow"/>
        </w:rPr>
      </w:pPr>
      <w:bookmarkStart w:id="70" w:name="_Toc114389005"/>
      <w:bookmarkStart w:id="71" w:name="_Toc239147720"/>
      <w:bookmarkStart w:id="72" w:name="_Toc318814578"/>
      <w:r w:rsidRPr="009733D6">
        <w:rPr>
          <w:highlight w:val="yellow"/>
        </w:rPr>
        <w:t xml:space="preserve">Tabelle </w:t>
      </w:r>
      <w:r w:rsidRPr="009733D6">
        <w:rPr>
          <w:highlight w:val="yellow"/>
        </w:rPr>
        <w:fldChar w:fldCharType="begin"/>
      </w:r>
      <w:r w:rsidRPr="009733D6">
        <w:rPr>
          <w:highlight w:val="yellow"/>
        </w:rPr>
        <w:instrText xml:space="preserve"> SEQ Tabelle \* ARABIC </w:instrText>
      </w:r>
      <w:r w:rsidRPr="009733D6">
        <w:rPr>
          <w:highlight w:val="yellow"/>
        </w:rPr>
        <w:fldChar w:fldCharType="separate"/>
      </w:r>
      <w:r w:rsidR="00886C7C">
        <w:rPr>
          <w:noProof/>
          <w:highlight w:val="yellow"/>
        </w:rPr>
        <w:t>2</w:t>
      </w:r>
      <w:r w:rsidRPr="009733D6">
        <w:rPr>
          <w:highlight w:val="yellow"/>
        </w:rPr>
        <w:fldChar w:fldCharType="end"/>
      </w:r>
      <w:r w:rsidRPr="009733D6">
        <w:rPr>
          <w:highlight w:val="yellow"/>
        </w:rPr>
        <w:t>: Normen und Prozeduren</w:t>
      </w:r>
      <w:bookmarkEnd w:id="70"/>
      <w:bookmarkEnd w:id="71"/>
    </w:p>
    <w:p w14:paraId="6407CE6B" w14:textId="77777777" w:rsidR="00D3696D" w:rsidRPr="009733D6" w:rsidRDefault="0083585D">
      <w:pPr>
        <w:pStyle w:val="Heading2"/>
        <w:keepLines w:val="0"/>
        <w:tabs>
          <w:tab w:val="clear" w:pos="1080"/>
          <w:tab w:val="num" w:pos="720"/>
        </w:tabs>
        <w:spacing w:before="480" w:after="120" w:line="240" w:lineRule="auto"/>
        <w:ind w:left="0" w:firstLine="0"/>
        <w:rPr>
          <w:highlight w:val="yellow"/>
        </w:rPr>
      </w:pPr>
      <w:bookmarkStart w:id="73" w:name="_Toc476198966"/>
      <w:bookmarkStart w:id="74" w:name="_Ref25304310"/>
      <w:bookmarkStart w:id="75" w:name="_Toc242167522"/>
      <w:bookmarkEnd w:id="72"/>
      <w:r w:rsidRPr="009733D6">
        <w:rPr>
          <w:highlight w:val="yellow"/>
        </w:rPr>
        <w:t xml:space="preserve">Begriffe, Definitionen und </w:t>
      </w:r>
      <w:bookmarkEnd w:id="73"/>
      <w:r w:rsidRPr="009733D6">
        <w:rPr>
          <w:highlight w:val="yellow"/>
        </w:rPr>
        <w:t>Abkürzungen</w:t>
      </w:r>
      <w:bookmarkEnd w:id="74"/>
      <w:bookmarkEnd w:id="75"/>
    </w:p>
    <w:p w14:paraId="1A86DCE7" w14:textId="0DE23398" w:rsidR="00D3696D" w:rsidRPr="009733D6" w:rsidRDefault="0083585D">
      <w:pPr>
        <w:pStyle w:val="Paragraph"/>
        <w:rPr>
          <w:highlight w:val="yellow"/>
          <w:lang w:val="de-AT"/>
        </w:rPr>
      </w:pPr>
      <w:r w:rsidRPr="009733D6">
        <w:rPr>
          <w:highlight w:val="yellow"/>
          <w:lang w:val="de-AT"/>
        </w:rPr>
        <w:t xml:space="preserve">Verwendete Begriffe, Definitionen und Abkürzungen für das </w:t>
      </w:r>
      <w:r w:rsidRPr="009733D6">
        <w:rPr>
          <w:color w:val="FF0000"/>
          <w:highlight w:val="yellow"/>
        </w:rPr>
        <w:fldChar w:fldCharType="begin"/>
      </w:r>
      <w:r w:rsidRPr="009733D6">
        <w:rPr>
          <w:highlight w:val="yellow"/>
          <w:lang w:val="de-AT"/>
        </w:rPr>
        <w:instrText xml:space="preserve"> REF AA_OUC \h </w:instrText>
      </w:r>
      <w:r w:rsidR="009733D6" w:rsidRPr="009733D6">
        <w:rPr>
          <w:color w:val="FF0000"/>
          <w:highlight w:val="yellow"/>
          <w:lang w:val="de-AT"/>
        </w:rPr>
        <w:instrText xml:space="preserve"> \* MERGEFORMAT </w:instrText>
      </w:r>
      <w:r w:rsidRPr="009733D6">
        <w:rPr>
          <w:color w:val="FF0000"/>
          <w:highlight w:val="yellow"/>
        </w:rPr>
      </w:r>
      <w:r w:rsidRPr="009733D6">
        <w:rPr>
          <w:color w:val="FF0000"/>
          <w:highlight w:val="yellow"/>
        </w:rPr>
        <w:fldChar w:fldCharType="separate"/>
      </w:r>
      <w:r w:rsidR="00371A83" w:rsidRPr="00371A83">
        <w:rPr>
          <w:highlight w:val="yellow"/>
          <w:lang w:val="de-AT"/>
        </w:rPr>
        <w:t>technische Projekt DFE</w:t>
      </w:r>
      <w:r w:rsidRPr="009733D6">
        <w:rPr>
          <w:color w:val="FF0000"/>
          <w:highlight w:val="yellow"/>
        </w:rPr>
        <w:fldChar w:fldCharType="end"/>
      </w:r>
      <w:r w:rsidRPr="009733D6">
        <w:rPr>
          <w:highlight w:val="yellow"/>
          <w:lang w:val="de-AT"/>
        </w:rPr>
        <w:t xml:space="preserve"> sind in </w:t>
      </w:r>
      <w:r w:rsidRPr="009733D6">
        <w:rPr>
          <w:highlight w:val="yellow"/>
        </w:rPr>
        <w:fldChar w:fldCharType="begin"/>
      </w:r>
      <w:r w:rsidRPr="009733D6">
        <w:rPr>
          <w:highlight w:val="yellow"/>
          <w:lang w:val="de-AT"/>
        </w:rPr>
        <w:instrText xml:space="preserve"> REF REF_ABBR_EL_TITLE \h  \* MERGEFORMAT \* MERGEFORMAT </w:instrText>
      </w:r>
      <w:r w:rsidRPr="009733D6">
        <w:rPr>
          <w:highlight w:val="yellow"/>
        </w:rPr>
      </w:r>
      <w:r w:rsidRPr="009733D6">
        <w:rPr>
          <w:highlight w:val="yellow"/>
        </w:rPr>
        <w:fldChar w:fldCharType="separate"/>
      </w:r>
      <w:r w:rsidR="00371A83" w:rsidRPr="00371A83">
        <w:rPr>
          <w:highlight w:val="yellow"/>
          <w:lang w:val="de-AT"/>
        </w:rPr>
        <w:t>ELEKTRA 2.x System, Glossary: Definitions, Acronyms and Abbreviations</w:t>
      </w:r>
      <w:r w:rsidRPr="009733D6">
        <w:rPr>
          <w:highlight w:val="yellow"/>
        </w:rPr>
        <w:fldChar w:fldCharType="end"/>
      </w:r>
      <w:r w:rsidRPr="009733D6">
        <w:rPr>
          <w:highlight w:val="yellow"/>
          <w:lang w:val="de-AT"/>
        </w:rPr>
        <w:t xml:space="preserve"> </w:t>
      </w:r>
      <w:r w:rsidRPr="009733D6">
        <w:rPr>
          <w:highlight w:val="yellow"/>
        </w:rPr>
        <w:fldChar w:fldCharType="begin"/>
      </w:r>
      <w:r w:rsidRPr="009733D6">
        <w:rPr>
          <w:highlight w:val="yellow"/>
          <w:lang w:val="de-AT"/>
        </w:rPr>
        <w:instrText xml:space="preserve"> REF REF_ABBR_EL \h  \* MERGEFORMAT \* MERGEFORMAT </w:instrText>
      </w:r>
      <w:r w:rsidRPr="009733D6">
        <w:rPr>
          <w:highlight w:val="yellow"/>
        </w:rPr>
      </w:r>
      <w:r w:rsidRPr="009733D6">
        <w:rPr>
          <w:highlight w:val="yellow"/>
        </w:rPr>
        <w:fldChar w:fldCharType="separate"/>
      </w:r>
      <w:r w:rsidR="00371A83" w:rsidRPr="00371A83">
        <w:rPr>
          <w:highlight w:val="yellow"/>
          <w:lang w:val="de-AT"/>
        </w:rPr>
        <w:t>[ABBR EL]</w:t>
      </w:r>
      <w:r w:rsidRPr="009733D6">
        <w:rPr>
          <w:highlight w:val="yellow"/>
        </w:rPr>
        <w:fldChar w:fldCharType="end"/>
      </w:r>
      <w:r w:rsidRPr="009733D6">
        <w:rPr>
          <w:highlight w:val="yellow"/>
          <w:lang w:val="de-AT"/>
        </w:rPr>
        <w:t xml:space="preserve"> aufgelistet.</w:t>
      </w:r>
    </w:p>
    <w:p w14:paraId="42D55153" w14:textId="77777777" w:rsidR="00D3696D" w:rsidRPr="009733D6" w:rsidRDefault="0083585D">
      <w:pPr>
        <w:pStyle w:val="Paragraph"/>
        <w:rPr>
          <w:highlight w:val="yellow"/>
          <w:lang w:val="de-AT"/>
        </w:rPr>
      </w:pPr>
      <w:r w:rsidRPr="009733D6">
        <w:rPr>
          <w:highlight w:val="yellow"/>
          <w:lang w:val="de-AT"/>
        </w:rPr>
        <w:t>Zusätzlich in diesem Dokument verwendete Begriffe, Definitionen und Abkürzungen sind in nachfolgender Tabelle zusammengefasst:</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67"/>
        <w:gridCol w:w="8172"/>
      </w:tblGrid>
      <w:tr w:rsidR="00D3696D" w:rsidRPr="009733D6" w14:paraId="7FD8AC81" w14:textId="77777777">
        <w:trPr>
          <w:cantSplit/>
        </w:trPr>
        <w:tc>
          <w:tcPr>
            <w:tcW w:w="761" w:type="pct"/>
          </w:tcPr>
          <w:p w14:paraId="0C9DBAF7" w14:textId="77777777" w:rsidR="00D3696D" w:rsidRPr="009733D6" w:rsidRDefault="0083585D">
            <w:pPr>
              <w:pStyle w:val="TableEntry"/>
              <w:rPr>
                <w:highlight w:val="yellow"/>
              </w:rPr>
            </w:pPr>
            <w:r w:rsidRPr="009733D6">
              <w:rPr>
                <w:highlight w:val="yellow"/>
              </w:rPr>
              <w:t>BAU</w:t>
            </w:r>
          </w:p>
        </w:tc>
        <w:tc>
          <w:tcPr>
            <w:tcW w:w="4239" w:type="pct"/>
          </w:tcPr>
          <w:p w14:paraId="1A1A5918" w14:textId="77777777" w:rsidR="00D3696D" w:rsidRPr="009733D6" w:rsidRDefault="0083585D">
            <w:pPr>
              <w:pStyle w:val="TableEntry"/>
              <w:rPr>
                <w:highlight w:val="yellow"/>
              </w:rPr>
            </w:pPr>
            <w:r w:rsidRPr="009733D6">
              <w:rPr>
                <w:highlight w:val="yellow"/>
              </w:rPr>
              <w:t>Block Adaption Unit</w:t>
            </w:r>
          </w:p>
        </w:tc>
      </w:tr>
      <w:tr w:rsidR="00D3696D" w:rsidRPr="00985EE5" w14:paraId="6F707920" w14:textId="77777777">
        <w:trPr>
          <w:cantSplit/>
        </w:trPr>
        <w:tc>
          <w:tcPr>
            <w:tcW w:w="761" w:type="pct"/>
          </w:tcPr>
          <w:p w14:paraId="365ED94F" w14:textId="77777777" w:rsidR="00D3696D" w:rsidRPr="009733D6" w:rsidRDefault="0083585D">
            <w:pPr>
              <w:pStyle w:val="TableEntry"/>
              <w:rPr>
                <w:highlight w:val="yellow"/>
              </w:rPr>
            </w:pPr>
            <w:bookmarkStart w:id="76" w:name="full_cenelec"/>
            <w:r w:rsidRPr="009733D6">
              <w:rPr>
                <w:highlight w:val="yellow"/>
              </w:rPr>
              <w:t>CENELEC</w:t>
            </w:r>
            <w:bookmarkEnd w:id="76"/>
          </w:p>
        </w:tc>
        <w:tc>
          <w:tcPr>
            <w:tcW w:w="4239" w:type="pct"/>
          </w:tcPr>
          <w:p w14:paraId="6FC37CB2" w14:textId="77777777" w:rsidR="00D3696D" w:rsidRPr="009733D6" w:rsidRDefault="0083585D">
            <w:pPr>
              <w:pStyle w:val="TableEntry"/>
              <w:rPr>
                <w:highlight w:val="yellow"/>
                <w:lang w:val="de-AT"/>
              </w:rPr>
            </w:pPr>
            <w:r w:rsidRPr="009733D6">
              <w:rPr>
                <w:highlight w:val="yellow"/>
                <w:lang w:val="de-AT"/>
              </w:rPr>
              <w:t>Comité Européen de Normalisation Electrotechnique</w:t>
            </w:r>
          </w:p>
          <w:p w14:paraId="3993A011" w14:textId="77777777" w:rsidR="00D3696D" w:rsidRPr="009733D6" w:rsidRDefault="0083585D">
            <w:pPr>
              <w:pStyle w:val="TableEntry"/>
              <w:rPr>
                <w:highlight w:val="yellow"/>
                <w:lang w:val="de-AT"/>
              </w:rPr>
            </w:pPr>
            <w:r w:rsidRPr="009733D6">
              <w:rPr>
                <w:highlight w:val="yellow"/>
                <w:lang w:val="de-AT"/>
              </w:rPr>
              <w:t>(</w:t>
            </w:r>
            <w:r w:rsidRPr="009733D6">
              <w:rPr>
                <w:rFonts w:ascii="Helvetica" w:hAnsi="Helvetica" w:cs="Helvetica"/>
                <w:highlight w:val="yellow"/>
                <w:lang w:val="de-AT" w:eastAsia="de-AT"/>
              </w:rPr>
              <w:t>Europäisches Komitee für Elektrotechnische Normung</w:t>
            </w:r>
            <w:r w:rsidRPr="009733D6">
              <w:rPr>
                <w:highlight w:val="yellow"/>
                <w:lang w:val="de-AT"/>
              </w:rPr>
              <w:t>)</w:t>
            </w:r>
          </w:p>
        </w:tc>
      </w:tr>
      <w:tr w:rsidR="00D3696D" w:rsidRPr="009733D6" w14:paraId="5A1ED68B" w14:textId="77777777">
        <w:trPr>
          <w:cantSplit/>
        </w:trPr>
        <w:tc>
          <w:tcPr>
            <w:tcW w:w="761" w:type="pct"/>
          </w:tcPr>
          <w:p w14:paraId="48E3AF5E" w14:textId="77777777" w:rsidR="00D3696D" w:rsidRPr="009733D6" w:rsidRDefault="0083585D">
            <w:pPr>
              <w:pStyle w:val="TableEntry"/>
              <w:rPr>
                <w:highlight w:val="yellow"/>
              </w:rPr>
            </w:pPr>
            <w:r w:rsidRPr="009733D6">
              <w:rPr>
                <w:highlight w:val="yellow"/>
              </w:rPr>
              <w:t>PWM</w:t>
            </w:r>
          </w:p>
        </w:tc>
        <w:tc>
          <w:tcPr>
            <w:tcW w:w="4239" w:type="pct"/>
          </w:tcPr>
          <w:p w14:paraId="61CB94F8" w14:textId="77777777" w:rsidR="00D3696D" w:rsidRPr="009733D6" w:rsidRDefault="0083585D">
            <w:pPr>
              <w:pStyle w:val="TableEntry"/>
              <w:rPr>
                <w:highlight w:val="yellow"/>
              </w:rPr>
            </w:pPr>
            <w:r w:rsidRPr="009733D6">
              <w:rPr>
                <w:highlight w:val="yellow"/>
              </w:rPr>
              <w:t>Pulsweitenmodulation</w:t>
            </w:r>
          </w:p>
        </w:tc>
      </w:tr>
      <w:tr w:rsidR="00D3696D" w:rsidRPr="00933B44" w14:paraId="2617F2CF" w14:textId="77777777">
        <w:trPr>
          <w:cantSplit/>
        </w:trPr>
        <w:tc>
          <w:tcPr>
            <w:tcW w:w="761" w:type="pct"/>
          </w:tcPr>
          <w:p w14:paraId="6C197446" w14:textId="77777777" w:rsidR="00D3696D" w:rsidRPr="009733D6" w:rsidRDefault="0083585D">
            <w:pPr>
              <w:pStyle w:val="TableEntry"/>
              <w:rPr>
                <w:highlight w:val="yellow"/>
              </w:rPr>
            </w:pPr>
            <w:r w:rsidRPr="009733D6">
              <w:rPr>
                <w:highlight w:val="yellow"/>
              </w:rPr>
              <w:t>Safety Engineering Authority</w:t>
            </w:r>
          </w:p>
        </w:tc>
        <w:tc>
          <w:tcPr>
            <w:tcW w:w="4239" w:type="pct"/>
          </w:tcPr>
          <w:p w14:paraId="278EA335" w14:textId="110FE044" w:rsidR="00D3696D" w:rsidRPr="009733D6" w:rsidRDefault="0083585D">
            <w:pPr>
              <w:pStyle w:val="TableEntry"/>
              <w:rPr>
                <w:highlight w:val="yellow"/>
                <w:lang w:val="en-US"/>
              </w:rPr>
            </w:pPr>
            <w:r w:rsidRPr="009733D6">
              <w:rPr>
                <w:highlight w:val="yellow"/>
                <w:lang w:val="en-US"/>
              </w:rPr>
              <w:t xml:space="preserve">Entsprechend </w:t>
            </w:r>
            <w:r w:rsidRPr="009733D6">
              <w:rPr>
                <w:highlight w:val="yellow"/>
              </w:rPr>
              <w:fldChar w:fldCharType="begin"/>
            </w:r>
            <w:r w:rsidRPr="009733D6">
              <w:rPr>
                <w:highlight w:val="yellow"/>
                <w:lang w:val="en-US"/>
              </w:rPr>
              <w:instrText xml:space="preserve"> REF ref_SafetyEng \h  \* MERGEFORMAT </w:instrText>
            </w:r>
            <w:r w:rsidRPr="009733D6">
              <w:rPr>
                <w:highlight w:val="yellow"/>
              </w:rPr>
            </w:r>
            <w:r w:rsidRPr="009733D6">
              <w:rPr>
                <w:highlight w:val="yellow"/>
              </w:rPr>
              <w:fldChar w:fldCharType="separate"/>
            </w:r>
            <w:r w:rsidR="00371A83" w:rsidRPr="00371A83">
              <w:rPr>
                <w:highlight w:val="yellow"/>
                <w:lang w:val="en-US"/>
              </w:rPr>
              <w:t>[SafetyEng]</w:t>
            </w:r>
            <w:r w:rsidRPr="009733D6">
              <w:rPr>
                <w:highlight w:val="yellow"/>
              </w:rPr>
              <w:fldChar w:fldCharType="end"/>
            </w:r>
            <w:r w:rsidRPr="009733D6">
              <w:rPr>
                <w:highlight w:val="yellow"/>
                <w:lang w:val="en-US"/>
              </w:rPr>
              <w:t>: “A Senior Manager with delegated responsibility for accepting the Solution Safety Case on behalf of Hitachi Rail Austria.”</w:t>
            </w:r>
          </w:p>
        </w:tc>
      </w:tr>
    </w:tbl>
    <w:p w14:paraId="7FCABEC5" w14:textId="212D6D1E" w:rsidR="00D3696D" w:rsidRPr="009733D6" w:rsidRDefault="0083585D">
      <w:pPr>
        <w:pStyle w:val="Caption"/>
        <w:rPr>
          <w:highlight w:val="yellow"/>
        </w:rPr>
      </w:pPr>
      <w:bookmarkStart w:id="77" w:name="_Toc321146010"/>
      <w:bookmarkStart w:id="78" w:name="_Toc239147721"/>
      <w:r w:rsidRPr="009733D6">
        <w:rPr>
          <w:highlight w:val="yellow"/>
        </w:rPr>
        <w:t xml:space="preserve">Tabelle </w:t>
      </w:r>
      <w:r w:rsidRPr="009733D6">
        <w:rPr>
          <w:highlight w:val="yellow"/>
        </w:rPr>
        <w:fldChar w:fldCharType="begin"/>
      </w:r>
      <w:r w:rsidRPr="009733D6">
        <w:rPr>
          <w:highlight w:val="yellow"/>
        </w:rPr>
        <w:instrText xml:space="preserve"> SEQ Tabelle \* ARABIC </w:instrText>
      </w:r>
      <w:r w:rsidRPr="009733D6">
        <w:rPr>
          <w:highlight w:val="yellow"/>
        </w:rPr>
        <w:fldChar w:fldCharType="separate"/>
      </w:r>
      <w:r w:rsidR="00886C7C">
        <w:rPr>
          <w:noProof/>
          <w:highlight w:val="yellow"/>
        </w:rPr>
        <w:t>3</w:t>
      </w:r>
      <w:r w:rsidRPr="009733D6">
        <w:rPr>
          <w:highlight w:val="yellow"/>
        </w:rPr>
        <w:fldChar w:fldCharType="end"/>
      </w:r>
      <w:r w:rsidRPr="009733D6">
        <w:rPr>
          <w:highlight w:val="yellow"/>
        </w:rPr>
        <w:t>: Begriffe, Definitionen und Abkürzungen</w:t>
      </w:r>
      <w:bookmarkEnd w:id="77"/>
      <w:bookmarkEnd w:id="78"/>
    </w:p>
    <w:p w14:paraId="20058806" w14:textId="4F314B58" w:rsidR="00D3696D" w:rsidRPr="00092B10" w:rsidRDefault="0083585D">
      <w:pPr>
        <w:pStyle w:val="Heading1"/>
      </w:pPr>
      <w:bookmarkStart w:id="79" w:name="_Definition_of_System"/>
      <w:bookmarkStart w:id="80" w:name="_Ref224127078"/>
      <w:bookmarkStart w:id="81" w:name="_Ref239699159"/>
      <w:bookmarkStart w:id="82" w:name="_Toc242167523"/>
      <w:bookmarkEnd w:id="79"/>
      <w:r w:rsidRPr="00092B10">
        <w:lastRenderedPageBreak/>
        <w:t xml:space="preserve">SYSTEMÜBERSICHT </w:t>
      </w:r>
      <w:bookmarkEnd w:id="80"/>
      <w:r w:rsidR="00092B10" w:rsidRPr="00092B10">
        <w:t>DFE</w:t>
      </w:r>
      <w:bookmarkEnd w:id="81"/>
      <w:bookmarkEnd w:id="82"/>
    </w:p>
    <w:p w14:paraId="0F401CC8" w14:textId="77777777" w:rsidR="00D3696D" w:rsidRPr="003B41D7" w:rsidRDefault="0083585D">
      <w:pPr>
        <w:pStyle w:val="Heading2"/>
        <w:keepLines w:val="0"/>
        <w:tabs>
          <w:tab w:val="clear" w:pos="1080"/>
          <w:tab w:val="num" w:pos="720"/>
        </w:tabs>
        <w:spacing w:before="480" w:after="120" w:line="240" w:lineRule="auto"/>
        <w:ind w:left="0" w:firstLine="0"/>
      </w:pPr>
      <w:bookmarkStart w:id="83" w:name="_Ref25378310"/>
      <w:bookmarkStart w:id="84" w:name="_Toc242167524"/>
      <w:r w:rsidRPr="003B41D7">
        <w:t>Systemstruktur</w:t>
      </w:r>
      <w:bookmarkEnd w:id="83"/>
      <w:bookmarkEnd w:id="84"/>
    </w:p>
    <w:p w14:paraId="65ED9FC0" w14:textId="77777777" w:rsidR="004975AB" w:rsidRPr="004975AB" w:rsidRDefault="004975AB" w:rsidP="004975AB">
      <w:pPr>
        <w:pStyle w:val="Paragraph"/>
        <w:rPr>
          <w:lang w:val="de-AT"/>
        </w:rPr>
      </w:pPr>
      <w:r w:rsidRPr="004975AB">
        <w:rPr>
          <w:lang w:val="de-AT"/>
        </w:rPr>
        <w:t>Das technische Projekt DFE stellt die sichere Anbindung von Feldelementen und Bestandssystemen an das Digitale Stellwerk (Digital Interlocking, DIL) bereit. Hierzu werden Field Element Stations (FES), Object Controller (OC) und Interface Converter (IFC) eingesetzt, welche die Kommunikation zwischen den zentralen Stellwerksfunktionen und den an der Strecke installierten Außenanlagen ermöglichen.</w:t>
      </w:r>
    </w:p>
    <w:p w14:paraId="3BCDAA5E" w14:textId="77777777" w:rsidR="00851B8A" w:rsidRPr="00851B8A" w:rsidRDefault="00851B8A" w:rsidP="00851B8A">
      <w:pPr>
        <w:pStyle w:val="Paragraph"/>
        <w:rPr>
          <w:lang w:val="de-AT"/>
        </w:rPr>
      </w:pPr>
      <w:r w:rsidRPr="00851B8A">
        <w:rPr>
          <w:lang w:val="de-AT"/>
        </w:rPr>
        <w:t>Die DFE-Architektur basiert auf dem EULYNX-Prinzip der funktionalen Trennung zwischen Stellwerkslogik und objektbezogenen Funktionen im Feld. Die sicherheitsrelevante Verarbeitung erfolgt dabei innerhalb der jeweiligen sicherheitsrelevanten DFE-Subsysteme beziehungsweise der hierfür eingesetzten Object Controller und Interface Converter.</w:t>
      </w:r>
    </w:p>
    <w:p w14:paraId="6D618ED5" w14:textId="39861300" w:rsidR="00037A8F" w:rsidRPr="007B3788" w:rsidRDefault="00851B8A" w:rsidP="00851B8A">
      <w:pPr>
        <w:pStyle w:val="Paragraph"/>
        <w:rPr>
          <w:lang w:val="de-AT"/>
        </w:rPr>
      </w:pPr>
      <w:r w:rsidRPr="00851B8A">
        <w:rPr>
          <w:lang w:val="de-AT"/>
        </w:rPr>
        <w:t>Die Field Element Stations (FES) stellen die für den Betrieb der DFE-Subsysteme erforderliche Infrastruktur bereit. Sie unterstützen die Integration der DFE-Subsysteme innerhalb der DFE-Architektur, führen jedoch keine eigenständigen Sicherheitsfunktionen aus.</w:t>
      </w:r>
      <w:r w:rsidR="00A8355F" w:rsidRPr="007B3788">
        <w:rPr>
          <w:lang w:val="de-AT"/>
        </w:rPr>
        <w:t>D</w:t>
      </w:r>
      <w:r w:rsidR="007B3788" w:rsidRPr="007B3788">
        <w:rPr>
          <w:lang w:val="de-AT"/>
        </w:rPr>
        <w:t xml:space="preserve">as </w:t>
      </w:r>
      <w:r w:rsidR="007B3788" w:rsidRPr="007B3788">
        <w:rPr>
          <w:lang w:val="de-AT"/>
        </w:rPr>
        <w:fldChar w:fldCharType="begin"/>
      </w:r>
      <w:r w:rsidR="007B3788" w:rsidRPr="007B3788">
        <w:rPr>
          <w:lang w:val="de-AT"/>
        </w:rPr>
        <w:instrText xml:space="preserve"> REF AA_OUC \h </w:instrText>
      </w:r>
      <w:r w:rsidR="007B3788">
        <w:rPr>
          <w:lang w:val="de-AT"/>
        </w:rPr>
        <w:instrText xml:space="preserve"> \* MERGEFORMAT </w:instrText>
      </w:r>
      <w:r w:rsidR="007B3788" w:rsidRPr="007B3788">
        <w:rPr>
          <w:lang w:val="de-AT"/>
        </w:rPr>
      </w:r>
      <w:r w:rsidR="007B3788" w:rsidRPr="007B3788">
        <w:rPr>
          <w:lang w:val="de-AT"/>
        </w:rPr>
        <w:fldChar w:fldCharType="separate"/>
      </w:r>
      <w:r w:rsidR="007B3788" w:rsidRPr="007B3788">
        <w:rPr>
          <w:iCs w:val="0"/>
          <w:lang w:val="de-AT"/>
        </w:rPr>
        <w:t>technische Projekt DFE</w:t>
      </w:r>
      <w:r w:rsidR="007B3788" w:rsidRPr="007B3788">
        <w:rPr>
          <w:lang w:val="de-AT"/>
        </w:rPr>
        <w:fldChar w:fldCharType="end"/>
      </w:r>
      <w:r w:rsidR="007B3788" w:rsidRPr="007B3788">
        <w:rPr>
          <w:lang w:val="de-AT"/>
        </w:rPr>
        <w:t xml:space="preserve"> umfasst insbesonders</w:t>
      </w:r>
      <w:r w:rsidR="00037A8F" w:rsidRPr="007B3788">
        <w:rPr>
          <w:lang w:val="de-AT"/>
        </w:rPr>
        <w:t>:</w:t>
      </w:r>
    </w:p>
    <w:p w14:paraId="7E188AA2" w14:textId="77777777" w:rsidR="00037A8F" w:rsidRPr="007B3788" w:rsidRDefault="00037A8F" w:rsidP="00362C69">
      <w:pPr>
        <w:pStyle w:val="Paragraph"/>
        <w:numPr>
          <w:ilvl w:val="0"/>
          <w:numId w:val="25"/>
        </w:numPr>
        <w:rPr>
          <w:lang w:val="en-US"/>
        </w:rPr>
      </w:pPr>
      <w:r w:rsidRPr="007B3788">
        <w:rPr>
          <w:lang w:val="en-US"/>
        </w:rPr>
        <w:t>Object Controller (OC)</w:t>
      </w:r>
    </w:p>
    <w:p w14:paraId="0E8B5A4C" w14:textId="77777777" w:rsidR="00037A8F" w:rsidRPr="007B3788" w:rsidRDefault="00037A8F" w:rsidP="00362C69">
      <w:pPr>
        <w:pStyle w:val="Paragraph"/>
        <w:numPr>
          <w:ilvl w:val="0"/>
          <w:numId w:val="25"/>
        </w:numPr>
        <w:rPr>
          <w:lang w:val="en-US"/>
        </w:rPr>
      </w:pPr>
      <w:r w:rsidRPr="007B3788">
        <w:rPr>
          <w:lang w:val="en-US"/>
        </w:rPr>
        <w:t>Field Element Stations (FES)</w:t>
      </w:r>
    </w:p>
    <w:p w14:paraId="1313C963" w14:textId="55CCBAB0" w:rsidR="00037A8F" w:rsidRPr="007B3788" w:rsidRDefault="007B3788" w:rsidP="00362C69">
      <w:pPr>
        <w:pStyle w:val="Paragraph"/>
        <w:numPr>
          <w:ilvl w:val="0"/>
          <w:numId w:val="25"/>
        </w:numPr>
        <w:rPr>
          <w:lang w:val="de-AT"/>
        </w:rPr>
      </w:pPr>
      <w:r w:rsidRPr="007B3788">
        <w:rPr>
          <w:lang w:val="de-AT"/>
        </w:rPr>
        <w:t>Interface Converter</w:t>
      </w:r>
      <w:r w:rsidR="00037A8F" w:rsidRPr="007B3788">
        <w:rPr>
          <w:lang w:val="de-AT"/>
        </w:rPr>
        <w:t xml:space="preserve"> </w:t>
      </w:r>
      <w:r w:rsidRPr="007B3788">
        <w:rPr>
          <w:lang w:val="de-AT"/>
        </w:rPr>
        <w:t>(IFC)</w:t>
      </w:r>
    </w:p>
    <w:p w14:paraId="7921A225" w14:textId="7EAB11F2" w:rsidR="00037A8F" w:rsidRPr="007B3788" w:rsidRDefault="007B3788" w:rsidP="00362C69">
      <w:pPr>
        <w:pStyle w:val="Paragraph"/>
        <w:numPr>
          <w:ilvl w:val="0"/>
          <w:numId w:val="25"/>
        </w:numPr>
        <w:rPr>
          <w:lang w:val="de-AT"/>
        </w:rPr>
      </w:pPr>
      <w:r w:rsidRPr="007B3788">
        <w:rPr>
          <w:lang w:val="de-AT"/>
        </w:rPr>
        <w:t>Kommunikations- und Integrationsschnittstellen innerhalb der DFE-Architektur</w:t>
      </w:r>
    </w:p>
    <w:p w14:paraId="1A5654B6" w14:textId="1B7C05EA" w:rsidR="00037A8F" w:rsidRPr="007B3788" w:rsidRDefault="007B3788" w:rsidP="00362C69">
      <w:pPr>
        <w:pStyle w:val="Paragraph"/>
        <w:numPr>
          <w:ilvl w:val="0"/>
          <w:numId w:val="25"/>
        </w:numPr>
        <w:rPr>
          <w:lang w:val="de-AT"/>
        </w:rPr>
      </w:pPr>
      <w:r w:rsidRPr="007B3788">
        <w:rPr>
          <w:lang w:val="de-AT"/>
        </w:rPr>
        <w:t>sowie Schnittstellen zu übergeordneten Systemen und Feldsystemen.</w:t>
      </w:r>
    </w:p>
    <w:p w14:paraId="2155C639" w14:textId="77777777" w:rsidR="00BE0450" w:rsidRPr="00BE0450" w:rsidRDefault="00BE0450" w:rsidP="00BE0450">
      <w:pPr>
        <w:pStyle w:val="Paragraph"/>
        <w:rPr>
          <w:lang w:val="de-AT"/>
        </w:rPr>
      </w:pPr>
      <w:r w:rsidRPr="00BE0450">
        <w:rPr>
          <w:lang w:val="de-AT"/>
        </w:rPr>
        <w:t>Die Interface Converter dienen der Anbindung von Bestandssystemen an die Architektur des Digitalen Stellwerks. Zu den Interface Convertern gehören die DFE-Subsysteme IFC-ZG62 und IFC-Sbl60A.</w:t>
      </w:r>
    </w:p>
    <w:p w14:paraId="54C4BEE1" w14:textId="17AEB916" w:rsidR="00BE0450" w:rsidRPr="00BE0450" w:rsidRDefault="00BE0450" w:rsidP="00BE0450">
      <w:pPr>
        <w:pStyle w:val="Paragraph"/>
        <w:rPr>
          <w:lang w:val="de-AT"/>
        </w:rPr>
      </w:pPr>
      <w:r w:rsidRPr="00BE0450">
        <w:rPr>
          <w:lang w:val="de-AT"/>
        </w:rPr>
        <w:t>Die Object Controller stellen die objektbezogenen Funktionen im Feld bereit. Zu den Object Controllern g</w:t>
      </w:r>
      <w:r>
        <w:rPr>
          <w:lang w:val="de-AT"/>
        </w:rPr>
        <w:t>e</w:t>
      </w:r>
      <w:r w:rsidRPr="00BE0450">
        <w:rPr>
          <w:lang w:val="de-AT"/>
        </w:rPr>
        <w:t>hören die DFE-Subsysteme IFC-LCSI, OC-DCA3 und OC-AzLM.</w:t>
      </w:r>
    </w:p>
    <w:p w14:paraId="71800D74" w14:textId="1013885F" w:rsidR="00037A8F" w:rsidRDefault="00037A8F" w:rsidP="00037A8F">
      <w:pPr>
        <w:pStyle w:val="Paragraph"/>
        <w:rPr>
          <w:lang w:val="de-AT"/>
        </w:rPr>
      </w:pPr>
      <w:r w:rsidRPr="007B3788">
        <w:rPr>
          <w:lang w:val="de-AT"/>
        </w:rPr>
        <w:t xml:space="preserve">Die grundlegende Struktur ist in </w:t>
      </w:r>
      <w:r w:rsidRPr="007B3788">
        <w:rPr>
          <w:lang w:val="de-AT"/>
        </w:rPr>
        <w:fldChar w:fldCharType="begin"/>
      </w:r>
      <w:r w:rsidRPr="007B3788">
        <w:rPr>
          <w:lang w:val="de-AT"/>
        </w:rPr>
        <w:instrText xml:space="preserve"> REF _Ref237613863 \h </w:instrText>
      </w:r>
      <w:r w:rsidR="00DC74A1" w:rsidRPr="007B3788">
        <w:rPr>
          <w:lang w:val="de-AT"/>
        </w:rPr>
        <w:instrText xml:space="preserve"> \* MERGEFORMAT </w:instrText>
      </w:r>
      <w:r w:rsidRPr="007B3788">
        <w:rPr>
          <w:lang w:val="de-AT"/>
        </w:rPr>
      </w:r>
      <w:r w:rsidRPr="007B3788">
        <w:rPr>
          <w:lang w:val="de-AT"/>
        </w:rPr>
        <w:fldChar w:fldCharType="separate"/>
      </w:r>
      <w:r w:rsidR="00371A83" w:rsidRPr="007B3788">
        <w:rPr>
          <w:lang w:val="de-AT"/>
        </w:rPr>
        <w:t xml:space="preserve">Abbildung </w:t>
      </w:r>
      <w:r w:rsidR="00371A83" w:rsidRPr="007B3788">
        <w:rPr>
          <w:noProof/>
          <w:lang w:val="de-AT"/>
        </w:rPr>
        <w:t>1</w:t>
      </w:r>
      <w:r w:rsidRPr="007B3788">
        <w:rPr>
          <w:lang w:val="de-AT"/>
        </w:rPr>
        <w:fldChar w:fldCharType="end"/>
      </w:r>
      <w:r w:rsidRPr="007B3788">
        <w:rPr>
          <w:lang w:val="de-AT"/>
        </w:rPr>
        <w:t xml:space="preserve"> dargestellt.</w:t>
      </w:r>
    </w:p>
    <w:p w14:paraId="324B000E" w14:textId="53C3BADD" w:rsidR="009C2D84" w:rsidRDefault="00D17CCF" w:rsidP="009C2D84">
      <w:pPr>
        <w:pStyle w:val="Figure"/>
      </w:pPr>
      <w:r>
        <w:object w:dxaOrig="4445" w:dyaOrig="3336" w14:anchorId="446E3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1pt;height:309.3pt" o:ole="">
            <v:imagedata r:id="rId15" o:title="" croptop="15564f" cropbottom="5060f" cropleft="443f" cropright="12943f"/>
          </v:shape>
          <o:OLEObject Type="Embed" ProgID="PowerPoint.Slide.12" ShapeID="_x0000_i1025" DrawAspect="Content" ObjectID="_1853313992" r:id="rId16"/>
        </w:object>
      </w:r>
    </w:p>
    <w:p w14:paraId="024DDA5A" w14:textId="7EE981F2" w:rsidR="009C2D84" w:rsidRPr="00037A8F" w:rsidRDefault="009C2D84" w:rsidP="009C2D84">
      <w:pPr>
        <w:pStyle w:val="Caption"/>
      </w:pPr>
      <w:bookmarkStart w:id="85" w:name="_Ref237613863"/>
      <w:bookmarkStart w:id="86" w:name="_Ref239148312"/>
      <w:bookmarkStart w:id="87" w:name="_Toc242167545"/>
      <w:r w:rsidRPr="00037A8F">
        <w:t xml:space="preserve">Abbildung </w:t>
      </w:r>
      <w:r>
        <w:fldChar w:fldCharType="begin"/>
      </w:r>
      <w:r w:rsidRPr="00037A8F">
        <w:instrText xml:space="preserve"> SEQ Abbildung \* ARABIC </w:instrText>
      </w:r>
      <w:r>
        <w:fldChar w:fldCharType="separate"/>
      </w:r>
      <w:r w:rsidR="00371A83">
        <w:rPr>
          <w:noProof/>
        </w:rPr>
        <w:t>1</w:t>
      </w:r>
      <w:r>
        <w:fldChar w:fldCharType="end"/>
      </w:r>
      <w:bookmarkEnd w:id="85"/>
      <w:r w:rsidRPr="00037A8F">
        <w:t xml:space="preserve">: </w:t>
      </w:r>
      <w:r w:rsidRPr="009B3D3D">
        <w:t xml:space="preserve">Grundlegende Struktur der </w:t>
      </w:r>
      <w:r>
        <w:t>DFE</w:t>
      </w:r>
      <w:bookmarkEnd w:id="86"/>
      <w:bookmarkEnd w:id="87"/>
    </w:p>
    <w:p w14:paraId="4FB9A3FB" w14:textId="610E275A" w:rsidR="009C2D84" w:rsidRPr="00DC74A1" w:rsidRDefault="009C2D84" w:rsidP="009C2D84">
      <w:pPr>
        <w:pStyle w:val="Paragraph"/>
        <w:rPr>
          <w:highlight w:val="green"/>
          <w:lang w:val="de-AT"/>
        </w:rPr>
      </w:pPr>
      <w:r w:rsidRPr="00DC74A1">
        <w:rPr>
          <w:highlight w:val="green"/>
          <w:lang w:val="de-AT"/>
        </w:rPr>
        <w:t xml:space="preserve">Nicht Bestandteil des </w:t>
      </w:r>
      <w:r w:rsidR="00A8355F" w:rsidRPr="00DC74A1">
        <w:rPr>
          <w:highlight w:val="green"/>
          <w:lang w:val="de-AT"/>
        </w:rPr>
        <w:t>Projekts DFE</w:t>
      </w:r>
      <w:r w:rsidRPr="00DC74A1">
        <w:rPr>
          <w:highlight w:val="green"/>
          <w:lang w:val="de-AT"/>
        </w:rPr>
        <w:t xml:space="preserve"> sind insbesondere:</w:t>
      </w:r>
    </w:p>
    <w:p w14:paraId="1FD4B6F1" w14:textId="77777777" w:rsidR="009C2D84" w:rsidRPr="00DC74A1" w:rsidRDefault="009C2D84" w:rsidP="00362C69">
      <w:pPr>
        <w:pStyle w:val="Paragraph"/>
        <w:numPr>
          <w:ilvl w:val="0"/>
          <w:numId w:val="28"/>
        </w:numPr>
        <w:spacing w:before="60"/>
        <w:ind w:left="714" w:hanging="357"/>
        <w:rPr>
          <w:highlight w:val="green"/>
          <w:lang w:val="de-AT"/>
        </w:rPr>
      </w:pPr>
      <w:r w:rsidRPr="00DC74A1">
        <w:rPr>
          <w:highlight w:val="green"/>
          <w:lang w:val="de-AT"/>
        </w:rPr>
        <w:t>das Digitale Stellwerk bzw. die Virtual Interlocking Komponenten (VIL),</w:t>
      </w:r>
    </w:p>
    <w:p w14:paraId="3E7AFE76" w14:textId="77777777" w:rsidR="009C2D84" w:rsidRPr="00DC74A1" w:rsidRDefault="009C2D84" w:rsidP="00362C69">
      <w:pPr>
        <w:pStyle w:val="Paragraph"/>
        <w:numPr>
          <w:ilvl w:val="0"/>
          <w:numId w:val="28"/>
        </w:numPr>
        <w:spacing w:before="60"/>
        <w:ind w:left="714" w:hanging="357"/>
        <w:rPr>
          <w:highlight w:val="green"/>
          <w:lang w:val="en-US"/>
        </w:rPr>
      </w:pPr>
      <w:r w:rsidRPr="00DC74A1">
        <w:rPr>
          <w:highlight w:val="green"/>
          <w:lang w:val="en-US"/>
        </w:rPr>
        <w:t>die Data and Diagnostic Service Platform (DDSP),</w:t>
      </w:r>
    </w:p>
    <w:p w14:paraId="0F80D694" w14:textId="77777777" w:rsidR="009C2D84" w:rsidRPr="00DC74A1" w:rsidRDefault="009C2D84" w:rsidP="00362C69">
      <w:pPr>
        <w:pStyle w:val="Paragraph"/>
        <w:numPr>
          <w:ilvl w:val="0"/>
          <w:numId w:val="28"/>
        </w:numPr>
        <w:spacing w:before="60"/>
        <w:ind w:left="714" w:hanging="357"/>
        <w:jc w:val="left"/>
        <w:rPr>
          <w:highlight w:val="green"/>
          <w:lang w:val="de-AT"/>
        </w:rPr>
      </w:pPr>
      <w:r w:rsidRPr="00DC74A1">
        <w:rPr>
          <w:highlight w:val="green"/>
          <w:lang w:val="de-AT"/>
        </w:rPr>
        <w:t>die angeschlossenen Feldelemente (z. B. Weichen, Signale, Achszähler oder Eisenbahnkreuzungssicherungsanlagen),</w:t>
      </w:r>
    </w:p>
    <w:p w14:paraId="157BC4BA" w14:textId="77777777" w:rsidR="00A227CE" w:rsidRPr="00DC74A1" w:rsidRDefault="009C2D84" w:rsidP="00362C69">
      <w:pPr>
        <w:pStyle w:val="Paragraph"/>
        <w:numPr>
          <w:ilvl w:val="0"/>
          <w:numId w:val="28"/>
        </w:numPr>
        <w:spacing w:before="60"/>
        <w:ind w:left="714" w:hanging="357"/>
        <w:jc w:val="left"/>
        <w:rPr>
          <w:highlight w:val="green"/>
          <w:lang w:val="de-AT"/>
        </w:rPr>
      </w:pPr>
      <w:r w:rsidRPr="00DC74A1">
        <w:rPr>
          <w:highlight w:val="green"/>
          <w:lang w:val="de-AT"/>
        </w:rPr>
        <w:t>kundenseitig bereitgestellte Infrastrukturkomponenten wie Energieversorgung, Netzwerkkomponenten und Übertragungsnetze</w:t>
      </w:r>
      <w:r w:rsidR="00A227CE" w:rsidRPr="00DC74A1">
        <w:rPr>
          <w:highlight w:val="green"/>
          <w:lang w:val="de-AT"/>
        </w:rPr>
        <w:t>,</w:t>
      </w:r>
    </w:p>
    <w:p w14:paraId="5CB499D8" w14:textId="6A7F35B3" w:rsidR="009C2D84" w:rsidRPr="00DC74A1" w:rsidRDefault="00E1327C" w:rsidP="00362C69">
      <w:pPr>
        <w:pStyle w:val="Paragraph"/>
        <w:numPr>
          <w:ilvl w:val="0"/>
          <w:numId w:val="28"/>
        </w:numPr>
        <w:spacing w:before="60"/>
        <w:ind w:left="714" w:hanging="357"/>
        <w:rPr>
          <w:highlight w:val="green"/>
          <w:lang w:val="de-AT"/>
        </w:rPr>
      </w:pPr>
      <w:r w:rsidRPr="00E1327C">
        <w:rPr>
          <w:lang w:val="de-AT"/>
        </w:rPr>
        <w:t>die sicherheitstechnische Bewertung der Nachbarsubsysteme selbst.</w:t>
      </w:r>
    </w:p>
    <w:p w14:paraId="177EE882" w14:textId="5F743612" w:rsidR="009C2D84" w:rsidRPr="00DC74A1" w:rsidRDefault="00E1327C" w:rsidP="009C2D84">
      <w:pPr>
        <w:pStyle w:val="Paragraph"/>
        <w:rPr>
          <w:highlight w:val="green"/>
          <w:lang w:val="de-AT"/>
        </w:rPr>
      </w:pPr>
      <w:r w:rsidRPr="00E1327C">
        <w:rPr>
          <w:lang w:val="de-AT"/>
        </w:rPr>
        <w:t xml:space="preserve">Die Verantwortung des DFE-Projekts umfasst die Spezifikation, Entwicklung, Integration, Verifikation und Validierung der DFE-Subsysteme sowie die Bewertung der Integrationsvoraussetzungen und Schnittstellenbedingungen für deren sichere Einbindung in die DFE-Architektur. Für </w:t>
      </w:r>
      <w:r w:rsidR="00A73843" w:rsidRPr="00A73843">
        <w:rPr>
          <w:lang w:val="de-AT"/>
        </w:rPr>
        <w:t>externe Teilsysteme, die durch Lieferorganisationen oder externe Lieferanten bereitgestellt werden</w:t>
      </w:r>
      <w:r w:rsidRPr="00E1327C">
        <w:rPr>
          <w:lang w:val="de-AT"/>
        </w:rPr>
        <w:t>, beschränkt sich die Verantwortung des DFE-Projekts auf die Bewertung der Integration sowie die Berücksichtigung der jeweiligen Safety Related Application Conditions (SRACs).</w:t>
      </w:r>
    </w:p>
    <w:p w14:paraId="60DC0524" w14:textId="77777777" w:rsidR="00037A8F" w:rsidRPr="00DC74A1" w:rsidRDefault="00037A8F" w:rsidP="00037A8F">
      <w:pPr>
        <w:pStyle w:val="Paragraph"/>
        <w:rPr>
          <w:b/>
          <w:bCs/>
          <w:highlight w:val="green"/>
          <w:lang w:val="de-AT"/>
        </w:rPr>
      </w:pPr>
      <w:r w:rsidRPr="00DC74A1">
        <w:rPr>
          <w:b/>
          <w:bCs/>
          <w:highlight w:val="green"/>
          <w:lang w:val="de-AT"/>
        </w:rPr>
        <w:t>Lieferumfang und Verantwortlichkeiten</w:t>
      </w:r>
    </w:p>
    <w:p w14:paraId="0C6DF3F3" w14:textId="77777777" w:rsidR="00037A8F" w:rsidRPr="00DC74A1" w:rsidRDefault="00037A8F" w:rsidP="00037A8F">
      <w:pPr>
        <w:pStyle w:val="Paragraph"/>
        <w:rPr>
          <w:highlight w:val="green"/>
          <w:lang w:val="de-AT"/>
        </w:rPr>
      </w:pPr>
      <w:r w:rsidRPr="00DC74A1">
        <w:rPr>
          <w:highlight w:val="green"/>
          <w:lang w:val="de-AT"/>
        </w:rPr>
        <w:t>Innerhalb der DFE-Gesamtarchitektur werden sowohl projektspezifisch entwickelte Komponenten als auch durch andere Hitachi-Rail-Organisationen bereitgestellte Subsysteme integriert.</w:t>
      </w:r>
    </w:p>
    <w:p w14:paraId="529647EC" w14:textId="01D3743F" w:rsidR="00037A8F" w:rsidRPr="00DC74A1" w:rsidRDefault="00037A8F" w:rsidP="00037A8F">
      <w:pPr>
        <w:pStyle w:val="Paragraph"/>
        <w:rPr>
          <w:highlight w:val="green"/>
          <w:lang w:val="de-AT"/>
        </w:rPr>
      </w:pPr>
      <w:r w:rsidRPr="00DC74A1">
        <w:rPr>
          <w:highlight w:val="green"/>
          <w:lang w:val="de-AT"/>
        </w:rPr>
        <w:t>Folgende Teilsysteme werden als eigenständige Produkte durch andere Organisationseinheiten entwickelt und bereitgestellt:</w:t>
      </w:r>
    </w:p>
    <w:p w14:paraId="4AE9EBC4" w14:textId="63D15F1E" w:rsidR="00A73843" w:rsidRPr="00A73843" w:rsidRDefault="00A73843" w:rsidP="00362C69">
      <w:pPr>
        <w:pStyle w:val="Paragraph"/>
        <w:numPr>
          <w:ilvl w:val="0"/>
          <w:numId w:val="26"/>
        </w:numPr>
        <w:rPr>
          <w:highlight w:val="green"/>
          <w:lang w:val="en-US"/>
        </w:rPr>
      </w:pPr>
      <w:r>
        <w:rPr>
          <w:highlight w:val="green"/>
          <w:lang w:val="en-US"/>
        </w:rPr>
        <w:t>IFC-LCSI (Mission Embedded)</w:t>
      </w:r>
    </w:p>
    <w:p w14:paraId="07E32C5C" w14:textId="084B46DB" w:rsidR="00037A8F" w:rsidRPr="00DC74A1" w:rsidRDefault="00037A8F" w:rsidP="00362C69">
      <w:pPr>
        <w:pStyle w:val="Paragraph"/>
        <w:numPr>
          <w:ilvl w:val="0"/>
          <w:numId w:val="26"/>
        </w:numPr>
        <w:rPr>
          <w:highlight w:val="green"/>
          <w:lang w:val="en-US"/>
        </w:rPr>
      </w:pPr>
      <w:r w:rsidRPr="00DC74A1">
        <w:rPr>
          <w:highlight w:val="green"/>
          <w:lang w:val="en-US"/>
        </w:rPr>
        <w:lastRenderedPageBreak/>
        <w:t xml:space="preserve">DCA3 Object Controller (Hitachi Rail Spanien) </w:t>
      </w:r>
    </w:p>
    <w:p w14:paraId="6E69808C" w14:textId="032A3070" w:rsidR="00037A8F" w:rsidRDefault="009C2D84" w:rsidP="00362C69">
      <w:pPr>
        <w:pStyle w:val="Paragraph"/>
        <w:numPr>
          <w:ilvl w:val="0"/>
          <w:numId w:val="26"/>
        </w:numPr>
        <w:rPr>
          <w:highlight w:val="green"/>
          <w:lang w:val="en-US"/>
        </w:rPr>
      </w:pPr>
      <w:r w:rsidRPr="00DC74A1">
        <w:rPr>
          <w:highlight w:val="green"/>
          <w:lang w:val="en-US"/>
        </w:rPr>
        <w:t>AzLM Train Detection System / Axle Counter System (Hitachi Rail Deutschland)</w:t>
      </w:r>
    </w:p>
    <w:p w14:paraId="31298569" w14:textId="0D19F80F" w:rsidR="00037A8F" w:rsidRPr="00037A8F" w:rsidRDefault="00E1327C" w:rsidP="00037A8F">
      <w:pPr>
        <w:pStyle w:val="Paragraph"/>
        <w:rPr>
          <w:lang w:val="de-AT"/>
        </w:rPr>
      </w:pPr>
      <w:r w:rsidRPr="00E1327C">
        <w:rPr>
          <w:lang w:val="de-AT"/>
        </w:rPr>
        <w:t xml:space="preserve">Die Sicherheitsnachweise der Lieferantensysteme bilden eine wesentliche Grundlage für die Bewertung ihrer Integration innerhalb der DFE-Architektur. Für die FES-Varianten werden Konfigurations- und Integrationsnachweise geführt, </w:t>
      </w:r>
      <w:r w:rsidR="00A73843" w:rsidRPr="00A73843">
        <w:rPr>
          <w:lang w:val="de-AT"/>
        </w:rPr>
        <w:t>welche die Erfüllung der Hardware-, Infrastruktur- und Integrationsanforderungen</w:t>
      </w:r>
      <w:r w:rsidR="00A73843">
        <w:rPr>
          <w:lang w:val="de-AT"/>
        </w:rPr>
        <w:t xml:space="preserve"> </w:t>
      </w:r>
      <w:r w:rsidRPr="00E1327C">
        <w:rPr>
          <w:lang w:val="de-AT"/>
        </w:rPr>
        <w:t>für die vorgesehenen Systemkonfigurationen dokumentieren.</w:t>
      </w:r>
    </w:p>
    <w:p w14:paraId="748A53E3" w14:textId="77777777" w:rsidR="00037A8F" w:rsidRPr="00037A8F" w:rsidRDefault="00037A8F" w:rsidP="00037A8F">
      <w:pPr>
        <w:pStyle w:val="Paragraph"/>
        <w:rPr>
          <w:lang w:val="de-AT"/>
        </w:rPr>
      </w:pPr>
      <w:r w:rsidRPr="00037A8F">
        <w:rPr>
          <w:lang w:val="de-AT"/>
        </w:rPr>
        <w:t>Die Verantwortung des DFE-Projekts umfasst insbesondere:</w:t>
      </w:r>
    </w:p>
    <w:p w14:paraId="79C12299" w14:textId="77777777" w:rsidR="00037A8F" w:rsidRPr="00380FC5" w:rsidRDefault="00037A8F" w:rsidP="00362C69">
      <w:pPr>
        <w:pStyle w:val="Paragraph"/>
        <w:numPr>
          <w:ilvl w:val="0"/>
          <w:numId w:val="27"/>
        </w:numPr>
        <w:rPr>
          <w:lang w:val="de-AT"/>
        </w:rPr>
      </w:pPr>
      <w:r w:rsidRPr="00380FC5">
        <w:rPr>
          <w:lang w:val="de-AT"/>
        </w:rPr>
        <w:t>Spezifikation der System- und Schnittstellenanforderungen,</w:t>
      </w:r>
    </w:p>
    <w:p w14:paraId="01594098" w14:textId="77777777" w:rsidR="00037A8F" w:rsidRPr="00380FC5" w:rsidRDefault="00037A8F" w:rsidP="00362C69">
      <w:pPr>
        <w:pStyle w:val="Paragraph"/>
        <w:numPr>
          <w:ilvl w:val="0"/>
          <w:numId w:val="27"/>
        </w:numPr>
        <w:rPr>
          <w:lang w:val="de-AT"/>
        </w:rPr>
      </w:pPr>
      <w:r w:rsidRPr="00380FC5">
        <w:rPr>
          <w:lang w:val="de-AT"/>
        </w:rPr>
        <w:t>Bewertung der Schnittstellen,</w:t>
      </w:r>
    </w:p>
    <w:p w14:paraId="580FC82E" w14:textId="1EC75954" w:rsidR="00037A8F" w:rsidRPr="00380FC5" w:rsidRDefault="00E1327C" w:rsidP="00362C69">
      <w:pPr>
        <w:pStyle w:val="Paragraph"/>
        <w:numPr>
          <w:ilvl w:val="0"/>
          <w:numId w:val="27"/>
        </w:numPr>
        <w:rPr>
          <w:lang w:val="de-AT"/>
        </w:rPr>
      </w:pPr>
      <w:r w:rsidRPr="00E1327C">
        <w:rPr>
          <w:lang w:val="de-AT"/>
        </w:rPr>
        <w:t>Berücksichtigung und Weitergabe relevanter Safety Related Application Conditions (SRACs),</w:t>
      </w:r>
    </w:p>
    <w:p w14:paraId="707F790E" w14:textId="26F94A23" w:rsidR="00037A8F" w:rsidRPr="00380FC5" w:rsidRDefault="00E1327C" w:rsidP="00362C69">
      <w:pPr>
        <w:pStyle w:val="Paragraph"/>
        <w:numPr>
          <w:ilvl w:val="0"/>
          <w:numId w:val="27"/>
        </w:numPr>
        <w:rPr>
          <w:lang w:val="de-AT"/>
        </w:rPr>
      </w:pPr>
      <w:r w:rsidRPr="00E1327C">
        <w:rPr>
          <w:lang w:val="de-AT"/>
        </w:rPr>
        <w:t xml:space="preserve">Nachweis der Erfüllung der Hardware-, Infrastruktur- und Integrationsanforderungen der DFE-Subsysteme </w:t>
      </w:r>
      <w:r w:rsidR="00197ACA">
        <w:rPr>
          <w:lang w:val="de-AT"/>
        </w:rPr>
        <w:t xml:space="preserve">(in </w:t>
      </w:r>
      <w:r w:rsidR="00197ACA">
        <w:rPr>
          <w:lang w:val="de-AT"/>
        </w:rPr>
        <w:fldChar w:fldCharType="begin"/>
      </w:r>
      <w:r w:rsidR="00197ACA">
        <w:rPr>
          <w:lang w:val="de-AT"/>
        </w:rPr>
        <w:instrText xml:space="preserve"> REF _Ref237613863 \h </w:instrText>
      </w:r>
      <w:r w:rsidR="00197ACA">
        <w:rPr>
          <w:lang w:val="de-AT"/>
        </w:rPr>
      </w:r>
      <w:r w:rsidR="00197ACA">
        <w:rPr>
          <w:lang w:val="de-AT"/>
        </w:rPr>
        <w:fldChar w:fldCharType="separate"/>
      </w:r>
      <w:r w:rsidR="00371A83" w:rsidRPr="00371A83">
        <w:rPr>
          <w:lang w:val="de-AT"/>
        </w:rPr>
        <w:t xml:space="preserve">Abbildung </w:t>
      </w:r>
      <w:r w:rsidR="00371A83" w:rsidRPr="00371A83">
        <w:rPr>
          <w:noProof/>
          <w:lang w:val="de-AT"/>
        </w:rPr>
        <w:t>1</w:t>
      </w:r>
      <w:r w:rsidR="00197ACA">
        <w:rPr>
          <w:lang w:val="de-AT"/>
        </w:rPr>
        <w:fldChar w:fldCharType="end"/>
      </w:r>
      <w:r w:rsidR="00197ACA">
        <w:rPr>
          <w:lang w:val="de-AT"/>
        </w:rPr>
        <w:t xml:space="preserve"> dargestellt durch Fullfillment of HW-Requirments)</w:t>
      </w:r>
      <w:r w:rsidR="00037A8F" w:rsidRPr="00380FC5">
        <w:rPr>
          <w:lang w:val="de-AT"/>
        </w:rPr>
        <w:t>,</w:t>
      </w:r>
    </w:p>
    <w:p w14:paraId="65540C6A" w14:textId="6A94EAA1" w:rsidR="00037A8F" w:rsidRPr="00380FC5" w:rsidRDefault="00380BAD" w:rsidP="00362C69">
      <w:pPr>
        <w:pStyle w:val="Paragraph"/>
        <w:numPr>
          <w:ilvl w:val="0"/>
          <w:numId w:val="27"/>
        </w:numPr>
        <w:rPr>
          <w:lang w:val="de-AT"/>
        </w:rPr>
      </w:pPr>
      <w:r w:rsidRPr="00380FC5">
        <w:rPr>
          <w:lang w:val="de-AT"/>
        </w:rPr>
        <w:t>Sub-</w:t>
      </w:r>
      <w:r w:rsidR="00037A8F" w:rsidRPr="00380FC5">
        <w:rPr>
          <w:lang w:val="de-AT"/>
        </w:rPr>
        <w:t xml:space="preserve">Systemverifikation und </w:t>
      </w:r>
      <w:r w:rsidRPr="00380FC5">
        <w:rPr>
          <w:lang w:val="de-AT"/>
        </w:rPr>
        <w:t>Sub-</w:t>
      </w:r>
      <w:r w:rsidR="00037A8F" w:rsidRPr="00380FC5">
        <w:rPr>
          <w:lang w:val="de-AT"/>
        </w:rPr>
        <w:t>Systemvalidierung,</w:t>
      </w:r>
    </w:p>
    <w:p w14:paraId="646D21F0" w14:textId="588C5FB2" w:rsidR="00037A8F" w:rsidRPr="00380FC5" w:rsidRDefault="00037A8F" w:rsidP="00362C69">
      <w:pPr>
        <w:pStyle w:val="Paragraph"/>
        <w:numPr>
          <w:ilvl w:val="0"/>
          <w:numId w:val="27"/>
        </w:numPr>
        <w:rPr>
          <w:lang w:val="de-AT"/>
        </w:rPr>
      </w:pPr>
      <w:r w:rsidRPr="00380FC5">
        <w:rPr>
          <w:lang w:val="de-AT"/>
        </w:rPr>
        <w:t>Erstellung</w:t>
      </w:r>
      <w:r w:rsidR="00380FC5" w:rsidRPr="00380FC5">
        <w:rPr>
          <w:lang w:val="de-AT"/>
        </w:rPr>
        <w:t xml:space="preserve"> der einzelnen Sub-System Sicherheitsnachweise</w:t>
      </w:r>
      <w:r w:rsidRPr="00380FC5">
        <w:rPr>
          <w:lang w:val="de-AT"/>
        </w:rPr>
        <w:t>.</w:t>
      </w:r>
    </w:p>
    <w:p w14:paraId="49BBCF73" w14:textId="36454265" w:rsidR="00037A8F" w:rsidRPr="00037A8F" w:rsidRDefault="00037A8F" w:rsidP="00037A8F">
      <w:pPr>
        <w:pStyle w:val="Paragraph"/>
        <w:rPr>
          <w:lang w:val="de-AT"/>
        </w:rPr>
      </w:pPr>
      <w:r w:rsidRPr="00037A8F">
        <w:rPr>
          <w:lang w:val="de-AT"/>
        </w:rPr>
        <w:t xml:space="preserve">Die detaillierte Zuordnung der Sicherheitsnachweise innerhalb der DFE-Sicherheitsarchitektur wird in </w:t>
      </w:r>
      <w:r w:rsidRPr="00611335">
        <w:rPr>
          <w:lang w:val="de-AT"/>
        </w:rPr>
        <w:t xml:space="preserve">Kapitel </w:t>
      </w:r>
      <w:r w:rsidR="00611335" w:rsidRPr="00611335">
        <w:rPr>
          <w:lang w:val="de-AT"/>
        </w:rPr>
        <w:fldChar w:fldCharType="begin"/>
      </w:r>
      <w:r w:rsidR="00611335" w:rsidRPr="00611335">
        <w:rPr>
          <w:lang w:val="de-AT"/>
        </w:rPr>
        <w:instrText xml:space="preserve"> REF _Ref242345149 \r \h </w:instrText>
      </w:r>
      <w:r w:rsidR="00611335">
        <w:rPr>
          <w:lang w:val="de-AT"/>
        </w:rPr>
        <w:instrText xml:space="preserve"> \* MERGEFORMAT </w:instrText>
      </w:r>
      <w:r w:rsidR="00611335" w:rsidRPr="00611335">
        <w:rPr>
          <w:lang w:val="de-AT"/>
        </w:rPr>
      </w:r>
      <w:r w:rsidR="00611335" w:rsidRPr="00611335">
        <w:rPr>
          <w:lang w:val="de-AT"/>
        </w:rPr>
        <w:fldChar w:fldCharType="separate"/>
      </w:r>
      <w:r w:rsidR="00611335" w:rsidRPr="00611335">
        <w:rPr>
          <w:lang w:val="de-AT"/>
        </w:rPr>
        <w:t>3.5</w:t>
      </w:r>
      <w:r w:rsidR="00611335" w:rsidRPr="00611335">
        <w:rPr>
          <w:lang w:val="de-AT"/>
        </w:rPr>
        <w:fldChar w:fldCharType="end"/>
      </w:r>
      <w:r w:rsidRPr="00037A8F">
        <w:rPr>
          <w:lang w:val="de-AT"/>
        </w:rPr>
        <w:t xml:space="preserve"> beschrieben.</w:t>
      </w:r>
    </w:p>
    <w:p w14:paraId="2C27225C" w14:textId="5BA06EC8" w:rsidR="00D3696D" w:rsidRPr="00A4196D" w:rsidRDefault="00A4196D">
      <w:pPr>
        <w:pStyle w:val="Heading2"/>
        <w:keepLines w:val="0"/>
        <w:tabs>
          <w:tab w:val="clear" w:pos="1080"/>
          <w:tab w:val="num" w:pos="720"/>
        </w:tabs>
        <w:spacing w:before="480" w:after="120" w:line="240" w:lineRule="auto"/>
        <w:ind w:left="0" w:firstLine="0"/>
      </w:pPr>
      <w:bookmarkStart w:id="88" w:name="_Toc242167525"/>
      <w:r w:rsidRPr="00A4196D">
        <w:t>Teilsysteme</w:t>
      </w:r>
      <w:bookmarkEnd w:id="88"/>
    </w:p>
    <w:p w14:paraId="745DFEC2" w14:textId="3EA79128" w:rsidR="00D3696D" w:rsidRPr="00A4196D" w:rsidRDefault="00A4196D">
      <w:pPr>
        <w:pStyle w:val="Heading3"/>
        <w:keepLines w:val="0"/>
        <w:tabs>
          <w:tab w:val="left" w:pos="885"/>
          <w:tab w:val="num" w:pos="1080"/>
        </w:tabs>
        <w:spacing w:before="360" w:after="120" w:line="240" w:lineRule="auto"/>
        <w:ind w:left="0" w:firstLine="0"/>
      </w:pPr>
      <w:bookmarkStart w:id="89" w:name="_Toc242167526"/>
      <w:r w:rsidRPr="009B3D3D">
        <w:rPr>
          <w:lang w:val="de-AT"/>
        </w:rPr>
        <w:t>Object Controller (OC)</w:t>
      </w:r>
      <w:bookmarkEnd w:id="89"/>
    </w:p>
    <w:p w14:paraId="6357131D" w14:textId="4C8E5678" w:rsidR="00754535" w:rsidRPr="00197ACA" w:rsidRDefault="00754535" w:rsidP="00FE5028">
      <w:pPr>
        <w:pStyle w:val="Paragraph"/>
        <w:rPr>
          <w:highlight w:val="green"/>
          <w:lang w:val="de-AT"/>
        </w:rPr>
      </w:pPr>
      <w:r w:rsidRPr="00197ACA">
        <w:rPr>
          <w:highlight w:val="green"/>
          <w:lang w:val="de-AT"/>
        </w:rPr>
        <w:t>Object Controller (OC) stellen die Schnittstelle zwischen den virtuellen Stellwerken und den Feldelementen dar. Physikalisch sind sie in den FES-Schränken montiert.</w:t>
      </w:r>
    </w:p>
    <w:p w14:paraId="49B5CB77" w14:textId="79BAFB8A" w:rsidR="00BF23F8" w:rsidRPr="00197ACA" w:rsidRDefault="00754535" w:rsidP="00FE5028">
      <w:pPr>
        <w:pStyle w:val="Paragraph"/>
        <w:rPr>
          <w:highlight w:val="green"/>
          <w:lang w:val="de-AT"/>
        </w:rPr>
      </w:pPr>
      <w:r w:rsidRPr="00197ACA">
        <w:rPr>
          <w:highlight w:val="green"/>
          <w:lang w:val="de-AT"/>
        </w:rPr>
        <w:t>Es gibt folgende unterstützte Feldelemente</w:t>
      </w:r>
      <w:r w:rsidR="00BF23F8" w:rsidRPr="00197ACA">
        <w:rPr>
          <w:highlight w:val="green"/>
          <w:lang w:val="de-AT"/>
        </w:rPr>
        <w:t>:</w:t>
      </w:r>
    </w:p>
    <w:p w14:paraId="5E4B769C" w14:textId="66DA3EAF" w:rsidR="00BF23F8" w:rsidRPr="00197ACA" w:rsidRDefault="00754535" w:rsidP="00362C69">
      <w:pPr>
        <w:numPr>
          <w:ilvl w:val="0"/>
          <w:numId w:val="23"/>
        </w:numPr>
        <w:spacing w:before="100" w:beforeAutospacing="1" w:after="100" w:afterAutospacing="1"/>
        <w:rPr>
          <w:rFonts w:ascii="Arial" w:hAnsi="Arial" w:cs="Arial"/>
          <w:color w:val="000000" w:themeColor="text1"/>
          <w:sz w:val="20"/>
          <w:szCs w:val="20"/>
          <w:highlight w:val="green"/>
          <w:lang w:val="en-US"/>
        </w:rPr>
      </w:pPr>
      <w:r w:rsidRPr="00197ACA">
        <w:rPr>
          <w:rFonts w:ascii="Arial" w:hAnsi="Arial" w:cs="Arial"/>
          <w:color w:val="000000" w:themeColor="text1"/>
          <w:sz w:val="20"/>
          <w:szCs w:val="20"/>
          <w:highlight w:val="green"/>
          <w:lang w:val="en-US"/>
        </w:rPr>
        <w:t>Weichen</w:t>
      </w:r>
    </w:p>
    <w:p w14:paraId="10122B79" w14:textId="5DA39C42" w:rsidR="00BF23F8" w:rsidRPr="00197ACA" w:rsidRDefault="00BF23F8" w:rsidP="00362C69">
      <w:pPr>
        <w:numPr>
          <w:ilvl w:val="0"/>
          <w:numId w:val="23"/>
        </w:numPr>
        <w:spacing w:before="100" w:beforeAutospacing="1" w:after="100" w:afterAutospacing="1"/>
        <w:rPr>
          <w:rFonts w:ascii="Arial" w:hAnsi="Arial" w:cs="Arial"/>
          <w:color w:val="000000" w:themeColor="text1"/>
          <w:sz w:val="20"/>
          <w:szCs w:val="20"/>
          <w:highlight w:val="green"/>
          <w:lang w:val="en-US"/>
        </w:rPr>
      </w:pPr>
      <w:r w:rsidRPr="00197ACA">
        <w:rPr>
          <w:rFonts w:ascii="Arial" w:hAnsi="Arial" w:cs="Arial"/>
          <w:color w:val="000000" w:themeColor="text1"/>
          <w:sz w:val="20"/>
          <w:szCs w:val="20"/>
          <w:highlight w:val="green"/>
          <w:lang w:val="en-US"/>
        </w:rPr>
        <w:t>Signal</w:t>
      </w:r>
      <w:r w:rsidR="00754535" w:rsidRPr="00197ACA">
        <w:rPr>
          <w:rFonts w:ascii="Arial" w:hAnsi="Arial" w:cs="Arial"/>
          <w:color w:val="000000" w:themeColor="text1"/>
          <w:sz w:val="20"/>
          <w:szCs w:val="20"/>
          <w:highlight w:val="green"/>
          <w:lang w:val="en-US"/>
        </w:rPr>
        <w:t>e</w:t>
      </w:r>
    </w:p>
    <w:p w14:paraId="241A6A8B" w14:textId="39BB0DC8" w:rsidR="00BF23F8" w:rsidRPr="00197ACA" w:rsidRDefault="00BF23F8" w:rsidP="00362C69">
      <w:pPr>
        <w:numPr>
          <w:ilvl w:val="0"/>
          <w:numId w:val="23"/>
        </w:numPr>
        <w:spacing w:before="100" w:beforeAutospacing="1" w:after="100" w:afterAutospacing="1"/>
        <w:rPr>
          <w:rFonts w:ascii="Arial" w:hAnsi="Arial" w:cs="Arial"/>
          <w:color w:val="000000" w:themeColor="text1"/>
          <w:sz w:val="20"/>
          <w:szCs w:val="20"/>
          <w:highlight w:val="green"/>
        </w:rPr>
      </w:pPr>
      <w:r w:rsidRPr="00197ACA">
        <w:rPr>
          <w:rFonts w:ascii="Arial" w:hAnsi="Arial" w:cs="Arial"/>
          <w:color w:val="000000" w:themeColor="text1"/>
          <w:sz w:val="20"/>
          <w:szCs w:val="20"/>
          <w:highlight w:val="green"/>
        </w:rPr>
        <w:t>Generi</w:t>
      </w:r>
      <w:r w:rsidR="00754535" w:rsidRPr="00197ACA">
        <w:rPr>
          <w:rFonts w:ascii="Arial" w:hAnsi="Arial" w:cs="Arial"/>
          <w:color w:val="000000" w:themeColor="text1"/>
          <w:sz w:val="20"/>
          <w:szCs w:val="20"/>
          <w:highlight w:val="green"/>
        </w:rPr>
        <w:t>scher</w:t>
      </w:r>
      <w:r w:rsidRPr="00197ACA">
        <w:rPr>
          <w:rFonts w:ascii="Arial" w:hAnsi="Arial" w:cs="Arial"/>
          <w:color w:val="000000" w:themeColor="text1"/>
          <w:sz w:val="20"/>
          <w:szCs w:val="20"/>
          <w:highlight w:val="green"/>
        </w:rPr>
        <w:t xml:space="preserve"> I/O </w:t>
      </w:r>
      <w:r w:rsidR="00197ACA" w:rsidRPr="00197ACA">
        <w:rPr>
          <w:rFonts w:ascii="Arial" w:eastAsia="Wingdings" w:hAnsi="Arial" w:cs="Arial"/>
          <w:color w:val="000000" w:themeColor="text1"/>
          <w:sz w:val="20"/>
          <w:szCs w:val="20"/>
          <w:highlight w:val="green"/>
        </w:rPr>
        <w:t>-</w:t>
      </w:r>
      <w:r w:rsidRPr="00197ACA">
        <w:rPr>
          <w:rFonts w:ascii="Arial" w:hAnsi="Arial" w:cs="Arial"/>
          <w:color w:val="000000" w:themeColor="text1"/>
          <w:sz w:val="20"/>
          <w:szCs w:val="20"/>
          <w:highlight w:val="green"/>
        </w:rPr>
        <w:t xml:space="preserve"> Element</w:t>
      </w:r>
      <w:r w:rsidR="00754535" w:rsidRPr="00197ACA">
        <w:rPr>
          <w:rFonts w:ascii="Arial" w:hAnsi="Arial" w:cs="Arial"/>
          <w:color w:val="000000" w:themeColor="text1"/>
          <w:sz w:val="20"/>
          <w:szCs w:val="20"/>
          <w:highlight w:val="green"/>
        </w:rPr>
        <w:t xml:space="preserve">e die nicht </w:t>
      </w:r>
      <w:r w:rsidRPr="00197ACA">
        <w:rPr>
          <w:rFonts w:ascii="Arial" w:hAnsi="Arial" w:cs="Arial"/>
          <w:color w:val="000000" w:themeColor="text1"/>
          <w:sz w:val="20"/>
          <w:szCs w:val="20"/>
          <w:highlight w:val="green"/>
        </w:rPr>
        <w:t>in EULYNX</w:t>
      </w:r>
      <w:r w:rsidR="00754535" w:rsidRPr="00197ACA">
        <w:rPr>
          <w:rFonts w:ascii="Arial" w:hAnsi="Arial" w:cs="Arial"/>
          <w:color w:val="000000" w:themeColor="text1"/>
          <w:sz w:val="20"/>
          <w:szCs w:val="20"/>
          <w:highlight w:val="green"/>
        </w:rPr>
        <w:t xml:space="preserve"> spezifiziert sind</w:t>
      </w:r>
      <w:r w:rsidRPr="00197ACA">
        <w:rPr>
          <w:rFonts w:ascii="Arial" w:hAnsi="Arial" w:cs="Arial"/>
          <w:color w:val="000000" w:themeColor="text1"/>
          <w:sz w:val="20"/>
          <w:szCs w:val="20"/>
          <w:highlight w:val="green"/>
        </w:rPr>
        <w:t xml:space="preserve"> (</w:t>
      </w:r>
      <w:r w:rsidR="00754535" w:rsidRPr="00197ACA">
        <w:rPr>
          <w:rFonts w:ascii="Arial" w:hAnsi="Arial" w:cs="Arial"/>
          <w:color w:val="000000" w:themeColor="text1"/>
          <w:sz w:val="20"/>
          <w:szCs w:val="20"/>
          <w:highlight w:val="green"/>
        </w:rPr>
        <w:t>zb</w:t>
      </w:r>
      <w:r w:rsidRPr="00197ACA">
        <w:rPr>
          <w:rFonts w:ascii="Arial" w:hAnsi="Arial" w:cs="Arial"/>
          <w:color w:val="000000" w:themeColor="text1"/>
          <w:sz w:val="20"/>
          <w:szCs w:val="20"/>
          <w:highlight w:val="green"/>
        </w:rPr>
        <w:t>.</w:t>
      </w:r>
      <w:r w:rsidR="00754535" w:rsidRPr="00197ACA">
        <w:rPr>
          <w:rFonts w:ascii="Arial" w:hAnsi="Arial" w:cs="Arial"/>
          <w:color w:val="000000" w:themeColor="text1"/>
          <w:sz w:val="20"/>
          <w:szCs w:val="20"/>
          <w:highlight w:val="green"/>
        </w:rPr>
        <w:t xml:space="preserve"> Schlüsselsperren</w:t>
      </w:r>
      <w:r w:rsidRPr="00197ACA">
        <w:rPr>
          <w:rFonts w:ascii="Arial" w:hAnsi="Arial" w:cs="Arial"/>
          <w:color w:val="000000" w:themeColor="text1"/>
          <w:sz w:val="20"/>
          <w:szCs w:val="20"/>
          <w:highlight w:val="green"/>
        </w:rPr>
        <w:t>)</w:t>
      </w:r>
    </w:p>
    <w:p w14:paraId="738AC787" w14:textId="266EBFC7" w:rsidR="00BF23F8" w:rsidRPr="00197ACA" w:rsidRDefault="00BF23F8" w:rsidP="00362C69">
      <w:pPr>
        <w:numPr>
          <w:ilvl w:val="0"/>
          <w:numId w:val="23"/>
        </w:numPr>
        <w:spacing w:before="100" w:beforeAutospacing="1" w:after="100" w:afterAutospacing="1"/>
        <w:rPr>
          <w:rFonts w:ascii="Arial" w:hAnsi="Arial" w:cs="Arial"/>
          <w:color w:val="000000" w:themeColor="text1"/>
          <w:sz w:val="20"/>
          <w:szCs w:val="20"/>
          <w:highlight w:val="green"/>
          <w:lang w:val="en-US"/>
        </w:rPr>
      </w:pPr>
      <w:r w:rsidRPr="00197ACA">
        <w:rPr>
          <w:rFonts w:ascii="Arial" w:hAnsi="Arial" w:cs="Arial"/>
          <w:color w:val="000000" w:themeColor="text1"/>
          <w:sz w:val="20"/>
          <w:szCs w:val="20"/>
          <w:highlight w:val="green"/>
          <w:lang w:val="en-US"/>
        </w:rPr>
        <w:t>A</w:t>
      </w:r>
      <w:r w:rsidR="00754535" w:rsidRPr="00197ACA">
        <w:rPr>
          <w:rFonts w:ascii="Arial" w:hAnsi="Arial" w:cs="Arial"/>
          <w:color w:val="000000" w:themeColor="text1"/>
          <w:sz w:val="20"/>
          <w:szCs w:val="20"/>
          <w:highlight w:val="green"/>
          <w:lang w:val="en-US"/>
        </w:rPr>
        <w:t>chszähler</w:t>
      </w:r>
    </w:p>
    <w:p w14:paraId="5503426D" w14:textId="091E1B74" w:rsidR="00D3696D" w:rsidRPr="00197ACA" w:rsidRDefault="00754535" w:rsidP="00362C69">
      <w:pPr>
        <w:numPr>
          <w:ilvl w:val="0"/>
          <w:numId w:val="23"/>
        </w:numPr>
        <w:spacing w:before="100" w:beforeAutospacing="1" w:after="100" w:afterAutospacing="1"/>
        <w:rPr>
          <w:rFonts w:cs="Arial"/>
          <w:color w:val="000000" w:themeColor="text1"/>
          <w:highlight w:val="green"/>
          <w:lang w:val="en-US"/>
        </w:rPr>
      </w:pPr>
      <w:r w:rsidRPr="00197ACA">
        <w:rPr>
          <w:rFonts w:ascii="Arial" w:hAnsi="Arial" w:cs="Arial"/>
          <w:color w:val="000000" w:themeColor="text1"/>
          <w:sz w:val="20"/>
          <w:szCs w:val="20"/>
          <w:highlight w:val="green"/>
          <w:lang w:val="en-US"/>
        </w:rPr>
        <w:t>Eisenbahnkreuzung</w:t>
      </w:r>
      <w:r w:rsidR="00BC59C7" w:rsidRPr="00197ACA">
        <w:rPr>
          <w:rFonts w:ascii="Arial" w:hAnsi="Arial" w:cs="Arial"/>
          <w:color w:val="000000" w:themeColor="text1"/>
          <w:sz w:val="20"/>
          <w:szCs w:val="20"/>
          <w:highlight w:val="green"/>
          <w:lang w:val="en-US"/>
        </w:rPr>
        <w:t>ssicherungsanlagen (EKSA)</w:t>
      </w:r>
    </w:p>
    <w:p w14:paraId="7F49DF90" w14:textId="3E48221E" w:rsidR="00FE5028" w:rsidRDefault="00FE5028" w:rsidP="00FE5028">
      <w:pPr>
        <w:pStyle w:val="Heading4"/>
      </w:pPr>
      <w:r>
        <w:t>Object Controller Weiche</w:t>
      </w:r>
    </w:p>
    <w:p w14:paraId="72640211" w14:textId="2B4AAFD7" w:rsidR="00FE5028" w:rsidRPr="00FE5028" w:rsidRDefault="00FE5028" w:rsidP="00FE5028">
      <w:pPr>
        <w:pStyle w:val="Paragraph"/>
        <w:rPr>
          <w:lang w:val="de-AT"/>
        </w:rPr>
      </w:pPr>
      <w:r w:rsidRPr="00FE5028">
        <w:rPr>
          <w:lang w:val="de-AT"/>
        </w:rPr>
        <w:t>Das EULYNX</w:t>
      </w:r>
      <w:r w:rsidRPr="00FE5028">
        <w:rPr>
          <w:rFonts w:ascii="Cambria Math" w:hAnsi="Cambria Math" w:cs="Cambria Math"/>
          <w:lang w:val="de-AT"/>
        </w:rPr>
        <w:t>‑</w:t>
      </w:r>
      <w:r w:rsidRPr="00FE5028">
        <w:rPr>
          <w:lang w:val="de-AT"/>
        </w:rPr>
        <w:t xml:space="preserve">Teilsystem </w:t>
      </w:r>
      <w:r>
        <w:rPr>
          <w:lang w:val="de-AT"/>
        </w:rPr>
        <w:t>Weiche</w:t>
      </w:r>
      <w:r w:rsidRPr="00FE5028">
        <w:rPr>
          <w:lang w:val="de-AT"/>
        </w:rPr>
        <w:t xml:space="preserve"> wird zur Steuerung und Überwachung elektrisch fernbedienter Weichen und Gleissperren eingesetzt. Der Object Controller (OC) </w:t>
      </w:r>
      <w:r>
        <w:rPr>
          <w:lang w:val="de-AT"/>
        </w:rPr>
        <w:t>Weiche</w:t>
      </w:r>
      <w:r w:rsidRPr="00FE5028">
        <w:rPr>
          <w:lang w:val="de-AT"/>
        </w:rPr>
        <w:t xml:space="preserve"> wandelt Steuerbefehle von der DIL</w:t>
      </w:r>
      <w:r w:rsidRPr="00FE5028">
        <w:rPr>
          <w:rFonts w:ascii="Cambria Math" w:hAnsi="Cambria Math" w:cs="Cambria Math"/>
          <w:lang w:val="de-AT"/>
        </w:rPr>
        <w:t>‑</w:t>
      </w:r>
      <w:r w:rsidRPr="00FE5028">
        <w:rPr>
          <w:lang w:val="de-AT"/>
        </w:rPr>
        <w:t>CU in Stellbefehle um und überträgt diese an die Weiche, überwacht die Lage und bewertet alle von der Weiche gelieferten Informationen. Die Informationen werden anschließend an die DIL</w:t>
      </w:r>
      <w:r w:rsidRPr="00FE5028">
        <w:rPr>
          <w:rFonts w:ascii="Cambria Math" w:hAnsi="Cambria Math" w:cs="Cambria Math"/>
          <w:lang w:val="de-AT"/>
        </w:rPr>
        <w:t>‑</w:t>
      </w:r>
      <w:r w:rsidRPr="00FE5028">
        <w:rPr>
          <w:lang w:val="de-AT"/>
        </w:rPr>
        <w:t>CU und das DDSP weitergeleitet.</w:t>
      </w:r>
    </w:p>
    <w:p w14:paraId="7051A7CC" w14:textId="092B21CD" w:rsidR="00FE5028" w:rsidRDefault="00FE5028" w:rsidP="00FE5028">
      <w:pPr>
        <w:pStyle w:val="Paragraph"/>
        <w:jc w:val="left"/>
        <w:rPr>
          <w:lang w:val="de-AT"/>
        </w:rPr>
      </w:pPr>
      <w:r w:rsidRPr="00FE5028">
        <w:rPr>
          <w:lang w:val="de-AT"/>
        </w:rPr>
        <w:t>Das Weichen</w:t>
      </w:r>
      <w:r w:rsidRPr="00FE5028">
        <w:rPr>
          <w:rFonts w:ascii="Cambria Math" w:hAnsi="Cambria Math" w:cs="Cambria Math"/>
          <w:lang w:val="de-AT"/>
        </w:rPr>
        <w:t>‑</w:t>
      </w:r>
      <w:r w:rsidRPr="00FE5028">
        <w:rPr>
          <w:lang w:val="de-AT"/>
        </w:rPr>
        <w:t xml:space="preserve">Teilsystem besteht aus einem </w:t>
      </w:r>
      <w:r>
        <w:rPr>
          <w:lang w:val="de-AT"/>
        </w:rPr>
        <w:t>Weichen</w:t>
      </w:r>
      <w:r w:rsidRPr="00FE5028">
        <w:rPr>
          <w:lang w:val="de-AT"/>
        </w:rPr>
        <w:t xml:space="preserve"> Object Controller, der die Logik des Teilsystems enthält, sowie der Weiche (Weichenantrieb, Weichenumstellung, Weichenverschluss und Weichenüberwachungssysteme).</w:t>
      </w:r>
    </w:p>
    <w:p w14:paraId="56BC6520" w14:textId="5E9B7019" w:rsidR="00FE5028" w:rsidRDefault="00FE5028" w:rsidP="00FE5028">
      <w:pPr>
        <w:pStyle w:val="Paragraph"/>
        <w:jc w:val="left"/>
        <w:rPr>
          <w:lang w:val="de-AT"/>
        </w:rPr>
      </w:pPr>
      <w:r w:rsidRPr="00C01328">
        <w:rPr>
          <w:noProof/>
        </w:rPr>
        <w:lastRenderedPageBreak/>
        <w:drawing>
          <wp:inline distT="0" distB="0" distL="0" distR="0" wp14:anchorId="1D84423F" wp14:editId="75EE2601">
            <wp:extent cx="5761355" cy="4444365"/>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4444365"/>
                    </a:xfrm>
                    <a:prstGeom prst="rect">
                      <a:avLst/>
                    </a:prstGeom>
                    <a:noFill/>
                  </pic:spPr>
                </pic:pic>
              </a:graphicData>
            </a:graphic>
          </wp:inline>
        </w:drawing>
      </w:r>
    </w:p>
    <w:p w14:paraId="08C2FB4C" w14:textId="26A8DBE9" w:rsidR="00FE5028" w:rsidRPr="009B3D3D" w:rsidRDefault="00FE5028" w:rsidP="00FE5028">
      <w:pPr>
        <w:pStyle w:val="Caption"/>
      </w:pPr>
      <w:bookmarkStart w:id="90" w:name="_Toc242167546"/>
      <w:r w:rsidRPr="009B3D3D">
        <w:t xml:space="preserve">Abbildung </w:t>
      </w:r>
      <w:r w:rsidRPr="009B3D3D">
        <w:fldChar w:fldCharType="begin"/>
      </w:r>
      <w:r w:rsidRPr="009B3D3D">
        <w:instrText xml:space="preserve"> SEQ Abbildung \* ARABIC </w:instrText>
      </w:r>
      <w:r w:rsidRPr="009B3D3D">
        <w:fldChar w:fldCharType="separate"/>
      </w:r>
      <w:r w:rsidR="00371A83">
        <w:rPr>
          <w:noProof/>
        </w:rPr>
        <w:t>2</w:t>
      </w:r>
      <w:r w:rsidRPr="009B3D3D">
        <w:fldChar w:fldCharType="end"/>
      </w:r>
      <w:r w:rsidRPr="009B3D3D">
        <w:t xml:space="preserve">: </w:t>
      </w:r>
      <w:r>
        <w:t>Object Controller Weiche</w:t>
      </w:r>
      <w:bookmarkEnd w:id="90"/>
    </w:p>
    <w:p w14:paraId="451A943B" w14:textId="573C52F0" w:rsidR="00FE5028" w:rsidRDefault="00FE5028" w:rsidP="00FE5028">
      <w:pPr>
        <w:pStyle w:val="Heading4"/>
        <w:rPr>
          <w:color w:val="000000" w:themeColor="text1"/>
          <w:lang w:val="en-US"/>
        </w:rPr>
      </w:pPr>
      <w:r>
        <w:t xml:space="preserve">Object Controller </w:t>
      </w:r>
      <w:r w:rsidRPr="00DD337B">
        <w:rPr>
          <w:color w:val="000000" w:themeColor="text1"/>
          <w:lang w:val="en-US"/>
        </w:rPr>
        <w:t>Signal</w:t>
      </w:r>
    </w:p>
    <w:p w14:paraId="21554381" w14:textId="77777777" w:rsidR="000719A4" w:rsidRPr="000719A4" w:rsidRDefault="000719A4" w:rsidP="000719A4">
      <w:pPr>
        <w:pStyle w:val="Paragraph"/>
        <w:jc w:val="left"/>
        <w:rPr>
          <w:lang w:val="de-AT"/>
        </w:rPr>
      </w:pPr>
      <w:r w:rsidRPr="000719A4">
        <w:rPr>
          <w:lang w:val="de-AT"/>
        </w:rPr>
        <w:t>Das EULYNX</w:t>
      </w:r>
      <w:r w:rsidRPr="000719A4">
        <w:rPr>
          <w:rFonts w:ascii="Cambria Math" w:hAnsi="Cambria Math" w:cs="Cambria Math"/>
          <w:lang w:val="de-AT"/>
        </w:rPr>
        <w:t>‑</w:t>
      </w:r>
      <w:r w:rsidRPr="000719A4">
        <w:rPr>
          <w:lang w:val="de-AT"/>
        </w:rPr>
        <w:t>Teilsystem Light Signal wird zur Steuerung und Überwachung elektrisch fernbedienter Signalmasten sowie der Induktiven Zugsicherung (GPE) eingesetzt. Der Object Controller (OC) LS wandelt Steuerbefehle von der DIL</w:t>
      </w:r>
      <w:r w:rsidRPr="000719A4">
        <w:rPr>
          <w:rFonts w:ascii="Cambria Math" w:hAnsi="Cambria Math" w:cs="Cambria Math"/>
          <w:lang w:val="de-AT"/>
        </w:rPr>
        <w:t>‑</w:t>
      </w:r>
      <w:r w:rsidRPr="000719A4">
        <w:rPr>
          <w:lang w:val="de-AT"/>
        </w:rPr>
        <w:t>CU in Stellbefehle um und überträgt diese an das Lichtsignal, überwacht die Zustände und bewertet alle vom Lichtsignal gelieferten Informationen.</w:t>
      </w:r>
    </w:p>
    <w:p w14:paraId="1B7554AA" w14:textId="6C03E2F4" w:rsidR="000719A4" w:rsidRDefault="000719A4" w:rsidP="000719A4">
      <w:pPr>
        <w:pStyle w:val="Paragraph"/>
        <w:jc w:val="left"/>
        <w:rPr>
          <w:lang w:val="de-AT"/>
        </w:rPr>
      </w:pPr>
      <w:r w:rsidRPr="000719A4">
        <w:rPr>
          <w:lang w:val="de-AT"/>
        </w:rPr>
        <w:t>Die Informationen werden anschließend an die DIL</w:t>
      </w:r>
      <w:r w:rsidRPr="000719A4">
        <w:rPr>
          <w:rFonts w:ascii="Cambria Math" w:hAnsi="Cambria Math" w:cs="Cambria Math"/>
          <w:lang w:val="de-AT"/>
        </w:rPr>
        <w:t>‑</w:t>
      </w:r>
      <w:r w:rsidRPr="000719A4">
        <w:rPr>
          <w:lang w:val="de-AT"/>
        </w:rPr>
        <w:t>CU und das DDSP weitergeleitet. Das LS</w:t>
      </w:r>
      <w:r w:rsidRPr="000719A4">
        <w:rPr>
          <w:rFonts w:ascii="Cambria Math" w:hAnsi="Cambria Math" w:cs="Cambria Math"/>
          <w:lang w:val="de-AT"/>
        </w:rPr>
        <w:t>‑</w:t>
      </w:r>
      <w:r w:rsidRPr="000719A4">
        <w:rPr>
          <w:lang w:val="de-AT"/>
        </w:rPr>
        <w:t>Teilsystem besteht aus einem Object Controller, der die Logik des Teilsystems enthält, sowie den Teilsystemkomponenten (Lichtsignale, Induktive Zugsicherungsmagnete, GPE, Geschwindigkeitsanzeiger und die Ablauflampe).</w:t>
      </w:r>
    </w:p>
    <w:p w14:paraId="6C268BAC" w14:textId="5E9A77B6" w:rsidR="000719A4" w:rsidRDefault="000719A4" w:rsidP="000719A4">
      <w:pPr>
        <w:pStyle w:val="Paragraph"/>
        <w:jc w:val="left"/>
        <w:rPr>
          <w:lang w:val="de-AT"/>
        </w:rPr>
      </w:pPr>
      <w:r w:rsidRPr="00AD0E7B">
        <w:rPr>
          <w:noProof/>
        </w:rPr>
        <w:lastRenderedPageBreak/>
        <w:drawing>
          <wp:inline distT="0" distB="0" distL="0" distR="0" wp14:anchorId="00495D9B" wp14:editId="1998A627">
            <wp:extent cx="5761355" cy="4438015"/>
            <wp:effectExtent l="0" t="0" r="0" b="635"/>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4438015"/>
                    </a:xfrm>
                    <a:prstGeom prst="rect">
                      <a:avLst/>
                    </a:prstGeom>
                    <a:noFill/>
                  </pic:spPr>
                </pic:pic>
              </a:graphicData>
            </a:graphic>
          </wp:inline>
        </w:drawing>
      </w:r>
    </w:p>
    <w:p w14:paraId="66EF746E" w14:textId="3625CBA9" w:rsidR="000719A4" w:rsidRPr="000719A4" w:rsidRDefault="000719A4" w:rsidP="00DD56B6">
      <w:pPr>
        <w:pStyle w:val="Caption"/>
      </w:pPr>
      <w:bookmarkStart w:id="91" w:name="_Toc242167547"/>
      <w:r w:rsidRPr="009B3D3D">
        <w:t xml:space="preserve">Abbildung </w:t>
      </w:r>
      <w:r w:rsidRPr="009B3D3D">
        <w:fldChar w:fldCharType="begin"/>
      </w:r>
      <w:r w:rsidRPr="009B3D3D">
        <w:instrText xml:space="preserve"> SEQ Abbildung \* ARABIC </w:instrText>
      </w:r>
      <w:r w:rsidRPr="009B3D3D">
        <w:fldChar w:fldCharType="separate"/>
      </w:r>
      <w:r w:rsidR="00371A83">
        <w:rPr>
          <w:noProof/>
        </w:rPr>
        <w:t>3</w:t>
      </w:r>
      <w:r w:rsidRPr="009B3D3D">
        <w:fldChar w:fldCharType="end"/>
      </w:r>
      <w:r w:rsidRPr="009B3D3D">
        <w:t xml:space="preserve">: </w:t>
      </w:r>
      <w:r>
        <w:t xml:space="preserve">Object Controller </w:t>
      </w:r>
      <w:r w:rsidR="00DD56B6">
        <w:t>Signal</w:t>
      </w:r>
      <w:bookmarkEnd w:id="91"/>
    </w:p>
    <w:p w14:paraId="27B587B5" w14:textId="6DB48AFD" w:rsidR="00FE5028" w:rsidRDefault="00FE5028" w:rsidP="00FE5028">
      <w:pPr>
        <w:pStyle w:val="Heading4"/>
        <w:rPr>
          <w:color w:val="000000" w:themeColor="text1"/>
          <w:lang w:val="en-US"/>
        </w:rPr>
      </w:pPr>
      <w:r>
        <w:t xml:space="preserve">Object Controller </w:t>
      </w:r>
      <w:r w:rsidRPr="00FE5028">
        <w:rPr>
          <w:color w:val="000000" w:themeColor="text1"/>
          <w:lang w:val="en-US"/>
        </w:rPr>
        <w:t>Generischer I/O</w:t>
      </w:r>
    </w:p>
    <w:p w14:paraId="3C55767B" w14:textId="77777777" w:rsidR="00DD56B6" w:rsidRPr="00DD56B6" w:rsidRDefault="00DD56B6" w:rsidP="00DD56B6">
      <w:pPr>
        <w:pStyle w:val="Paragraph"/>
        <w:jc w:val="left"/>
        <w:rPr>
          <w:lang w:val="de-AT"/>
        </w:rPr>
      </w:pPr>
      <w:commentRangeStart w:id="92"/>
      <w:r w:rsidRPr="00DD56B6">
        <w:rPr>
          <w:lang w:val="de-AT"/>
        </w:rPr>
        <w:t>Das EULYNX</w:t>
      </w:r>
      <w:r w:rsidRPr="00DD56B6">
        <w:rPr>
          <w:rFonts w:ascii="Cambria Math" w:hAnsi="Cambria Math" w:cs="Cambria Math"/>
          <w:lang w:val="de-AT"/>
        </w:rPr>
        <w:t>‑</w:t>
      </w:r>
      <w:r w:rsidRPr="00DD56B6">
        <w:rPr>
          <w:lang w:val="de-AT"/>
        </w:rPr>
        <w:t xml:space="preserve">Teilsystem Generic I/O wird zur Steuerung und Überwachung verschiedener elektrisch </w:t>
      </w:r>
      <w:commentRangeEnd w:id="92"/>
      <w:r w:rsidR="001563FB" w:rsidRPr="00DD56B6">
        <w:rPr>
          <w:rStyle w:val="CommentReference"/>
          <w:sz w:val="20"/>
          <w:lang w:val="de-AT"/>
        </w:rPr>
        <w:commentReference w:id="92"/>
      </w:r>
      <w:r w:rsidRPr="00DD56B6">
        <w:rPr>
          <w:lang w:val="de-AT"/>
        </w:rPr>
        <w:t>fernbedienter Feldelemente eingesetzt, wie beispielsweise:</w:t>
      </w:r>
    </w:p>
    <w:p w14:paraId="35AF1D75" w14:textId="38792890" w:rsidR="00DD56B6" w:rsidRPr="0006414F" w:rsidRDefault="00DD56B6" w:rsidP="00362C69">
      <w:pPr>
        <w:numPr>
          <w:ilvl w:val="0"/>
          <w:numId w:val="23"/>
        </w:numPr>
        <w:spacing w:before="100" w:beforeAutospacing="1" w:after="100" w:afterAutospacing="1"/>
        <w:rPr>
          <w:rFonts w:ascii="Arial" w:hAnsi="Arial" w:cs="Arial"/>
          <w:color w:val="000000" w:themeColor="text1"/>
          <w:sz w:val="20"/>
          <w:szCs w:val="20"/>
          <w:lang w:val="en-US"/>
        </w:rPr>
      </w:pPr>
      <w:r w:rsidRPr="0006414F">
        <w:rPr>
          <w:rFonts w:ascii="Arial" w:hAnsi="Arial" w:cs="Arial"/>
          <w:color w:val="000000" w:themeColor="text1"/>
          <w:sz w:val="20"/>
          <w:szCs w:val="20"/>
          <w:lang w:val="en-US"/>
        </w:rPr>
        <w:t>Schlüsselsperren (Bahnhof und Strecke)</w:t>
      </w:r>
    </w:p>
    <w:p w14:paraId="1A09E401" w14:textId="02CF0015" w:rsidR="00DD56B6" w:rsidRPr="0006414F" w:rsidRDefault="00DD56B6" w:rsidP="00362C69">
      <w:pPr>
        <w:numPr>
          <w:ilvl w:val="0"/>
          <w:numId w:val="23"/>
        </w:numPr>
        <w:spacing w:before="100" w:beforeAutospacing="1" w:after="100" w:afterAutospacing="1"/>
        <w:rPr>
          <w:rFonts w:ascii="Arial" w:hAnsi="Arial" w:cs="Arial"/>
          <w:color w:val="000000" w:themeColor="text1"/>
          <w:sz w:val="20"/>
          <w:szCs w:val="20"/>
          <w:lang w:val="en-US"/>
        </w:rPr>
      </w:pPr>
      <w:r w:rsidRPr="0006414F">
        <w:rPr>
          <w:rFonts w:ascii="Arial" w:hAnsi="Arial" w:cs="Arial"/>
          <w:color w:val="000000" w:themeColor="text1"/>
          <w:sz w:val="20"/>
          <w:szCs w:val="20"/>
          <w:lang w:val="en-US"/>
        </w:rPr>
        <w:t>Nahbedienung</w:t>
      </w:r>
    </w:p>
    <w:p w14:paraId="087CAD51" w14:textId="6314D11F" w:rsidR="00DD56B6" w:rsidRPr="0006414F" w:rsidRDefault="00DD56B6" w:rsidP="00362C69">
      <w:pPr>
        <w:numPr>
          <w:ilvl w:val="0"/>
          <w:numId w:val="23"/>
        </w:numPr>
        <w:spacing w:before="100" w:beforeAutospacing="1" w:after="100" w:afterAutospacing="1"/>
        <w:rPr>
          <w:rFonts w:ascii="Arial" w:hAnsi="Arial" w:cs="Arial"/>
          <w:color w:val="000000" w:themeColor="text1"/>
          <w:sz w:val="20"/>
          <w:szCs w:val="20"/>
          <w:lang w:val="en-US"/>
        </w:rPr>
      </w:pPr>
      <w:r w:rsidRPr="0006414F">
        <w:rPr>
          <w:rFonts w:ascii="Arial" w:hAnsi="Arial" w:cs="Arial"/>
          <w:color w:val="000000" w:themeColor="text1"/>
          <w:sz w:val="20"/>
          <w:szCs w:val="20"/>
          <w:lang w:val="en-US"/>
        </w:rPr>
        <w:t>Ablauflampe</w:t>
      </w:r>
    </w:p>
    <w:p w14:paraId="3211C3AF" w14:textId="30A776AB" w:rsidR="00DD56B6" w:rsidRPr="0006414F" w:rsidRDefault="00DD56B6" w:rsidP="00362C69">
      <w:pPr>
        <w:numPr>
          <w:ilvl w:val="0"/>
          <w:numId w:val="23"/>
        </w:numPr>
        <w:spacing w:before="100" w:beforeAutospacing="1" w:after="100" w:afterAutospacing="1"/>
        <w:rPr>
          <w:rFonts w:ascii="Arial" w:hAnsi="Arial" w:cs="Arial"/>
          <w:color w:val="000000" w:themeColor="text1"/>
          <w:sz w:val="20"/>
          <w:szCs w:val="20"/>
          <w:lang w:val="en-US"/>
        </w:rPr>
      </w:pPr>
      <w:r w:rsidRPr="0006414F">
        <w:rPr>
          <w:rFonts w:ascii="Arial" w:hAnsi="Arial" w:cs="Arial"/>
          <w:color w:val="000000" w:themeColor="text1"/>
          <w:sz w:val="20"/>
          <w:szCs w:val="20"/>
          <w:lang w:val="en-US"/>
        </w:rPr>
        <w:t>Universalelement</w:t>
      </w:r>
    </w:p>
    <w:p w14:paraId="6E8CE072" w14:textId="238040E2" w:rsidR="00DD56B6" w:rsidRPr="0006414F" w:rsidRDefault="00DD56B6" w:rsidP="00362C69">
      <w:pPr>
        <w:numPr>
          <w:ilvl w:val="0"/>
          <w:numId w:val="23"/>
        </w:numPr>
        <w:spacing w:before="100" w:beforeAutospacing="1" w:after="100" w:afterAutospacing="1"/>
        <w:rPr>
          <w:rFonts w:ascii="Arial" w:hAnsi="Arial" w:cs="Arial"/>
          <w:color w:val="000000" w:themeColor="text1"/>
          <w:sz w:val="20"/>
          <w:szCs w:val="20"/>
          <w:lang w:val="en-US"/>
        </w:rPr>
      </w:pPr>
      <w:r w:rsidRPr="0006414F">
        <w:rPr>
          <w:rFonts w:ascii="Arial" w:hAnsi="Arial" w:cs="Arial"/>
          <w:color w:val="000000" w:themeColor="text1"/>
          <w:sz w:val="20"/>
          <w:szCs w:val="20"/>
          <w:lang w:val="en-US"/>
        </w:rPr>
        <w:t>zusätzliche kundenspezifische Einrichtungen</w:t>
      </w:r>
    </w:p>
    <w:p w14:paraId="2D8B6762" w14:textId="77777777" w:rsidR="00DD56B6" w:rsidRPr="00DD56B6" w:rsidRDefault="00DD56B6" w:rsidP="00DD56B6">
      <w:pPr>
        <w:pStyle w:val="Paragraph"/>
        <w:jc w:val="left"/>
        <w:rPr>
          <w:lang w:val="de-AT"/>
        </w:rPr>
      </w:pPr>
      <w:r w:rsidRPr="00DD56B6">
        <w:rPr>
          <w:lang w:val="de-AT"/>
        </w:rPr>
        <w:t>Der Object Controller (OC) Generic I/O wandelt Steuerbefehle von der DIL</w:t>
      </w:r>
      <w:r w:rsidRPr="00DD56B6">
        <w:rPr>
          <w:rFonts w:ascii="Cambria Math" w:hAnsi="Cambria Math" w:cs="Cambria Math"/>
          <w:lang w:val="de-AT"/>
        </w:rPr>
        <w:t>‑</w:t>
      </w:r>
      <w:r w:rsidRPr="00DD56B6">
        <w:rPr>
          <w:lang w:val="de-AT"/>
        </w:rPr>
        <w:t>CU in Stellbefehle um und überträgt diese an die oben genannten Feldelemente, überwacht deren Zustände und bewertet alle von den Feldelementen gelieferten Informationen. Die Informationen werden anschließend an die DIL</w:t>
      </w:r>
      <w:r w:rsidRPr="00DD56B6">
        <w:rPr>
          <w:rFonts w:ascii="Cambria Math" w:hAnsi="Cambria Math" w:cs="Cambria Math"/>
          <w:lang w:val="de-AT"/>
        </w:rPr>
        <w:t>‑</w:t>
      </w:r>
      <w:r w:rsidRPr="00DD56B6">
        <w:rPr>
          <w:lang w:val="de-AT"/>
        </w:rPr>
        <w:t>CU und das DDSP weitergeleitet.</w:t>
      </w:r>
    </w:p>
    <w:p w14:paraId="4244F602" w14:textId="52E39823" w:rsidR="00DD56B6" w:rsidRDefault="00DD56B6" w:rsidP="00DD56B6">
      <w:pPr>
        <w:pStyle w:val="Paragraph"/>
        <w:jc w:val="left"/>
        <w:rPr>
          <w:lang w:val="de-AT"/>
        </w:rPr>
      </w:pPr>
      <w:r w:rsidRPr="00DD56B6">
        <w:rPr>
          <w:lang w:val="de-AT"/>
        </w:rPr>
        <w:t>Das Teilsystem besteht aus einem Generic I/O Object Controller und kann für sichere/unsichere Ein- und Ausgänge konfiguriert werden. Die Logik für die aufgeführten Feldelemente ist im VIL/ECMUX implementiert.</w:t>
      </w:r>
    </w:p>
    <w:p w14:paraId="00505458" w14:textId="5E45F970" w:rsidR="00DD56B6" w:rsidRDefault="009821D6" w:rsidP="00DD56B6">
      <w:pPr>
        <w:pStyle w:val="Paragraph"/>
        <w:jc w:val="left"/>
        <w:rPr>
          <w:lang w:val="de-AT"/>
        </w:rPr>
      </w:pPr>
      <w:r>
        <w:rPr>
          <w:noProof/>
        </w:rPr>
        <w:lastRenderedPageBreak/>
        <mc:AlternateContent>
          <mc:Choice Requires="wps">
            <w:drawing>
              <wp:anchor distT="0" distB="0" distL="114300" distR="114300" simplePos="0" relativeHeight="251658240" behindDoc="0" locked="0" layoutInCell="1" allowOverlap="1" wp14:anchorId="3E6EB497" wp14:editId="67CA8763">
                <wp:simplePos x="0" y="0"/>
                <wp:positionH relativeFrom="column">
                  <wp:posOffset>3770568</wp:posOffset>
                </wp:positionH>
                <wp:positionV relativeFrom="paragraph">
                  <wp:posOffset>3068581</wp:posOffset>
                </wp:positionV>
                <wp:extent cx="420736" cy="356223"/>
                <wp:effectExtent l="0" t="0" r="17780" b="25400"/>
                <wp:wrapNone/>
                <wp:docPr id="7" name="Rectangle 7"/>
                <wp:cNvGraphicFramePr/>
                <a:graphic xmlns:a="http://schemas.openxmlformats.org/drawingml/2006/main">
                  <a:graphicData uri="http://schemas.microsoft.com/office/word/2010/wordprocessingShape">
                    <wps:wsp>
                      <wps:cNvSpPr/>
                      <wps:spPr>
                        <a:xfrm>
                          <a:off x="0" y="0"/>
                          <a:ext cx="420736" cy="35622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B7E5E81" id="Rectangle 7" o:spid="_x0000_s1026" style="position:absolute;margin-left:296.9pt;margin-top:241.6pt;width:33.15pt;height:28.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3GnfgIAAF4FAAAOAAAAZHJzL2Uyb0RvYy54bWysVMFu2zAMvQ/YPwi6r3bctN2COkXQIsOA&#10;oi3WDj0rshQbkEWNUuJkXz9KdpygK3YY5oMsieQj+UTy+mbXGrZV6BuwJZ+c5ZwpK6Fq7LrkP16W&#10;nz5z5oOwlTBgVcn3yvOb+ccP152bqQJqMJVCRiDWzzpX8joEN8syL2vVCn8GTlkSasBWBDriOqtQ&#10;dITemqzI88usA6wcglTe0+1dL+TzhK+1kuFRa68CMyWn2EJaMa2ruGbzazFbo3B1I4cwxD9E0YrG&#10;ktMR6k4EwTbY/AHVNhLBgw5nEtoMtG6kSjlQNpP8TTbPtXAq5ULkeDfS5P8frHzYPrsnJBo652ee&#10;tjGLncY2/ik+tktk7Uey1C4wSZfTIr86v+RMkuj84rIoziOZ2dHYoQ9fFbQsbkqO9BaJIrG996FX&#10;PahEXxaWjTHpPYyNFx5MU8W7dMD16tYg2wp6yOUyp29wd6JGzqNpdkwl7cLeqIhh7HelWVNR8EWK&#10;JFWZGmGFlMqGSS+qRaV6bxenzmJdRouUaQKMyJqiHLEHgINmD3LA7vMe9KOpSkU6Gud/C6w3Hi2S&#10;Z7BhNG4bC/gegKGsBs+9/oGknprI0gqq/RMyhL5FvJPLht7tXvjwJJB6grqH+jw80qINdCWHYcdZ&#10;DfjrvfuoT6VKUs466rGS+58bgYoz881SEX+ZTKexKdNhenFV0AFPJatTid20t0CvP6GJ4mTaRv1g&#10;DluN0L7SOFhEryQSVpLvksuAh8Nt6HufBopUi0VSo0Z0ItzbZycjeGQ11uXL7lWgG4o3UNU/wKEf&#10;xexNDfe60dLCYhNAN6nAj7wOfFMTp8IZBk6cEqfnpHUci/PfAAAA//8DAFBLAwQUAAYACAAAACEA&#10;ObZ5Tt8AAAALAQAADwAAAGRycy9kb3ducmV2LnhtbEyPwU7DMBBE70j8g7VI3KiTBkIb4lQI0RMH&#10;oFTi6sZLEtVeR7bThr9nOcFxNLMzb+vN7Kw4YYiDJwX5IgOB1HozUKdg/7G9WYGISZPR1hMq+MYI&#10;m+byotaV8Wd6x9MudYJLKFZaQZ/SWEkZ2x6djgs/IrH35YPTiWXopAn6zOXOymWWldLpgXih1yM+&#10;9dged5NjjNG+jWZ6Pe4/83kbns1L1N29UtdX8+MDiIRz+gvDLz7fQMNMBz+RicIquFsXjJ4U3K6K&#10;JQhOlGWWgziwVawLkE0t///Q/AAAAP//AwBQSwECLQAUAAYACAAAACEAtoM4kv4AAADhAQAAEwAA&#10;AAAAAAAAAAAAAAAAAAAAW0NvbnRlbnRfVHlwZXNdLnhtbFBLAQItABQABgAIAAAAIQA4/SH/1gAA&#10;AJQBAAALAAAAAAAAAAAAAAAAAC8BAABfcmVscy8ucmVsc1BLAQItABQABgAIAAAAIQCOp3GnfgIA&#10;AF4FAAAOAAAAAAAAAAAAAAAAAC4CAABkcnMvZTJvRG9jLnhtbFBLAQItABQABgAIAAAAIQA5tnlO&#10;3wAAAAsBAAAPAAAAAAAAAAAAAAAAANgEAABkcnMvZG93bnJldi54bWxQSwUGAAAAAAQABADzAAAA&#10;5AUAAAAA&#10;" filled="f" strokecolor="red" strokeweight="1pt"/>
            </w:pict>
          </mc:Fallback>
        </mc:AlternateContent>
      </w:r>
      <w:r w:rsidR="00DD56B6" w:rsidRPr="002424BC">
        <w:rPr>
          <w:noProof/>
        </w:rPr>
        <w:drawing>
          <wp:inline distT="0" distB="0" distL="0" distR="0" wp14:anchorId="013115EA" wp14:editId="53226A0E">
            <wp:extent cx="5760720" cy="4071180"/>
            <wp:effectExtent l="0" t="0" r="0" b="571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JPG"/>
                    <pic:cNvPicPr/>
                  </pic:nvPicPr>
                  <pic:blipFill>
                    <a:blip r:embed="rId23"/>
                    <a:stretch>
                      <a:fillRect/>
                    </a:stretch>
                  </pic:blipFill>
                  <pic:spPr>
                    <a:xfrm>
                      <a:off x="0" y="0"/>
                      <a:ext cx="5760720" cy="4071180"/>
                    </a:xfrm>
                    <a:prstGeom prst="rect">
                      <a:avLst/>
                    </a:prstGeom>
                  </pic:spPr>
                </pic:pic>
              </a:graphicData>
            </a:graphic>
          </wp:inline>
        </w:drawing>
      </w:r>
    </w:p>
    <w:p w14:paraId="73347F71" w14:textId="27D40A90" w:rsidR="00DD56B6" w:rsidRPr="000719A4" w:rsidRDefault="00DD56B6" w:rsidP="00DD56B6">
      <w:pPr>
        <w:pStyle w:val="Caption"/>
      </w:pPr>
      <w:bookmarkStart w:id="93" w:name="_Toc242167548"/>
      <w:r w:rsidRPr="009B3D3D">
        <w:t xml:space="preserve">Abbildung </w:t>
      </w:r>
      <w:r w:rsidRPr="009B3D3D">
        <w:fldChar w:fldCharType="begin"/>
      </w:r>
      <w:r w:rsidRPr="009B3D3D">
        <w:instrText xml:space="preserve"> SEQ Abbildung \* ARABIC </w:instrText>
      </w:r>
      <w:r w:rsidRPr="009B3D3D">
        <w:fldChar w:fldCharType="separate"/>
      </w:r>
      <w:r w:rsidR="00371A83">
        <w:rPr>
          <w:noProof/>
        </w:rPr>
        <w:t>4</w:t>
      </w:r>
      <w:r w:rsidRPr="009B3D3D">
        <w:fldChar w:fldCharType="end"/>
      </w:r>
      <w:r w:rsidRPr="009B3D3D">
        <w:t xml:space="preserve">: </w:t>
      </w:r>
      <w:r>
        <w:t xml:space="preserve">Object Controller </w:t>
      </w:r>
      <w:r w:rsidRPr="00FE5028">
        <w:rPr>
          <w:rFonts w:cs="Arial"/>
          <w:color w:val="000000" w:themeColor="text1"/>
          <w:lang w:val="en-US"/>
        </w:rPr>
        <w:t>Generischer I/O</w:t>
      </w:r>
      <w:bookmarkEnd w:id="93"/>
    </w:p>
    <w:p w14:paraId="7A23F049" w14:textId="1C306B88" w:rsidR="00FE5028" w:rsidRDefault="00FE5028" w:rsidP="00FE5028">
      <w:pPr>
        <w:pStyle w:val="Heading4"/>
        <w:rPr>
          <w:color w:val="000000" w:themeColor="text1"/>
          <w:lang w:val="en-US"/>
        </w:rPr>
      </w:pPr>
      <w:r>
        <w:t xml:space="preserve">Object Controller </w:t>
      </w:r>
      <w:r w:rsidRPr="00DD337B">
        <w:rPr>
          <w:color w:val="000000" w:themeColor="text1"/>
          <w:lang w:val="en-US"/>
        </w:rPr>
        <w:t>A</w:t>
      </w:r>
      <w:r>
        <w:rPr>
          <w:color w:val="000000" w:themeColor="text1"/>
          <w:lang w:val="en-US"/>
        </w:rPr>
        <w:t>chszähler</w:t>
      </w:r>
    </w:p>
    <w:p w14:paraId="29337F8B" w14:textId="12479570" w:rsidR="009C3053" w:rsidRPr="009C3053" w:rsidRDefault="009C3053" w:rsidP="009C3053">
      <w:pPr>
        <w:pStyle w:val="Paragraph"/>
        <w:jc w:val="left"/>
        <w:rPr>
          <w:lang w:val="de-AT"/>
        </w:rPr>
      </w:pPr>
      <w:r w:rsidRPr="009C3053">
        <w:rPr>
          <w:lang w:val="de-AT"/>
        </w:rPr>
        <w:t>Das EULYNX</w:t>
      </w:r>
      <w:r w:rsidRPr="009C3053">
        <w:rPr>
          <w:lang w:val="de-AT"/>
        </w:rPr>
        <w:noBreakHyphen/>
        <w:t>Teilsystem TDS wird zur Auswertung von freien bzw. belegten Gleisabschnitten eingesetzt. Der Object Controller (OC) TDS wandelt Steuerbefehle von der DIL</w:t>
      </w:r>
      <w:r w:rsidRPr="009C3053">
        <w:rPr>
          <w:lang w:val="de-AT"/>
        </w:rPr>
        <w:noBreakHyphen/>
        <w:t>CU in Stellbefehle um und überträgt diese an das TDS; die Zustandsinformationen des TDS werden anschließend an die DIL</w:t>
      </w:r>
      <w:r w:rsidRPr="009C3053">
        <w:rPr>
          <w:lang w:val="de-AT"/>
        </w:rPr>
        <w:noBreakHyphen/>
        <w:t>CU und das DDSP weitergeleitet.</w:t>
      </w:r>
    </w:p>
    <w:p w14:paraId="37B0BFA7" w14:textId="0CF8852F" w:rsidR="009C3053" w:rsidRPr="009C3053" w:rsidRDefault="001563FB" w:rsidP="009C3053">
      <w:pPr>
        <w:pStyle w:val="Paragraph"/>
        <w:jc w:val="left"/>
        <w:rPr>
          <w:lang w:val="de-AT"/>
        </w:rPr>
      </w:pPr>
      <w:r w:rsidRPr="001563FB">
        <w:rPr>
          <w:lang w:val="de-AT"/>
        </w:rPr>
        <w:t>Das Teilsystem besteht aus dem AzLM-System, welches die Logik des Teilsystems bereitstellt, sowie den Detektionspunkten</w:t>
      </w:r>
      <w:r w:rsidR="009C3053" w:rsidRPr="009C3053">
        <w:rPr>
          <w:lang w:val="de-AT"/>
        </w:rPr>
        <w:t>.</w:t>
      </w:r>
    </w:p>
    <w:p w14:paraId="4B0C3BF3" w14:textId="3D7F1E7F" w:rsidR="009C3053" w:rsidRDefault="009821D6" w:rsidP="009C3053">
      <w:pPr>
        <w:pStyle w:val="Text"/>
        <w:ind w:left="0"/>
        <w:rPr>
          <w:lang w:val="de-AT" w:eastAsia="ja-JP"/>
        </w:rPr>
      </w:pPr>
      <w:r>
        <w:rPr>
          <w:noProof/>
        </w:rPr>
        <w:lastRenderedPageBreak/>
        <mc:AlternateContent>
          <mc:Choice Requires="wps">
            <w:drawing>
              <wp:anchor distT="0" distB="0" distL="114300" distR="114300" simplePos="0" relativeHeight="251658241" behindDoc="0" locked="0" layoutInCell="1" allowOverlap="1" wp14:anchorId="75DB08B9" wp14:editId="50181B54">
                <wp:simplePos x="0" y="0"/>
                <wp:positionH relativeFrom="column">
                  <wp:posOffset>2222720</wp:posOffset>
                </wp:positionH>
                <wp:positionV relativeFrom="paragraph">
                  <wp:posOffset>3070611</wp:posOffset>
                </wp:positionV>
                <wp:extent cx="420736" cy="356223"/>
                <wp:effectExtent l="0" t="0" r="17780" b="25400"/>
                <wp:wrapNone/>
                <wp:docPr id="10" name="Rectangle 10"/>
                <wp:cNvGraphicFramePr/>
                <a:graphic xmlns:a="http://schemas.openxmlformats.org/drawingml/2006/main">
                  <a:graphicData uri="http://schemas.microsoft.com/office/word/2010/wordprocessingShape">
                    <wps:wsp>
                      <wps:cNvSpPr/>
                      <wps:spPr>
                        <a:xfrm>
                          <a:off x="0" y="0"/>
                          <a:ext cx="420736" cy="35622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59C9C10" id="Rectangle 10" o:spid="_x0000_s1026" style="position:absolute;margin-left:175pt;margin-top:241.8pt;width:33.15pt;height:28.0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3GnfgIAAF4FAAAOAAAAZHJzL2Uyb0RvYy54bWysVMFu2zAMvQ/YPwi6r3bctN2COkXQIsOA&#10;oi3WDj0rshQbkEWNUuJkXz9KdpygK3YY5oMsieQj+UTy+mbXGrZV6BuwJZ+c5ZwpK6Fq7LrkP16W&#10;nz5z5oOwlTBgVcn3yvOb+ccP152bqQJqMJVCRiDWzzpX8joEN8syL2vVCn8GTlkSasBWBDriOqtQ&#10;dITemqzI88usA6wcglTe0+1dL+TzhK+1kuFRa68CMyWn2EJaMa2ruGbzazFbo3B1I4cwxD9E0YrG&#10;ktMR6k4EwTbY/AHVNhLBgw5nEtoMtG6kSjlQNpP8TTbPtXAq5ULkeDfS5P8frHzYPrsnJBo652ee&#10;tjGLncY2/ik+tktk7Uey1C4wSZfTIr86v+RMkuj84rIoziOZ2dHYoQ9fFbQsbkqO9BaJIrG996FX&#10;PahEXxaWjTHpPYyNFx5MU8W7dMD16tYg2wp6yOUyp29wd6JGzqNpdkwl7cLeqIhh7HelWVNR8EWK&#10;JFWZGmGFlMqGSS+qRaV6bxenzmJdRouUaQKMyJqiHLEHgINmD3LA7vMe9KOpSkU6Gud/C6w3Hi2S&#10;Z7BhNG4bC/gegKGsBs+9/oGknprI0gqq/RMyhL5FvJPLht7tXvjwJJB6grqH+jw80qINdCWHYcdZ&#10;DfjrvfuoT6VKUs466rGS+58bgYoz881SEX+ZTKexKdNhenFV0AFPJatTid20t0CvP6GJ4mTaRv1g&#10;DluN0L7SOFhEryQSVpLvksuAh8Nt6HufBopUi0VSo0Z0ItzbZycjeGQ11uXL7lWgG4o3UNU/wKEf&#10;xexNDfe60dLCYhNAN6nAj7wOfFMTp8IZBk6cEqfnpHUci/PfAAAA//8DAFBLAwQUAAYACAAAACEA&#10;0U+LVeAAAAALAQAADwAAAGRycy9kb3ducmV2LnhtbEyPwU7DMBBE70j8g7VI3KgT0qYljVMhRE8c&#10;KKUSVzfeJlHttWU7bfh7zAmOo52deVNvJqPZBX0YLAnIZxkwpNaqgToBh8/twwpYiJKU1JZQwDcG&#10;2DS3N7WslL3SB172sWMphEIlBfQxuorz0PZoZJhZh5RuJ+uNjEn6jisvryncaP6YZSU3cqDU0EuH&#10;Lz225/1oEobTO6fG9/PhK5+2/lW9Bdkthbi/m57XwCJO8c8Mv/jpB5rEdLQjqcC0gGKRpS1RwHxV&#10;lMCSY56XBbCjgEXxtATe1Pz/huYHAAD//wMAUEsBAi0AFAAGAAgAAAAhALaDOJL+AAAA4QEAABMA&#10;AAAAAAAAAAAAAAAAAAAAAFtDb250ZW50X1R5cGVzXS54bWxQSwECLQAUAAYACAAAACEAOP0h/9YA&#10;AACUAQAACwAAAAAAAAAAAAAAAAAvAQAAX3JlbHMvLnJlbHNQSwECLQAUAAYACAAAACEAjqdxp34C&#10;AABeBQAADgAAAAAAAAAAAAAAAAAuAgAAZHJzL2Uyb0RvYy54bWxQSwECLQAUAAYACAAAACEA0U+L&#10;VeAAAAALAQAADwAAAAAAAAAAAAAAAADYBAAAZHJzL2Rvd25yZXYueG1sUEsFBgAAAAAEAAQA8wAA&#10;AOUFAAAAAA==&#10;" filled="f" strokecolor="red" strokeweight="1pt"/>
            </w:pict>
          </mc:Fallback>
        </mc:AlternateContent>
      </w:r>
      <w:r w:rsidR="009C3053" w:rsidRPr="007318A8">
        <w:rPr>
          <w:noProof/>
        </w:rPr>
        <w:drawing>
          <wp:inline distT="0" distB="0" distL="0" distR="0" wp14:anchorId="004A663B" wp14:editId="6BF4A088">
            <wp:extent cx="5760720" cy="407118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JPG"/>
                    <pic:cNvPicPr/>
                  </pic:nvPicPr>
                  <pic:blipFill>
                    <a:blip r:embed="rId23"/>
                    <a:stretch>
                      <a:fillRect/>
                    </a:stretch>
                  </pic:blipFill>
                  <pic:spPr>
                    <a:xfrm>
                      <a:off x="0" y="0"/>
                      <a:ext cx="5760720" cy="4071180"/>
                    </a:xfrm>
                    <a:prstGeom prst="rect">
                      <a:avLst/>
                    </a:prstGeom>
                  </pic:spPr>
                </pic:pic>
              </a:graphicData>
            </a:graphic>
          </wp:inline>
        </w:drawing>
      </w:r>
    </w:p>
    <w:p w14:paraId="0289BACE" w14:textId="6928FC36" w:rsidR="009C3053" w:rsidRPr="009C3053" w:rsidRDefault="009C3053" w:rsidP="009C3053">
      <w:pPr>
        <w:pStyle w:val="Caption"/>
      </w:pPr>
      <w:bookmarkStart w:id="94" w:name="_Toc242167549"/>
      <w:r w:rsidRPr="009B3D3D">
        <w:t xml:space="preserve">Abbildung </w:t>
      </w:r>
      <w:r w:rsidRPr="009B3D3D">
        <w:fldChar w:fldCharType="begin"/>
      </w:r>
      <w:r w:rsidRPr="009B3D3D">
        <w:instrText xml:space="preserve"> SEQ Abbildung \* ARABIC </w:instrText>
      </w:r>
      <w:r w:rsidRPr="009B3D3D">
        <w:fldChar w:fldCharType="separate"/>
      </w:r>
      <w:r w:rsidR="00371A83">
        <w:rPr>
          <w:noProof/>
        </w:rPr>
        <w:t>5</w:t>
      </w:r>
      <w:r w:rsidRPr="009B3D3D">
        <w:fldChar w:fldCharType="end"/>
      </w:r>
      <w:r w:rsidRPr="009B3D3D">
        <w:t xml:space="preserve">: </w:t>
      </w:r>
      <w:r>
        <w:t xml:space="preserve">Object Controller </w:t>
      </w:r>
      <w:r w:rsidRPr="00DD337B">
        <w:rPr>
          <w:rFonts w:cs="Arial"/>
          <w:color w:val="000000" w:themeColor="text1"/>
          <w:lang w:val="en-US"/>
        </w:rPr>
        <w:t>A</w:t>
      </w:r>
      <w:r>
        <w:rPr>
          <w:rFonts w:cs="Arial"/>
          <w:color w:val="000000" w:themeColor="text1"/>
          <w:lang w:val="en-US"/>
        </w:rPr>
        <w:t>chszähler</w:t>
      </w:r>
      <w:bookmarkEnd w:id="94"/>
    </w:p>
    <w:p w14:paraId="4FC60FF0" w14:textId="545BA699" w:rsidR="00FE5028" w:rsidRDefault="00FE5028" w:rsidP="00FE5028">
      <w:pPr>
        <w:pStyle w:val="Heading4"/>
      </w:pPr>
      <w:r>
        <w:t xml:space="preserve">Object Controller </w:t>
      </w:r>
      <w:r w:rsidR="00BC59C7">
        <w:rPr>
          <w:color w:val="000000" w:themeColor="text1"/>
          <w:lang w:val="en-US"/>
        </w:rPr>
        <w:t>EKSA</w:t>
      </w:r>
    </w:p>
    <w:p w14:paraId="0C285344" w14:textId="22B87203" w:rsidR="00FE5028" w:rsidRDefault="00912475" w:rsidP="00FE5028">
      <w:pPr>
        <w:pStyle w:val="Paragraph"/>
        <w:jc w:val="left"/>
        <w:rPr>
          <w:lang w:val="de-AT"/>
        </w:rPr>
      </w:pPr>
      <w:r w:rsidRPr="00912475">
        <w:rPr>
          <w:lang w:val="de-AT"/>
        </w:rPr>
        <w:t xml:space="preserve">Das IFC-LCSI wird innerhalb der DFE-Architektur als Object Controller für </w:t>
      </w:r>
      <w:r w:rsidR="00B4777B">
        <w:rPr>
          <w:lang w:val="de-AT"/>
        </w:rPr>
        <w:t>E</w:t>
      </w:r>
      <w:r w:rsidRPr="00912475">
        <w:rPr>
          <w:lang w:val="de-AT"/>
        </w:rPr>
        <w:t>isenbahnkreuzungssicherungsanlagen (EKSA) eingesetzt. Das IFC-LCSI wandelt Steuerbefehle der DIL-CU in parallele Schnittstellenbefehle um und überträgt diese an die EKSA, überwacht die Zustände der EKSA und leitet diese an die DIL-CU oder das DDSP-System weiter. Zusätzlich kann auf Anfrage eine VLSA (Verkehrslichtsignalanlage) angesteuert werden.</w:t>
      </w:r>
    </w:p>
    <w:p w14:paraId="23E309EA" w14:textId="0B0A1081" w:rsidR="00BC59C7" w:rsidRPr="00BC59C7" w:rsidRDefault="00BC59C7" w:rsidP="00BC59C7">
      <w:pPr>
        <w:pStyle w:val="Paragraph"/>
        <w:rPr>
          <w:lang w:val="de-AT"/>
        </w:rPr>
      </w:pPr>
      <w:r w:rsidRPr="00BC59C7">
        <w:rPr>
          <w:lang w:val="de-AT"/>
        </w:rPr>
        <w:t>Die rote Markierung kennzeichnet die Komponente IFC</w:t>
      </w:r>
      <w:r w:rsidRPr="00BC59C7">
        <w:rPr>
          <w:lang w:val="de-AT"/>
        </w:rPr>
        <w:noBreakHyphen/>
        <w:t>LCSI, welche die parallele Schnittstelle von Bahnübergangssicherungsanlagen (</w:t>
      </w:r>
      <w:r>
        <w:rPr>
          <w:lang w:val="de-AT"/>
        </w:rPr>
        <w:t>EKSA</w:t>
      </w:r>
      <w:r w:rsidRPr="00BC59C7">
        <w:rPr>
          <w:lang w:val="de-AT"/>
        </w:rPr>
        <w:t>) in EULYNX</w:t>
      </w:r>
      <w:r w:rsidRPr="00BC59C7">
        <w:rPr>
          <w:lang w:val="de-AT"/>
        </w:rPr>
        <w:noBreakHyphen/>
        <w:t>konforme Schnittstellen für die Digital Interlocking Central Unit (DIL</w:t>
      </w:r>
      <w:r w:rsidRPr="00BC59C7">
        <w:rPr>
          <w:lang w:val="de-AT"/>
        </w:rPr>
        <w:noBreakHyphen/>
        <w:t>CU) umsetzt. Das IFC</w:t>
      </w:r>
      <w:r w:rsidRPr="00BC59C7">
        <w:rPr>
          <w:lang w:val="de-AT"/>
        </w:rPr>
        <w:noBreakHyphen/>
        <w:t xml:space="preserve">LCSI wird für solche </w:t>
      </w:r>
      <w:r>
        <w:rPr>
          <w:lang w:val="de-AT"/>
        </w:rPr>
        <w:t>EKSAs</w:t>
      </w:r>
      <w:r w:rsidRPr="00BC59C7">
        <w:rPr>
          <w:lang w:val="de-AT"/>
        </w:rPr>
        <w:t xml:space="preserve"> eingesetzt, die derzeit noch keine EULYNX</w:t>
      </w:r>
      <w:r w:rsidRPr="00BC59C7">
        <w:rPr>
          <w:lang w:val="de-AT"/>
        </w:rPr>
        <w:noBreakHyphen/>
        <w:t>konformen Schnittstellen bereitstellen.</w:t>
      </w:r>
    </w:p>
    <w:p w14:paraId="65DA98CC" w14:textId="5DE59D23" w:rsidR="00BC59C7" w:rsidRDefault="00BC59C7" w:rsidP="00FE5028">
      <w:pPr>
        <w:pStyle w:val="Paragraph"/>
        <w:jc w:val="left"/>
        <w:rPr>
          <w:lang w:val="de-AT"/>
        </w:rPr>
      </w:pPr>
      <w:r w:rsidRPr="00066F35">
        <w:rPr>
          <w:noProof/>
        </w:rPr>
        <w:lastRenderedPageBreak/>
        <w:drawing>
          <wp:inline distT="0" distB="0" distL="0" distR="0" wp14:anchorId="673064B8" wp14:editId="4694CEC5">
            <wp:extent cx="5761355" cy="4438015"/>
            <wp:effectExtent l="0" t="0" r="0" b="635"/>
            <wp:docPr id="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355" cy="4438015"/>
                    </a:xfrm>
                    <a:prstGeom prst="rect">
                      <a:avLst/>
                    </a:prstGeom>
                    <a:noFill/>
                  </pic:spPr>
                </pic:pic>
              </a:graphicData>
            </a:graphic>
          </wp:inline>
        </w:drawing>
      </w:r>
    </w:p>
    <w:p w14:paraId="4CCA2FF1" w14:textId="66EBCAD4" w:rsidR="00BC59C7" w:rsidRPr="00BC59C7" w:rsidRDefault="00BC59C7" w:rsidP="00BC59C7">
      <w:pPr>
        <w:pStyle w:val="Caption"/>
      </w:pPr>
      <w:bookmarkStart w:id="95" w:name="_Toc242167550"/>
      <w:r w:rsidRPr="009B3D3D">
        <w:t xml:space="preserve">Abbildung </w:t>
      </w:r>
      <w:r w:rsidRPr="009B3D3D">
        <w:fldChar w:fldCharType="begin"/>
      </w:r>
      <w:r w:rsidRPr="009B3D3D">
        <w:instrText xml:space="preserve"> SEQ Abbildung \* ARABIC </w:instrText>
      </w:r>
      <w:r w:rsidRPr="009B3D3D">
        <w:fldChar w:fldCharType="separate"/>
      </w:r>
      <w:r w:rsidR="00371A83">
        <w:rPr>
          <w:noProof/>
        </w:rPr>
        <w:t>6</w:t>
      </w:r>
      <w:r w:rsidRPr="009B3D3D">
        <w:fldChar w:fldCharType="end"/>
      </w:r>
      <w:r w:rsidRPr="009B3D3D">
        <w:t xml:space="preserve">: </w:t>
      </w:r>
      <w:r>
        <w:t xml:space="preserve">Object Controller </w:t>
      </w:r>
      <w:r>
        <w:rPr>
          <w:rFonts w:cs="Arial"/>
          <w:color w:val="000000" w:themeColor="text1"/>
          <w:lang w:val="en-US"/>
        </w:rPr>
        <w:t>EKSA</w:t>
      </w:r>
      <w:bookmarkEnd w:id="95"/>
    </w:p>
    <w:p w14:paraId="79182370" w14:textId="7BC5A45F" w:rsidR="00D3696D" w:rsidRPr="00197ACA" w:rsidRDefault="00A4196D">
      <w:pPr>
        <w:pStyle w:val="Heading3"/>
        <w:keepLines w:val="0"/>
        <w:tabs>
          <w:tab w:val="left" w:pos="885"/>
          <w:tab w:val="num" w:pos="1080"/>
        </w:tabs>
        <w:spacing w:before="360" w:after="120" w:line="240" w:lineRule="auto"/>
        <w:ind w:left="0" w:firstLine="0"/>
        <w:rPr>
          <w:highlight w:val="green"/>
        </w:rPr>
      </w:pPr>
      <w:bookmarkStart w:id="96" w:name="_Toc242167527"/>
      <w:r w:rsidRPr="00197ACA">
        <w:rPr>
          <w:highlight w:val="green"/>
          <w:lang w:val="de-AT"/>
        </w:rPr>
        <w:t>Field Element Stations (FES)</w:t>
      </w:r>
      <w:bookmarkEnd w:id="96"/>
    </w:p>
    <w:p w14:paraId="75CB12A9" w14:textId="77777777" w:rsidR="00A4196D" w:rsidRPr="00197ACA" w:rsidRDefault="00A4196D" w:rsidP="00FE5028">
      <w:pPr>
        <w:pStyle w:val="Paragraph"/>
        <w:rPr>
          <w:highlight w:val="green"/>
          <w:lang w:val="de-AT"/>
        </w:rPr>
      </w:pPr>
      <w:r w:rsidRPr="00197ACA">
        <w:rPr>
          <w:highlight w:val="green"/>
          <w:lang w:val="de-AT"/>
        </w:rPr>
        <w:t>Field Element Stations (FES) stellen die periphere Infrastruktur bereit, die für den Betrieb der Object Controller (OC) sowie für die Datenanbindung an die DIL</w:t>
      </w:r>
      <w:r w:rsidRPr="00197ACA">
        <w:rPr>
          <w:rFonts w:ascii="Cambria Math" w:hAnsi="Cambria Math" w:cs="Cambria Math"/>
          <w:highlight w:val="green"/>
          <w:lang w:val="de-AT"/>
        </w:rPr>
        <w:t>‑</w:t>
      </w:r>
      <w:r w:rsidRPr="00197ACA">
        <w:rPr>
          <w:highlight w:val="green"/>
          <w:lang w:val="de-AT"/>
        </w:rPr>
        <w:t>CU und das DDSP erforderlich ist. Abhängig von der Anzahl der zu integrierenden Object Controller sind FES</w:t>
      </w:r>
      <w:r w:rsidRPr="00197ACA">
        <w:rPr>
          <w:rFonts w:ascii="Cambria Math" w:hAnsi="Cambria Math" w:cs="Cambria Math"/>
          <w:highlight w:val="green"/>
          <w:lang w:val="de-AT"/>
        </w:rPr>
        <w:t>‑</w:t>
      </w:r>
      <w:r w:rsidRPr="00197ACA">
        <w:rPr>
          <w:highlight w:val="green"/>
          <w:lang w:val="de-AT"/>
        </w:rPr>
        <w:t>Einheiten in unterschiedlichen Größen verfügbar.</w:t>
      </w:r>
    </w:p>
    <w:p w14:paraId="0A97C46D" w14:textId="1072938E" w:rsidR="00A4196D" w:rsidRPr="00197ACA" w:rsidRDefault="00A4196D" w:rsidP="00FE5028">
      <w:pPr>
        <w:pStyle w:val="Paragraph"/>
        <w:rPr>
          <w:highlight w:val="green"/>
          <w:lang w:val="de-AT"/>
        </w:rPr>
      </w:pPr>
      <w:r w:rsidRPr="00197ACA">
        <w:rPr>
          <w:highlight w:val="green"/>
          <w:lang w:val="de-AT"/>
        </w:rPr>
        <w:t>Die Stromversorgung der FES erfolgt über eine vom Kunden bereitgestellte Stromversorgungseinheit. Die für den Betrieb erforderlichen internen Spannungen werden durch innerhalb der FES installierte Stromversorgungsmodule erzeugt.</w:t>
      </w:r>
    </w:p>
    <w:p w14:paraId="73823A4E" w14:textId="54B922FC" w:rsidR="00D3696D" w:rsidRDefault="00A4196D" w:rsidP="00FE5028">
      <w:pPr>
        <w:pStyle w:val="Paragraph"/>
        <w:rPr>
          <w:lang w:val="de-AT"/>
        </w:rPr>
      </w:pPr>
      <w:r w:rsidRPr="00197ACA">
        <w:rPr>
          <w:highlight w:val="green"/>
          <w:lang w:val="de-AT"/>
        </w:rPr>
        <w:t>Die für die Integration in das kundenseitige Glasfasernetz erforderlichen Netzwerkkomponenten werden ebenfalls vom Kunden bereitgestellt und sind innerhalb der FES zu installieren.</w:t>
      </w:r>
    </w:p>
    <w:p w14:paraId="4C816326" w14:textId="77777777" w:rsidR="00B4777B" w:rsidRPr="00B4777B" w:rsidRDefault="00B4777B" w:rsidP="00B4777B">
      <w:pPr>
        <w:pStyle w:val="Paragraph"/>
        <w:rPr>
          <w:lang w:val="de-AT"/>
        </w:rPr>
      </w:pPr>
      <w:r w:rsidRPr="00B4777B">
        <w:rPr>
          <w:lang w:val="de-AT"/>
        </w:rPr>
        <w:t>Die Field Element Stations führen keine eigenständigen Sicherheitsfunktionen aus, sondern stellen die Infrastruktur für den Betrieb und die Integration der DFE-Subsysteme bereit.</w:t>
      </w:r>
    </w:p>
    <w:p w14:paraId="2D3F366E" w14:textId="77777777" w:rsidR="00B4777B" w:rsidRDefault="00B4777B" w:rsidP="00FE5028">
      <w:pPr>
        <w:pStyle w:val="Paragraph"/>
        <w:rPr>
          <w:lang w:val="de-AT"/>
        </w:rPr>
      </w:pPr>
    </w:p>
    <w:p w14:paraId="5D7FFE34" w14:textId="5F6858DC" w:rsidR="00BF23F8" w:rsidRDefault="00BF23F8" w:rsidP="00A4196D">
      <w:pPr>
        <w:pStyle w:val="Paragraph"/>
        <w:rPr>
          <w:highlight w:val="yellow"/>
          <w:lang w:val="de-AT"/>
        </w:rPr>
      </w:pPr>
      <w:r w:rsidRPr="00BA3EBF">
        <w:rPr>
          <w:noProof/>
        </w:rPr>
        <w:lastRenderedPageBreak/>
        <w:drawing>
          <wp:inline distT="0" distB="0" distL="0" distR="0" wp14:anchorId="6DD684A7" wp14:editId="59ABEAFC">
            <wp:extent cx="5960110" cy="42056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4205605"/>
                    </a:xfrm>
                    <a:prstGeom prst="rect">
                      <a:avLst/>
                    </a:prstGeom>
                  </pic:spPr>
                </pic:pic>
              </a:graphicData>
            </a:graphic>
          </wp:inline>
        </w:drawing>
      </w:r>
    </w:p>
    <w:p w14:paraId="4C28E9F9" w14:textId="376B392B" w:rsidR="00BF23F8" w:rsidRPr="009B3D3D" w:rsidRDefault="00BF23F8" w:rsidP="00BF23F8">
      <w:pPr>
        <w:pStyle w:val="Caption"/>
      </w:pPr>
      <w:bookmarkStart w:id="97" w:name="_Toc242167551"/>
      <w:r w:rsidRPr="009B3D3D">
        <w:t xml:space="preserve">Abbildung </w:t>
      </w:r>
      <w:r w:rsidRPr="009B3D3D">
        <w:fldChar w:fldCharType="begin"/>
      </w:r>
      <w:r w:rsidRPr="009B3D3D">
        <w:instrText xml:space="preserve"> SEQ Abbildung \* ARABIC </w:instrText>
      </w:r>
      <w:r w:rsidRPr="009B3D3D">
        <w:fldChar w:fldCharType="separate"/>
      </w:r>
      <w:r w:rsidR="00371A83">
        <w:rPr>
          <w:noProof/>
        </w:rPr>
        <w:t>7</w:t>
      </w:r>
      <w:r w:rsidRPr="009B3D3D">
        <w:fldChar w:fldCharType="end"/>
      </w:r>
      <w:r w:rsidRPr="009B3D3D">
        <w:t xml:space="preserve">: </w:t>
      </w:r>
      <w:r>
        <w:t>Teilsystem FES</w:t>
      </w:r>
      <w:bookmarkEnd w:id="97"/>
    </w:p>
    <w:p w14:paraId="4125CDCF" w14:textId="77777777" w:rsidR="00BF23F8" w:rsidRPr="009733D6" w:rsidRDefault="00BF23F8" w:rsidP="00A4196D">
      <w:pPr>
        <w:pStyle w:val="Paragraph"/>
        <w:rPr>
          <w:highlight w:val="yellow"/>
          <w:lang w:val="de-AT"/>
        </w:rPr>
      </w:pPr>
    </w:p>
    <w:p w14:paraId="6603B965" w14:textId="5B3364BE" w:rsidR="00D3696D" w:rsidRPr="00A4196D" w:rsidRDefault="007B3788">
      <w:pPr>
        <w:pStyle w:val="Heading3"/>
        <w:keepLines w:val="0"/>
        <w:tabs>
          <w:tab w:val="left" w:pos="885"/>
          <w:tab w:val="num" w:pos="1080"/>
        </w:tabs>
        <w:spacing w:before="360" w:after="120" w:line="240" w:lineRule="auto"/>
        <w:ind w:left="0" w:firstLine="0"/>
      </w:pPr>
      <w:r>
        <w:rPr>
          <w:lang w:val="de-AT"/>
        </w:rPr>
        <w:t>Interface Converter</w:t>
      </w:r>
    </w:p>
    <w:p w14:paraId="37EC49A8" w14:textId="33ABDA20" w:rsidR="00D3696D" w:rsidRDefault="00B4777B">
      <w:pPr>
        <w:pStyle w:val="Paragraph"/>
        <w:rPr>
          <w:lang w:val="de-AT"/>
        </w:rPr>
      </w:pPr>
      <w:r w:rsidRPr="00B4777B">
        <w:rPr>
          <w:lang w:val="de-AT"/>
        </w:rPr>
        <w:t>Interface Converter (IFC) dienen zur Anbindung von Bestandssystemen und Nachbarsystemen an die Architektur des Digitalen Stellwerks. Innerhalb des DFE-Projekts werden die Interface Converter IFC</w:t>
      </w:r>
      <w:r w:rsidRPr="00B4777B">
        <w:rPr>
          <w:rFonts w:ascii="Cambria Math" w:hAnsi="Cambria Math" w:cs="Cambria Math"/>
          <w:lang w:val="de-AT"/>
        </w:rPr>
        <w:t>‑</w:t>
      </w:r>
      <w:r w:rsidRPr="00B4777B">
        <w:rPr>
          <w:lang w:val="de-AT"/>
        </w:rPr>
        <w:t>ZG62 und IFC</w:t>
      </w:r>
      <w:r w:rsidRPr="00B4777B">
        <w:rPr>
          <w:rFonts w:ascii="Cambria Math" w:hAnsi="Cambria Math" w:cs="Cambria Math"/>
          <w:lang w:val="de-AT"/>
        </w:rPr>
        <w:t>‑</w:t>
      </w:r>
      <w:r w:rsidRPr="00B4777B">
        <w:rPr>
          <w:lang w:val="de-AT"/>
        </w:rPr>
        <w:t>Sbl60A bereitgestellt</w:t>
      </w:r>
      <w:r>
        <w:rPr>
          <w:lang w:val="de-AT"/>
        </w:rPr>
        <w:t>.</w:t>
      </w:r>
      <w:r w:rsidR="0052204E">
        <w:rPr>
          <w:lang w:val="de-AT"/>
        </w:rPr>
        <w:t xml:space="preserve"> Die </w:t>
      </w:r>
      <w:r w:rsidR="007B3788">
        <w:rPr>
          <w:lang w:val="de-AT"/>
        </w:rPr>
        <w:t>Interface Converter</w:t>
      </w:r>
      <w:r w:rsidR="0052204E">
        <w:rPr>
          <w:lang w:val="de-AT"/>
        </w:rPr>
        <w:t xml:space="preserve"> befinden sich </w:t>
      </w:r>
      <w:r w:rsidR="0052204E" w:rsidRPr="009B3D3D">
        <w:rPr>
          <w:lang w:val="de-AT"/>
        </w:rPr>
        <w:t>in eigenen Schaltschränken</w:t>
      </w:r>
      <w:r w:rsidR="0052204E">
        <w:rPr>
          <w:lang w:val="de-AT"/>
        </w:rPr>
        <w:t>.</w:t>
      </w:r>
    </w:p>
    <w:p w14:paraId="56A08A9D" w14:textId="795AA948" w:rsidR="0052204E" w:rsidRDefault="00D57E3F">
      <w:pPr>
        <w:pStyle w:val="Paragraph"/>
        <w:rPr>
          <w:highlight w:val="yellow"/>
          <w:lang w:val="de-AT"/>
        </w:rPr>
      </w:pPr>
      <w:r>
        <w:rPr>
          <w:iCs w:val="0"/>
          <w:noProof/>
        </w:rPr>
        <w:lastRenderedPageBreak/>
        <mc:AlternateContent>
          <mc:Choice Requires="wps">
            <w:drawing>
              <wp:anchor distT="0" distB="0" distL="114300" distR="114300" simplePos="0" relativeHeight="251658242" behindDoc="0" locked="0" layoutInCell="1" allowOverlap="1" wp14:anchorId="671AB725" wp14:editId="72B1ABAA">
                <wp:simplePos x="0" y="0"/>
                <wp:positionH relativeFrom="column">
                  <wp:posOffset>1204022</wp:posOffset>
                </wp:positionH>
                <wp:positionV relativeFrom="paragraph">
                  <wp:posOffset>438144</wp:posOffset>
                </wp:positionV>
                <wp:extent cx="911422" cy="470603"/>
                <wp:effectExtent l="0" t="0" r="22225" b="24765"/>
                <wp:wrapNone/>
                <wp:docPr id="12" name="Rectangle 12"/>
                <wp:cNvGraphicFramePr/>
                <a:graphic xmlns:a="http://schemas.openxmlformats.org/drawingml/2006/main">
                  <a:graphicData uri="http://schemas.microsoft.com/office/word/2010/wordprocessingShape">
                    <wps:wsp>
                      <wps:cNvSpPr/>
                      <wps:spPr>
                        <a:xfrm>
                          <a:off x="0" y="0"/>
                          <a:ext cx="911422" cy="47060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0D6F1C8D" id="Rectangle 12" o:spid="_x0000_s1026" style="position:absolute;margin-left:94.8pt;margin-top:34.5pt;width:71.75pt;height:37.0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jegwIAAGgFAAAOAAAAZHJzL2Uyb0RvYy54bWysVE1v2zAMvQ/YfxB0X21nabsGdYqgRYYB&#10;RVusHXpWZCkxIIsapcTJfv0o+SNBV+wwLAeFMslH8onk9c2+MWyn0NdgS16c5ZwpK6Gq7brkP16W&#10;n75w5oOwlTBgVckPyvOb+ccP162bqQlswFQKGYFYP2tdyTchuFmWeblRjfBn4JQlpQZsRKArrrMK&#10;RUvojckmeX6RtYCVQ5DKe/p61yn5POFrrWR41NqrwEzJKbeQTkznKp7Z/FrM1ijcppZ9GuIfsmhE&#10;bSnoCHUngmBbrP+AamqJ4EGHMwlNBlrXUqUaqJoif1PN80Y4lWohcrwbafL/D1Y+7J7dExINrfMz&#10;T2KsYq+xif+UH9snsg4jWWofmKSPV0UxnUw4k6SaXuYX+edIZnZ0dujDVwUNi0LJkd4iUSR29z50&#10;poNJjGVhWRuT3sNY1lIzXeXnefLwYOoqaqOdx/Xq1iDbCXrS5TKnXx/4xIzSMJayORaVpHAwKmIY&#10;+11pVldUxqSLEPtNjbBCSmVD0ak2olJdtPPTYINHqjkBRmRNWY7YPcBg2YEM2B0DvX10ValdR+e+&#10;9L85jx4pMtgwOje1BXyvMkNV9ZE7+4GkjprI0gqqwxMyhG5YvJPLml7wXvjwJJCmg+aIJj480qEN&#10;0EtBL3G2Afz13vdoT01LWs5amraS+59bgYoz881SO18V02kcz3SZnl9O6IKnmtWpxm6bW6DXL2i3&#10;OJnEaB/MIGqE5pUWwyJGJZWwkmKXXAYcLreh2wK0WqRaLJIZjaQT4d4+OxnBI6uxQ1/2rwJd38aB&#10;+v8BhskUszfd3NlGTwuLbQBdp1Y/8trzTeOcGqdfPXFfnN6T1XFBzn8DAAD//wMAUEsDBBQABgAI&#10;AAAAIQAtXn7a3gAAAAoBAAAPAAAAZHJzL2Rvd25yZXYueG1sTI9BT4NAEIXvJv6HzZh4s0vBUIos&#10;jZoYo+lBa3vfslMgZWcJuwX8944nvc3L+/LmvWIz206MOPjWkYLlIgKBVDnTUq1g//Vyl4HwQZPR&#10;nSNU8I0eNuX1VaFz4yb6xHEXasEh5HOtoAmhz6X0VYNW+4Xrkdg7ucHqwHKopRn0xOG2k3EUpdLq&#10;lvhDo3t8brA67y5WwYc7n2R3iOP31dNrvHqz2VSPW6Vub+bHBxAB5/AHw299rg4ldzq6CxkvOtbZ&#10;OmVUQbrmTQwkSbIEcWTnng9ZFvL/hPIHAAD//wMAUEsBAi0AFAAGAAgAAAAhALaDOJL+AAAA4QEA&#10;ABMAAAAAAAAAAAAAAAAAAAAAAFtDb250ZW50X1R5cGVzXS54bWxQSwECLQAUAAYACAAAACEAOP0h&#10;/9YAAACUAQAACwAAAAAAAAAAAAAAAAAvAQAAX3JlbHMvLnJlbHNQSwECLQAUAAYACAAAACEAbmqo&#10;3oMCAABoBQAADgAAAAAAAAAAAAAAAAAuAgAAZHJzL2Uyb0RvYy54bWxQSwECLQAUAAYACAAAACEA&#10;LV5+2t4AAAAKAQAADwAAAAAAAAAAAAAAAADdBAAAZHJzL2Rvd25yZXYueG1sUEsFBgAAAAAEAAQA&#10;8wAAAOgFAAAAAA==&#10;" filled="f" strokecolor="red" strokeweight="1.5pt"/>
            </w:pict>
          </mc:Fallback>
        </mc:AlternateContent>
      </w:r>
      <w:r w:rsidR="006E559F">
        <w:rPr>
          <w:iCs w:val="0"/>
          <w:noProof/>
          <w:highlight w:val="yellow"/>
        </w:rPr>
        <w:drawing>
          <wp:inline distT="0" distB="0" distL="0" distR="0" wp14:anchorId="2CAC70FD" wp14:editId="4809A7A2">
            <wp:extent cx="6120130" cy="5150980"/>
            <wp:effectExtent l="0" t="0" r="0" b="0"/>
            <wp:docPr id="11" name="Picture 11" descr="C:\Users\rbueger\AppData\Local\Microsoft\Windows\INetCache\Content.MSO\2E58F8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bueger\AppData\Local\Microsoft\Windows\INetCache\Content.MSO\2E58F871.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5150980"/>
                    </a:xfrm>
                    <a:prstGeom prst="rect">
                      <a:avLst/>
                    </a:prstGeom>
                    <a:noFill/>
                    <a:ln>
                      <a:noFill/>
                    </a:ln>
                  </pic:spPr>
                </pic:pic>
              </a:graphicData>
            </a:graphic>
          </wp:inline>
        </w:drawing>
      </w:r>
    </w:p>
    <w:p w14:paraId="261D23AC" w14:textId="4529AD21" w:rsidR="00D57E3F" w:rsidRPr="00D57E3F" w:rsidRDefault="00D57E3F" w:rsidP="00D57E3F">
      <w:pPr>
        <w:pStyle w:val="Caption"/>
      </w:pPr>
      <w:bookmarkStart w:id="98" w:name="_Toc242167552"/>
      <w:r w:rsidRPr="009B3D3D">
        <w:t xml:space="preserve">Abbildung </w:t>
      </w:r>
      <w:r w:rsidRPr="009B3D3D">
        <w:fldChar w:fldCharType="begin"/>
      </w:r>
      <w:r w:rsidRPr="009B3D3D">
        <w:instrText xml:space="preserve"> SEQ Abbildung \* ARABIC </w:instrText>
      </w:r>
      <w:r w:rsidRPr="009B3D3D">
        <w:fldChar w:fldCharType="separate"/>
      </w:r>
      <w:r w:rsidR="00371A83">
        <w:rPr>
          <w:noProof/>
        </w:rPr>
        <w:t>8</w:t>
      </w:r>
      <w:r w:rsidRPr="009B3D3D">
        <w:fldChar w:fldCharType="end"/>
      </w:r>
      <w:r w:rsidRPr="009B3D3D">
        <w:t xml:space="preserve">: </w:t>
      </w:r>
      <w:r>
        <w:t xml:space="preserve">Teilsystem </w:t>
      </w:r>
      <w:r w:rsidR="007B3788">
        <w:t>Interface Converter</w:t>
      </w:r>
      <w:bookmarkEnd w:id="98"/>
    </w:p>
    <w:p w14:paraId="5873A031" w14:textId="7F142CAC" w:rsidR="00D3696D" w:rsidRPr="00032206" w:rsidRDefault="0083585D">
      <w:pPr>
        <w:pStyle w:val="Heading2"/>
        <w:keepLines w:val="0"/>
        <w:tabs>
          <w:tab w:val="clear" w:pos="1080"/>
          <w:tab w:val="num" w:pos="720"/>
        </w:tabs>
        <w:spacing w:before="480" w:after="120" w:line="240" w:lineRule="auto"/>
        <w:ind w:left="0" w:firstLine="0"/>
      </w:pPr>
      <w:bookmarkStart w:id="99" w:name="_Toc26286215"/>
      <w:bookmarkStart w:id="100" w:name="_Ref108535509"/>
      <w:bookmarkStart w:id="101" w:name="_Toc242167529"/>
      <w:r w:rsidRPr="00032206">
        <w:t xml:space="preserve">Kommunikation </w:t>
      </w:r>
      <w:bookmarkEnd w:id="99"/>
      <w:bookmarkEnd w:id="100"/>
      <w:r w:rsidR="00032206" w:rsidRPr="00032206">
        <w:t>zwischen den Komponenten</w:t>
      </w:r>
      <w:bookmarkEnd w:id="101"/>
    </w:p>
    <w:p w14:paraId="6BDF144C" w14:textId="19393A19" w:rsidR="00032206" w:rsidRDefault="00DF0580">
      <w:pPr>
        <w:pStyle w:val="Paragraph"/>
        <w:rPr>
          <w:lang w:val="de-AT"/>
        </w:rPr>
      </w:pPr>
      <w:r w:rsidRPr="00DF0580">
        <w:rPr>
          <w:lang w:val="de-AT"/>
        </w:rPr>
        <w:t>Die DFE-Architektur umfasst Schnittstellen zwischen den DFE-Subsystemen, zu übergeordneten Stellwerkssystemen sowie zu angeschlossenen Feldsystemen. Die Schnittstellen bilden eine wesentliche Grundlage für die sichere Integration der DFE-Subsysteme und sind daher im Rahmen der jeweiligen Sicherheitsnachweise und Integrationsbewertungen zu betrachten.</w:t>
      </w:r>
    </w:p>
    <w:p w14:paraId="4C0B0EFD" w14:textId="77777777" w:rsidR="00DF0580" w:rsidRPr="00DF0580" w:rsidRDefault="00DF0580" w:rsidP="00DF0580">
      <w:pPr>
        <w:pStyle w:val="Paragraph"/>
        <w:rPr>
          <w:lang w:val="de-AT"/>
        </w:rPr>
      </w:pPr>
      <w:r w:rsidRPr="00DF0580">
        <w:rPr>
          <w:lang w:val="de-AT"/>
        </w:rPr>
        <w:t>Grundsätzlich werden folgende Arten von Schnittstellen unterschieden:</w:t>
      </w:r>
    </w:p>
    <w:p w14:paraId="5F4AD853" w14:textId="77777777" w:rsidR="00DF0580" w:rsidRPr="00DF0580" w:rsidRDefault="00DF0580" w:rsidP="00362C69">
      <w:pPr>
        <w:pStyle w:val="Paragraph"/>
        <w:numPr>
          <w:ilvl w:val="0"/>
          <w:numId w:val="32"/>
        </w:numPr>
        <w:rPr>
          <w:lang w:val="de-AT"/>
        </w:rPr>
      </w:pPr>
      <w:r w:rsidRPr="00DF0580">
        <w:rPr>
          <w:lang w:val="de-AT"/>
        </w:rPr>
        <w:t>Kommunikationsschnittstellen zwischen den DFE-Subsystemen und übergeordneten Stellwerkssystemen,</w:t>
      </w:r>
    </w:p>
    <w:p w14:paraId="5559CEE1" w14:textId="77777777" w:rsidR="00DF0580" w:rsidRPr="00DF0580" w:rsidRDefault="00DF0580" w:rsidP="00362C69">
      <w:pPr>
        <w:pStyle w:val="Paragraph"/>
        <w:numPr>
          <w:ilvl w:val="0"/>
          <w:numId w:val="32"/>
        </w:numPr>
        <w:rPr>
          <w:lang w:val="de-AT"/>
        </w:rPr>
      </w:pPr>
      <w:r w:rsidRPr="00DF0580">
        <w:rPr>
          <w:lang w:val="de-AT"/>
        </w:rPr>
        <w:t>Integrationsschnittstellen innerhalb der DFE-Architektur,</w:t>
      </w:r>
    </w:p>
    <w:p w14:paraId="716268B3" w14:textId="77777777" w:rsidR="00DF0580" w:rsidRPr="00DF0580" w:rsidRDefault="00DF0580" w:rsidP="00362C69">
      <w:pPr>
        <w:pStyle w:val="Paragraph"/>
        <w:numPr>
          <w:ilvl w:val="0"/>
          <w:numId w:val="32"/>
        </w:numPr>
        <w:rPr>
          <w:lang w:val="de-AT"/>
        </w:rPr>
      </w:pPr>
      <w:r w:rsidRPr="00DF0580">
        <w:rPr>
          <w:lang w:val="de-AT"/>
        </w:rPr>
        <w:t>Schnittstellen zwischen sicherheitsrelevanten DFE-Subsystemen und den zugehörigen Feldsystemen bzw. Feldobjekten.</w:t>
      </w:r>
    </w:p>
    <w:p w14:paraId="1C3692DC" w14:textId="0E83D833" w:rsidR="00DF0580" w:rsidRPr="00DF0580" w:rsidRDefault="00DF0580" w:rsidP="00DF0580">
      <w:pPr>
        <w:pStyle w:val="Paragraph"/>
        <w:ind w:left="360"/>
        <w:rPr>
          <w:lang w:val="de-AT"/>
        </w:rPr>
      </w:pPr>
      <w:r w:rsidRPr="00DF0580">
        <w:rPr>
          <w:lang w:val="de-AT"/>
        </w:rPr>
        <w:t>Relevante Schnittstellen innerhalb der DFE-Architektur sind insbesondere:</w:t>
      </w:r>
    </w:p>
    <w:p w14:paraId="7E46BD08" w14:textId="45664165" w:rsidR="00DF0580" w:rsidRPr="00DF0580" w:rsidRDefault="00DF0580" w:rsidP="00362C69">
      <w:pPr>
        <w:pStyle w:val="Paragraph"/>
        <w:numPr>
          <w:ilvl w:val="0"/>
          <w:numId w:val="32"/>
        </w:numPr>
        <w:rPr>
          <w:lang w:val="de-AT"/>
        </w:rPr>
      </w:pPr>
      <w:r w:rsidRPr="00DF0580">
        <w:rPr>
          <w:lang w:val="de-AT"/>
        </w:rPr>
        <w:lastRenderedPageBreak/>
        <w:t xml:space="preserve">Object Controller (OC) – ECMUX, </w:t>
      </w:r>
    </w:p>
    <w:p w14:paraId="7ACEDBF5" w14:textId="7AF04441" w:rsidR="00DF0580" w:rsidRPr="00AC61A2" w:rsidRDefault="00AC61A2" w:rsidP="00362C69">
      <w:pPr>
        <w:pStyle w:val="Paragraph"/>
        <w:numPr>
          <w:ilvl w:val="0"/>
          <w:numId w:val="32"/>
        </w:numPr>
        <w:rPr>
          <w:lang w:val="en-US"/>
        </w:rPr>
      </w:pPr>
      <w:r w:rsidRPr="00AC61A2">
        <w:rPr>
          <w:lang w:val="en-US"/>
        </w:rPr>
        <w:t>Object Controller (OC) – Data and Diagnostic Service Platform (DDSP)</w:t>
      </w:r>
      <w:r w:rsidR="00DF0580" w:rsidRPr="00AC61A2">
        <w:rPr>
          <w:lang w:val="en-US"/>
        </w:rPr>
        <w:t xml:space="preserve">, </w:t>
      </w:r>
    </w:p>
    <w:p w14:paraId="6CD9302D" w14:textId="234F71DE" w:rsidR="00DF0580" w:rsidRPr="00DF0580" w:rsidRDefault="00DF0580" w:rsidP="00362C69">
      <w:pPr>
        <w:pStyle w:val="Paragraph"/>
        <w:numPr>
          <w:ilvl w:val="0"/>
          <w:numId w:val="32"/>
        </w:numPr>
        <w:rPr>
          <w:lang w:val="de-AT"/>
        </w:rPr>
      </w:pPr>
      <w:r w:rsidRPr="00DF0580">
        <w:rPr>
          <w:lang w:val="de-AT"/>
        </w:rPr>
        <w:t xml:space="preserve">Object Controller (OC) – zugeordnete Feldsysteme und Feldobjekte, </w:t>
      </w:r>
    </w:p>
    <w:p w14:paraId="631A1705" w14:textId="2EBA4592" w:rsidR="00DF0580" w:rsidRPr="00DF0580" w:rsidRDefault="00DF0580" w:rsidP="00362C69">
      <w:pPr>
        <w:pStyle w:val="Paragraph"/>
        <w:numPr>
          <w:ilvl w:val="0"/>
          <w:numId w:val="32"/>
        </w:numPr>
        <w:rPr>
          <w:lang w:val="en-US"/>
        </w:rPr>
      </w:pPr>
      <w:r w:rsidRPr="00DF0580">
        <w:rPr>
          <w:lang w:val="en-US"/>
        </w:rPr>
        <w:t xml:space="preserve">Field Element Station (FES) – Object Controller (OC), </w:t>
      </w:r>
    </w:p>
    <w:p w14:paraId="7AF21193" w14:textId="1F05D72F" w:rsidR="00DF0580" w:rsidRPr="00DF0580" w:rsidRDefault="00DF0580" w:rsidP="00362C69">
      <w:pPr>
        <w:pStyle w:val="Paragraph"/>
        <w:numPr>
          <w:ilvl w:val="0"/>
          <w:numId w:val="32"/>
        </w:numPr>
        <w:rPr>
          <w:lang w:val="en-US"/>
        </w:rPr>
      </w:pPr>
      <w:r w:rsidRPr="00DF0580">
        <w:rPr>
          <w:lang w:val="en-US"/>
        </w:rPr>
        <w:t xml:space="preserve">Interface Converter (IFC) – Virtual Interlocking (VIL), </w:t>
      </w:r>
    </w:p>
    <w:p w14:paraId="339930C9" w14:textId="65D730D4" w:rsidR="00DF0580" w:rsidRDefault="00DF0580" w:rsidP="00362C69">
      <w:pPr>
        <w:pStyle w:val="Paragraph"/>
        <w:numPr>
          <w:ilvl w:val="0"/>
          <w:numId w:val="32"/>
        </w:numPr>
        <w:rPr>
          <w:lang w:val="de-AT"/>
        </w:rPr>
      </w:pPr>
      <w:r w:rsidRPr="00DF0580">
        <w:rPr>
          <w:lang w:val="de-AT"/>
        </w:rPr>
        <w:t>Interface Converter (IFC) – angebundene Nachbarsysteme.</w:t>
      </w:r>
    </w:p>
    <w:p w14:paraId="37664FB7" w14:textId="11F1B7CC" w:rsidR="008C3EC6" w:rsidRPr="00DF0580" w:rsidRDefault="008C3EC6" w:rsidP="008C3EC6">
      <w:pPr>
        <w:pStyle w:val="Paragraph"/>
        <w:rPr>
          <w:lang w:val="de-AT"/>
        </w:rPr>
      </w:pPr>
      <w:r w:rsidRPr="008C3EC6">
        <w:rPr>
          <w:lang w:val="de-AT"/>
        </w:rPr>
        <w:t>Für die durch Lieferorganisationen bereitgestellten Systeme sind die Schnittstellen zu den angeschlossenen Feldsystemen und Feldobjekten Bestandteil der jeweiligen Supplier Safety Cases und der zugehörigen Lieferantennachweise. Die zugehörigen Sicherheitsannahmen, Anforderungen und Randbedingungen werden durch die jeweiligen Lieferorganisationen nachgewiesen und dokumentiert.</w:t>
      </w:r>
    </w:p>
    <w:p w14:paraId="034CE660" w14:textId="77777777" w:rsidR="00DF0580" w:rsidRPr="00DF0580" w:rsidRDefault="00DF0580" w:rsidP="00DF0580">
      <w:pPr>
        <w:pStyle w:val="Paragraph"/>
        <w:rPr>
          <w:lang w:val="de-AT"/>
        </w:rPr>
      </w:pPr>
      <w:r w:rsidRPr="00DF0580">
        <w:rPr>
          <w:lang w:val="de-AT"/>
        </w:rPr>
        <w:t>Die standardisierten Kommunikationsschnittstellen basieren, soweit anwendbar, auf den Spezifikationen von EULYNX. Für die konkrete Umsetzung der DFE-Architektur können darüber hinaus projektspezifische Schnittstellenbeschreibungen, Integrationsanforderungen sowie Hardware- und Infrastrukturvoraussetzungen erforderlich sein.</w:t>
      </w:r>
    </w:p>
    <w:p w14:paraId="35636CA3" w14:textId="6EC8E284" w:rsidR="00DF0580" w:rsidRDefault="00DF0580" w:rsidP="00DF0580">
      <w:pPr>
        <w:pStyle w:val="Paragraph"/>
        <w:rPr>
          <w:lang w:val="de-AT"/>
        </w:rPr>
      </w:pPr>
      <w:r w:rsidRPr="00DF0580">
        <w:rPr>
          <w:lang w:val="de-AT"/>
        </w:rPr>
        <w:t>Die detaillierte Beschreibung der einzelnen Schnittstellen erfolgt in den zugehörigen Schnittstellenspezifikationen, Interface Control Documents (ICD) sowie Integrationsdokumenten. Diese Dokumente definieren insbesondere:</w:t>
      </w:r>
    </w:p>
    <w:p w14:paraId="4D8BFE45" w14:textId="77777777" w:rsidR="00DF0580" w:rsidRPr="00DF0580" w:rsidRDefault="00DF0580" w:rsidP="00362C69">
      <w:pPr>
        <w:pStyle w:val="Paragraph"/>
        <w:numPr>
          <w:ilvl w:val="0"/>
          <w:numId w:val="33"/>
        </w:numPr>
        <w:rPr>
          <w:lang w:val="de-AT"/>
        </w:rPr>
      </w:pPr>
      <w:r w:rsidRPr="00DF0580">
        <w:rPr>
          <w:lang w:val="de-AT"/>
        </w:rPr>
        <w:t>die funktionalen Anforderungen,</w:t>
      </w:r>
    </w:p>
    <w:p w14:paraId="0EA68D50" w14:textId="77777777" w:rsidR="00DF0580" w:rsidRPr="00DF0580" w:rsidRDefault="00DF0580" w:rsidP="00362C69">
      <w:pPr>
        <w:pStyle w:val="Paragraph"/>
        <w:numPr>
          <w:ilvl w:val="0"/>
          <w:numId w:val="33"/>
        </w:numPr>
        <w:rPr>
          <w:lang w:val="de-AT"/>
        </w:rPr>
      </w:pPr>
      <w:r w:rsidRPr="00DF0580">
        <w:rPr>
          <w:lang w:val="de-AT"/>
        </w:rPr>
        <w:t>die technischen Randbedingungen,</w:t>
      </w:r>
    </w:p>
    <w:p w14:paraId="2687ED49" w14:textId="77777777" w:rsidR="00DF0580" w:rsidRPr="00DF0580" w:rsidRDefault="00DF0580" w:rsidP="00362C69">
      <w:pPr>
        <w:pStyle w:val="Paragraph"/>
        <w:numPr>
          <w:ilvl w:val="0"/>
          <w:numId w:val="33"/>
        </w:numPr>
        <w:rPr>
          <w:lang w:val="de-AT"/>
        </w:rPr>
      </w:pPr>
      <w:r w:rsidRPr="00DF0580">
        <w:rPr>
          <w:lang w:val="de-AT"/>
        </w:rPr>
        <w:t>die Integrationsvoraussetzungen,</w:t>
      </w:r>
    </w:p>
    <w:p w14:paraId="47A6DE57" w14:textId="77777777" w:rsidR="00DF0580" w:rsidRPr="00DF0580" w:rsidRDefault="00DF0580" w:rsidP="00362C69">
      <w:pPr>
        <w:pStyle w:val="Paragraph"/>
        <w:numPr>
          <w:ilvl w:val="0"/>
          <w:numId w:val="33"/>
        </w:numPr>
        <w:rPr>
          <w:lang w:val="de-AT"/>
        </w:rPr>
      </w:pPr>
      <w:r w:rsidRPr="00DF0580">
        <w:rPr>
          <w:lang w:val="de-AT"/>
        </w:rPr>
        <w:t>die relevanten Hardware-, Infrastruktur- und Umgebungsanforderungen,</w:t>
      </w:r>
    </w:p>
    <w:p w14:paraId="67AC7AC2" w14:textId="77777777" w:rsidR="00DF0580" w:rsidRPr="00DF0580" w:rsidRDefault="00DF0580" w:rsidP="00362C69">
      <w:pPr>
        <w:pStyle w:val="Paragraph"/>
        <w:numPr>
          <w:ilvl w:val="0"/>
          <w:numId w:val="33"/>
        </w:numPr>
        <w:rPr>
          <w:lang w:val="de-AT"/>
        </w:rPr>
      </w:pPr>
      <w:r w:rsidRPr="00DF0580">
        <w:rPr>
          <w:lang w:val="de-AT"/>
        </w:rPr>
        <w:t>die unterstützten Konfigurationsvarianten,</w:t>
      </w:r>
    </w:p>
    <w:p w14:paraId="37AA1F0B" w14:textId="5EEE456F" w:rsidR="00DF0580" w:rsidRDefault="00DF0580" w:rsidP="00362C69">
      <w:pPr>
        <w:pStyle w:val="Paragraph"/>
        <w:numPr>
          <w:ilvl w:val="0"/>
          <w:numId w:val="33"/>
        </w:numPr>
        <w:rPr>
          <w:lang w:val="de-AT"/>
        </w:rPr>
      </w:pPr>
      <w:r w:rsidRPr="00DF0580">
        <w:rPr>
          <w:lang w:val="de-AT"/>
        </w:rPr>
        <w:t>sowie die jeweiligen Sicherheitsannahmen und Safety Related Application Conditions (SRACs).</w:t>
      </w:r>
    </w:p>
    <w:p w14:paraId="0A1AB14C" w14:textId="78233C7F" w:rsidR="00DF0580" w:rsidRPr="00DF0580" w:rsidRDefault="00DF0580" w:rsidP="00DF0580">
      <w:pPr>
        <w:pStyle w:val="Paragraph"/>
        <w:rPr>
          <w:lang w:val="de-AT"/>
        </w:rPr>
      </w:pPr>
      <w:r w:rsidRPr="00DF0580">
        <w:rPr>
          <w:lang w:val="de-AT"/>
        </w:rPr>
        <w:t>Für durch Lieferorganisationen bereitgestellte Systeme erfolgt die Beschreibung der Schnittstellen zu den angeschlossenen Feldobjekten im jeweiligen Supplier Safety Case sowie in den zugehörigen Schnittstellenspezifikationen. Die zugehörigen Sicherheitsannahmen, Anforderungen und Randbedingungen sind Bestandteil der jeweiligen Lieferantennachweise.</w:t>
      </w:r>
    </w:p>
    <w:p w14:paraId="769B41A6" w14:textId="2F3E2D90" w:rsidR="00DF0580" w:rsidRPr="00032206" w:rsidRDefault="00320A07" w:rsidP="00DF0580">
      <w:pPr>
        <w:pStyle w:val="Paragraph"/>
        <w:rPr>
          <w:lang w:val="de-AT"/>
        </w:rPr>
      </w:pPr>
      <w:r w:rsidRPr="00320A07">
        <w:rPr>
          <w:lang w:val="de-AT"/>
        </w:rPr>
        <w:t>Die Schnittstellenbeschreibungen bilden gemeinsam mit den zugehörigen Sicherheitsnachweisen die Grundlage für die Integrationsbewertungen innerhalb der DFE-Architektur. Die Ergebnisse dieser Bewertungen werden zur Definition und Bewertung zulässiger Konfigurationsvarianten innerhalb der Generic Application Digital Interlocking (GA DIL-ÖBB) verwendet.</w:t>
      </w:r>
    </w:p>
    <w:p w14:paraId="08DD4B53" w14:textId="77777777" w:rsidR="00D3696D" w:rsidRPr="00032206" w:rsidRDefault="0083585D">
      <w:pPr>
        <w:pStyle w:val="Heading2"/>
        <w:keepLines w:val="0"/>
        <w:tabs>
          <w:tab w:val="clear" w:pos="1080"/>
          <w:tab w:val="num" w:pos="720"/>
        </w:tabs>
        <w:spacing w:before="480" w:after="120" w:line="240" w:lineRule="auto"/>
        <w:ind w:left="0" w:firstLine="0"/>
      </w:pPr>
      <w:bookmarkStart w:id="102" w:name="_Toc242167530"/>
      <w:r w:rsidRPr="00032206">
        <w:t>Zuverlässigkeitskonzept</w:t>
      </w:r>
      <w:bookmarkEnd w:id="102"/>
    </w:p>
    <w:p w14:paraId="7DB9DCCA" w14:textId="77777777" w:rsidR="00380FC5" w:rsidRDefault="009C2D84">
      <w:pPr>
        <w:pStyle w:val="Paragraph"/>
        <w:rPr>
          <w:lang w:val="de-AT"/>
        </w:rPr>
      </w:pPr>
      <w:r w:rsidRPr="00197ACA">
        <w:rPr>
          <w:highlight w:val="green"/>
          <w:lang w:val="de-AT"/>
        </w:rPr>
        <w:t>Die DFE-Lösung ist als verteiltes feldseitiges System konzipiert. Das Zuverlässigkeitskonzept basiert auf modularen Komponenten, standardisierten Schnittstellen sowie einer konsequenten Trennung der einzelnen Funktionen. Ziel ist es, die Auswirkungen von Fehlern auf den jeweils betroffenen Anlagenteil zu begrenzen und einen wartungsfreundlichen Betrieb zu ermöglichen.</w:t>
      </w:r>
    </w:p>
    <w:p w14:paraId="4265CCC7" w14:textId="2D7AB46B" w:rsidR="009C2D84" w:rsidRDefault="00E91909">
      <w:pPr>
        <w:pStyle w:val="Paragraph"/>
        <w:rPr>
          <w:lang w:val="de-AT"/>
        </w:rPr>
      </w:pPr>
      <w:r w:rsidRPr="00E91909">
        <w:rPr>
          <w:lang w:val="de-AT"/>
        </w:rPr>
        <w:t>Die Architektur der DFE folgt dem Grundsatz, dass Ausfälle einzelner Komponenten möglichst lokal begrenzt bleiben. Ein Ausfall eines DFE-Subsystems darf nicht zu einer Beeinträchtigung unabhängiger DFE-Subsysteme führen. Hierzu werden die verschiedenen Funktionen auf getrennte Object Controller und Interface Converter verteilt und über definierte Schnittstellen miteinander verbunden.</w:t>
      </w:r>
    </w:p>
    <w:p w14:paraId="537D30AA" w14:textId="77777777" w:rsidR="009C2D84" w:rsidRPr="00197ACA" w:rsidRDefault="009C2D84" w:rsidP="009C2D84">
      <w:pPr>
        <w:pStyle w:val="Paragraph"/>
        <w:rPr>
          <w:highlight w:val="green"/>
          <w:lang w:val="de-AT"/>
        </w:rPr>
      </w:pPr>
      <w:r w:rsidRPr="00197ACA">
        <w:rPr>
          <w:highlight w:val="green"/>
          <w:lang w:val="de-AT"/>
        </w:rPr>
        <w:lastRenderedPageBreak/>
        <w:t>Die Field Element Stations (FES) stellen die physische Infrastruktur für den Betrieb der DFE-Komponenten bereit. Durch den modularen Aufbau können Komponenten ausgetauscht oder erweitert werden, ohne grundlegende Änderungen an der Gesamtarchitektur durchführen zu müssen. Die verschiedenen Baugrößen der FES ermöglichen eine an den jeweiligen Anwendungsfall angepasste Skalierung.</w:t>
      </w:r>
    </w:p>
    <w:p w14:paraId="160F0352" w14:textId="415F9DD3" w:rsidR="009C2D84" w:rsidRDefault="009C2D84">
      <w:pPr>
        <w:pStyle w:val="Paragraph"/>
        <w:rPr>
          <w:lang w:val="de-AT"/>
        </w:rPr>
      </w:pPr>
      <w:r w:rsidRPr="00197ACA">
        <w:rPr>
          <w:highlight w:val="green"/>
          <w:lang w:val="de-AT"/>
        </w:rPr>
        <w:t>Die Kommunikation zwischen den DFE-Komponenten erfolgt über standardisierte digitale Schnittstellen. Kommunikationsverbindungen werden permanent überwacht. Fehler in der Kommunikation werden erkannt und führen zu definierten Fehlerreaktionen der betroffenen Teilsysteme.</w:t>
      </w:r>
    </w:p>
    <w:p w14:paraId="505F7C58" w14:textId="0F509AA6" w:rsidR="009C2D84" w:rsidRDefault="00E91909">
      <w:pPr>
        <w:pStyle w:val="Paragraph"/>
        <w:rPr>
          <w:lang w:val="de-AT"/>
        </w:rPr>
      </w:pPr>
      <w:r w:rsidRPr="00E91909">
        <w:rPr>
          <w:lang w:val="de-AT"/>
        </w:rPr>
        <w:t>Die im Rahmen von Intercompany Orders bzw. durch externe Lieferanten bereitgestellten Subsysteme OC-DCA3, OC-AzLM und IFC-LCSI verfügen über eigenständige Entwicklungs-, Verifikations- und Nachweisprozesse. Die zugehörigen Zuverlässigkeits- und Sicherheitsnachweise werden durch die jeweiligen Lieferorganisationen bereitgestellt und als Eingangsdokumente für die DFE-Integrationsbewertungen verwendet.</w:t>
      </w:r>
    </w:p>
    <w:p w14:paraId="01353FB1" w14:textId="77777777" w:rsidR="009C2D84" w:rsidRPr="009C2D84" w:rsidRDefault="009C2D84" w:rsidP="009C2D84">
      <w:pPr>
        <w:pStyle w:val="Paragraph"/>
        <w:rPr>
          <w:lang w:val="de-AT"/>
        </w:rPr>
      </w:pPr>
      <w:r w:rsidRPr="00197ACA">
        <w:rPr>
          <w:highlight w:val="green"/>
          <w:lang w:val="de-AT"/>
        </w:rPr>
        <w:t>Die detaillierten Zuverlässigkeitskennwerte, Verfügbarkeitsziele und Nachweise werden im RAM Plan sowie in den zugehörigen Sicherheits- und Zuverlässigkeitsnachweisen der einzelnen Subsysteme spezifiziert.</w:t>
      </w:r>
    </w:p>
    <w:p w14:paraId="0186A1F3" w14:textId="00C3DAAE" w:rsidR="00D3696D" w:rsidRPr="004721C5" w:rsidRDefault="0011201C">
      <w:pPr>
        <w:pStyle w:val="Heading2"/>
        <w:keepLines w:val="0"/>
        <w:tabs>
          <w:tab w:val="clear" w:pos="1080"/>
          <w:tab w:val="num" w:pos="720"/>
        </w:tabs>
        <w:spacing w:before="480" w:after="120" w:line="240" w:lineRule="auto"/>
        <w:ind w:left="720" w:hanging="720"/>
      </w:pPr>
      <w:bookmarkStart w:id="103" w:name="_Toc242167531"/>
      <w:bookmarkStart w:id="104" w:name="_Ref242345149"/>
      <w:r>
        <w:t>Struktur</w:t>
      </w:r>
      <w:r w:rsidR="0083585D" w:rsidRPr="004721C5">
        <w:t xml:space="preserve"> der Sicherheitsnachweise</w:t>
      </w:r>
      <w:bookmarkEnd w:id="103"/>
      <w:bookmarkEnd w:id="104"/>
    </w:p>
    <w:p w14:paraId="762A7B67" w14:textId="5AFB84ED" w:rsidR="0011201C" w:rsidRPr="0011201C" w:rsidRDefault="0011201C" w:rsidP="0011201C">
      <w:pPr>
        <w:spacing w:line="300" w:lineRule="atLeast"/>
        <w:rPr>
          <w:rFonts w:ascii="Arial" w:hAnsi="Arial" w:cs="Arial"/>
          <w:iCs/>
          <w:sz w:val="20"/>
          <w:szCs w:val="22"/>
          <w:lang w:eastAsia="de-DE"/>
        </w:rPr>
      </w:pPr>
      <w:r w:rsidRPr="00197ACA">
        <w:rPr>
          <w:rFonts w:ascii="Arial" w:hAnsi="Arial" w:cs="Arial"/>
          <w:iCs/>
          <w:sz w:val="20"/>
          <w:szCs w:val="22"/>
          <w:highlight w:val="green"/>
          <w:lang w:eastAsia="de-DE"/>
        </w:rPr>
        <w:t>Die Sicherheitsnachweisführung für die DFE-Subsysteme basiert auf den im „</w:t>
      </w:r>
      <w:r w:rsidRPr="00197ACA">
        <w:rPr>
          <w:rFonts w:ascii="Arial" w:hAnsi="Arial" w:cs="Arial"/>
          <w:iCs/>
          <w:sz w:val="20"/>
          <w:szCs w:val="22"/>
          <w:highlight w:val="green"/>
          <w:lang w:eastAsia="de-DE"/>
        </w:rPr>
        <w:fldChar w:fldCharType="begin"/>
      </w:r>
      <w:r w:rsidRPr="00197ACA">
        <w:rPr>
          <w:rFonts w:ascii="Arial" w:hAnsi="Arial" w:cs="Arial"/>
          <w:iCs/>
          <w:sz w:val="20"/>
          <w:szCs w:val="22"/>
          <w:highlight w:val="green"/>
          <w:lang w:eastAsia="de-DE"/>
        </w:rPr>
        <w:instrText xml:space="preserve"> REF REF_SP_EL_TITLE \h  \* MERGEFORMAT </w:instrText>
      </w:r>
      <w:r w:rsidRPr="00197ACA">
        <w:rPr>
          <w:rFonts w:ascii="Arial" w:hAnsi="Arial" w:cs="Arial"/>
          <w:iCs/>
          <w:sz w:val="20"/>
          <w:szCs w:val="22"/>
          <w:highlight w:val="green"/>
          <w:lang w:eastAsia="de-DE"/>
        </w:rPr>
      </w:r>
      <w:r w:rsidRPr="00197ACA">
        <w:rPr>
          <w:rFonts w:ascii="Arial" w:hAnsi="Arial" w:cs="Arial"/>
          <w:iCs/>
          <w:sz w:val="20"/>
          <w:szCs w:val="22"/>
          <w:highlight w:val="green"/>
          <w:lang w:eastAsia="de-DE"/>
        </w:rPr>
        <w:fldChar w:fldCharType="separate"/>
      </w:r>
      <w:r w:rsidR="00371A83" w:rsidRPr="00371A83">
        <w:rPr>
          <w:rFonts w:ascii="Arial" w:hAnsi="Arial" w:cs="Arial"/>
          <w:iCs/>
          <w:sz w:val="20"/>
          <w:szCs w:val="22"/>
          <w:highlight w:val="green"/>
          <w:lang w:eastAsia="de-DE"/>
        </w:rPr>
        <w:t>Safety Plan, Generic Application Digital Interlocking</w:t>
      </w:r>
      <w:r w:rsidRPr="00197ACA">
        <w:rPr>
          <w:rFonts w:ascii="Arial" w:hAnsi="Arial" w:cs="Arial"/>
          <w:iCs/>
          <w:sz w:val="20"/>
          <w:szCs w:val="22"/>
          <w:highlight w:val="green"/>
          <w:lang w:eastAsia="de-DE"/>
        </w:rPr>
        <w:fldChar w:fldCharType="end"/>
      </w:r>
      <w:r w:rsidRPr="00197ACA">
        <w:rPr>
          <w:rFonts w:ascii="Arial" w:hAnsi="Arial" w:cs="Arial"/>
          <w:iCs/>
          <w:sz w:val="20"/>
          <w:szCs w:val="22"/>
          <w:highlight w:val="green"/>
          <w:lang w:eastAsia="de-DE"/>
        </w:rPr>
        <w:t xml:space="preserve">“, </w:t>
      </w:r>
      <w:r w:rsidRPr="00197ACA">
        <w:rPr>
          <w:rFonts w:ascii="Arial" w:hAnsi="Arial" w:cs="Arial"/>
          <w:iCs/>
          <w:sz w:val="20"/>
          <w:szCs w:val="22"/>
          <w:highlight w:val="green"/>
          <w:lang w:eastAsia="de-DE"/>
        </w:rPr>
        <w:fldChar w:fldCharType="begin"/>
      </w:r>
      <w:r w:rsidRPr="00197ACA">
        <w:rPr>
          <w:rFonts w:ascii="Arial" w:hAnsi="Arial" w:cs="Arial"/>
          <w:iCs/>
          <w:sz w:val="20"/>
          <w:szCs w:val="22"/>
          <w:highlight w:val="green"/>
          <w:lang w:eastAsia="de-DE"/>
        </w:rPr>
        <w:instrText xml:space="preserve"> REF REF_SP_EL \h  \* MERGEFORMAT </w:instrText>
      </w:r>
      <w:r w:rsidRPr="00197ACA">
        <w:rPr>
          <w:rFonts w:ascii="Arial" w:hAnsi="Arial" w:cs="Arial"/>
          <w:iCs/>
          <w:sz w:val="20"/>
          <w:szCs w:val="22"/>
          <w:highlight w:val="green"/>
          <w:lang w:eastAsia="de-DE"/>
        </w:rPr>
      </w:r>
      <w:r w:rsidRPr="00197ACA">
        <w:rPr>
          <w:rFonts w:ascii="Arial" w:hAnsi="Arial" w:cs="Arial"/>
          <w:iCs/>
          <w:sz w:val="20"/>
          <w:szCs w:val="22"/>
          <w:highlight w:val="green"/>
          <w:lang w:eastAsia="de-DE"/>
        </w:rPr>
        <w:fldChar w:fldCharType="separate"/>
      </w:r>
      <w:r w:rsidR="00371A83" w:rsidRPr="00371A83">
        <w:rPr>
          <w:rFonts w:ascii="Arial" w:hAnsi="Arial" w:cs="Arial"/>
          <w:iCs/>
          <w:sz w:val="20"/>
          <w:szCs w:val="22"/>
          <w:highlight w:val="green"/>
          <w:lang w:eastAsia="de-DE"/>
        </w:rPr>
        <w:t>[SP EL]</w:t>
      </w:r>
      <w:r w:rsidRPr="00197ACA">
        <w:rPr>
          <w:rFonts w:ascii="Arial" w:hAnsi="Arial" w:cs="Arial"/>
          <w:iCs/>
          <w:sz w:val="20"/>
          <w:szCs w:val="22"/>
          <w:highlight w:val="green"/>
          <w:lang w:eastAsia="de-DE"/>
        </w:rPr>
        <w:fldChar w:fldCharType="end"/>
      </w:r>
      <w:r w:rsidRPr="00197ACA">
        <w:rPr>
          <w:rFonts w:ascii="Arial" w:hAnsi="Arial" w:cs="Arial"/>
          <w:iCs/>
          <w:sz w:val="20"/>
          <w:szCs w:val="22"/>
          <w:highlight w:val="green"/>
          <w:lang w:eastAsia="de-DE"/>
        </w:rPr>
        <w:t xml:space="preserve">, festgelegten Grundsätzen. </w:t>
      </w:r>
      <w:r w:rsidRPr="00197ACA">
        <w:rPr>
          <w:rFonts w:ascii="Arial" w:hAnsi="Arial" w:cs="Arial"/>
          <w:iCs/>
          <w:sz w:val="20"/>
          <w:szCs w:val="22"/>
          <w:highlight w:val="green"/>
          <w:lang w:eastAsia="de-DE"/>
        </w:rPr>
        <w:fldChar w:fldCharType="begin"/>
      </w:r>
      <w:r w:rsidRPr="00197ACA">
        <w:rPr>
          <w:rFonts w:ascii="Arial" w:hAnsi="Arial" w:cs="Arial"/>
          <w:iCs/>
          <w:sz w:val="20"/>
          <w:szCs w:val="22"/>
          <w:highlight w:val="green"/>
          <w:lang w:eastAsia="de-DE"/>
        </w:rPr>
        <w:instrText xml:space="preserve"> REF _Ref237613863 \h  \* MERGEFORMAT </w:instrText>
      </w:r>
      <w:r w:rsidRPr="00197ACA">
        <w:rPr>
          <w:rFonts w:ascii="Arial" w:hAnsi="Arial" w:cs="Arial"/>
          <w:iCs/>
          <w:sz w:val="20"/>
          <w:szCs w:val="22"/>
          <w:highlight w:val="green"/>
          <w:lang w:eastAsia="de-DE"/>
        </w:rPr>
      </w:r>
      <w:r w:rsidRPr="00197ACA">
        <w:rPr>
          <w:rFonts w:ascii="Arial" w:hAnsi="Arial" w:cs="Arial"/>
          <w:iCs/>
          <w:sz w:val="20"/>
          <w:szCs w:val="22"/>
          <w:highlight w:val="green"/>
          <w:lang w:eastAsia="de-DE"/>
        </w:rPr>
        <w:fldChar w:fldCharType="separate"/>
      </w:r>
      <w:r w:rsidR="00371A83" w:rsidRPr="00371A83">
        <w:rPr>
          <w:rFonts w:ascii="Arial" w:hAnsi="Arial" w:cs="Arial"/>
          <w:iCs/>
          <w:sz w:val="20"/>
          <w:szCs w:val="22"/>
          <w:highlight w:val="green"/>
          <w:lang w:eastAsia="de-DE"/>
        </w:rPr>
        <w:t>Abbildung 1</w:t>
      </w:r>
      <w:r w:rsidRPr="00197ACA">
        <w:rPr>
          <w:rFonts w:ascii="Arial" w:hAnsi="Arial" w:cs="Arial"/>
          <w:iCs/>
          <w:sz w:val="20"/>
          <w:szCs w:val="22"/>
          <w:highlight w:val="green"/>
          <w:lang w:eastAsia="de-DE"/>
        </w:rPr>
        <w:fldChar w:fldCharType="end"/>
      </w:r>
      <w:r w:rsidRPr="00197ACA">
        <w:rPr>
          <w:rFonts w:ascii="Arial" w:hAnsi="Arial" w:cs="Arial"/>
          <w:iCs/>
          <w:sz w:val="20"/>
          <w:szCs w:val="22"/>
          <w:highlight w:val="green"/>
          <w:lang w:eastAsia="de-DE"/>
        </w:rPr>
        <w:t xml:space="preserve"> zeigt die grundlegende Struktur der DFE-Architektur und die Beziehungen zwischen den einzelnen DFE-Subsystemen. Die nachfolgende Abbildung zeigt </w:t>
      </w:r>
      <w:r w:rsidR="003E4F6B" w:rsidRPr="00197ACA">
        <w:rPr>
          <w:rFonts w:ascii="Arial" w:hAnsi="Arial" w:cs="Arial"/>
          <w:iCs/>
          <w:sz w:val="20"/>
          <w:szCs w:val="22"/>
          <w:highlight w:val="green"/>
          <w:lang w:eastAsia="de-DE"/>
        </w:rPr>
        <w:t>detailiert</w:t>
      </w:r>
      <w:r w:rsidRPr="00197ACA">
        <w:rPr>
          <w:rFonts w:ascii="Arial" w:hAnsi="Arial" w:cs="Arial"/>
          <w:iCs/>
          <w:sz w:val="20"/>
          <w:szCs w:val="22"/>
          <w:highlight w:val="green"/>
          <w:lang w:eastAsia="de-DE"/>
        </w:rPr>
        <w:t xml:space="preserve"> die Struktur der Sicherheitsnachweise für die </w:t>
      </w:r>
      <w:r w:rsidR="007B3788">
        <w:rPr>
          <w:rFonts w:ascii="Arial" w:hAnsi="Arial" w:cs="Arial"/>
          <w:iCs/>
          <w:sz w:val="20"/>
          <w:szCs w:val="22"/>
          <w:highlight w:val="green"/>
          <w:lang w:eastAsia="de-DE"/>
        </w:rPr>
        <w:t>Interface Converter</w:t>
      </w:r>
      <w:r w:rsidRPr="00197ACA">
        <w:rPr>
          <w:rFonts w:ascii="Arial" w:hAnsi="Arial" w:cs="Arial"/>
          <w:iCs/>
          <w:sz w:val="20"/>
          <w:szCs w:val="22"/>
          <w:highlight w:val="green"/>
          <w:lang w:eastAsia="de-DE"/>
        </w:rPr>
        <w:t>.</w:t>
      </w:r>
    </w:p>
    <w:p w14:paraId="7B59C15F" w14:textId="020606FD" w:rsidR="00D3696D" w:rsidRPr="004721C5" w:rsidRDefault="004721C5">
      <w:pPr>
        <w:pStyle w:val="Figure"/>
      </w:pPr>
      <w:r w:rsidRPr="004721C5">
        <w:object w:dxaOrig="5930" w:dyaOrig="3331" w14:anchorId="31F801C7">
          <v:shape id="_x0000_i1026" type="#_x0000_t75" style="width:381.9pt;height:273.6pt" o:ole="">
            <v:imagedata r:id="rId27" o:title="" croptop="4982f" cropbottom="9289f" cropleft="23096f" cropright="1603f"/>
          </v:shape>
          <o:OLEObject Type="Embed" ProgID="PowerPoint.Slide.12" ShapeID="_x0000_i1026" DrawAspect="Content" ObjectID="_1853313993" r:id="rId28"/>
        </w:object>
      </w:r>
    </w:p>
    <w:p w14:paraId="3D5C55C8" w14:textId="49A6C602" w:rsidR="00D3696D" w:rsidRPr="004721C5" w:rsidRDefault="00B861B2" w:rsidP="00B861B2">
      <w:pPr>
        <w:pStyle w:val="Caption"/>
      </w:pPr>
      <w:bookmarkStart w:id="105" w:name="_Ref237966595"/>
      <w:bookmarkStart w:id="106" w:name="_Toc231818725"/>
      <w:bookmarkStart w:id="107" w:name="_Toc242167553"/>
      <w:r w:rsidRPr="004721C5">
        <w:t xml:space="preserve">Abbildung </w:t>
      </w:r>
      <w:r w:rsidRPr="004721C5">
        <w:fldChar w:fldCharType="begin"/>
      </w:r>
      <w:r w:rsidRPr="004721C5">
        <w:instrText xml:space="preserve"> SEQ Abbildung \* ARABIC </w:instrText>
      </w:r>
      <w:r w:rsidRPr="004721C5">
        <w:fldChar w:fldCharType="separate"/>
      </w:r>
      <w:r w:rsidR="00371A83">
        <w:rPr>
          <w:noProof/>
        </w:rPr>
        <w:t>9</w:t>
      </w:r>
      <w:r w:rsidRPr="004721C5">
        <w:fldChar w:fldCharType="end"/>
      </w:r>
      <w:bookmarkEnd w:id="105"/>
      <w:r w:rsidR="0083585D" w:rsidRPr="004721C5">
        <w:t xml:space="preserve">: Sicherheitsnachweisstruktur </w:t>
      </w:r>
      <w:bookmarkEnd w:id="106"/>
      <w:r w:rsidR="004721C5">
        <w:t xml:space="preserve">der </w:t>
      </w:r>
      <w:r w:rsidR="007B3788">
        <w:t>Interface Converter</w:t>
      </w:r>
      <w:bookmarkEnd w:id="107"/>
    </w:p>
    <w:p w14:paraId="1BCD8252" w14:textId="77777777" w:rsidR="00143B6A" w:rsidRDefault="00143B6A" w:rsidP="00F944A4">
      <w:pPr>
        <w:pStyle w:val="Paragraph"/>
        <w:rPr>
          <w:lang w:val="de-AT"/>
        </w:rPr>
      </w:pPr>
      <w:r w:rsidRPr="00143B6A">
        <w:rPr>
          <w:lang w:val="de-AT"/>
        </w:rPr>
        <w:t>Für die sicherheitsrelevanten DFE-Subsysteme werden eigenständige Sicherheitsnachweise erstellt oder durch die jeweiligen Lieferorganisationen bereitgestellt.</w:t>
      </w:r>
    </w:p>
    <w:p w14:paraId="4421883A" w14:textId="77777777" w:rsidR="00143B6A" w:rsidRPr="00143B6A" w:rsidRDefault="00143B6A" w:rsidP="00143B6A">
      <w:pPr>
        <w:pStyle w:val="Paragraph"/>
        <w:rPr>
          <w:lang w:val="de-AT"/>
        </w:rPr>
      </w:pPr>
      <w:r w:rsidRPr="00143B6A">
        <w:rPr>
          <w:lang w:val="de-AT"/>
        </w:rPr>
        <w:t>Dies betrifft insbesondere:</w:t>
      </w:r>
    </w:p>
    <w:p w14:paraId="5573FE39" w14:textId="77777777" w:rsidR="00143B6A" w:rsidRPr="00143B6A" w:rsidRDefault="00143B6A" w:rsidP="00143B6A">
      <w:pPr>
        <w:pStyle w:val="Paragraph"/>
        <w:rPr>
          <w:lang w:val="de-AT"/>
        </w:rPr>
      </w:pPr>
      <w:r w:rsidRPr="00143B6A">
        <w:rPr>
          <w:lang w:val="de-AT"/>
        </w:rPr>
        <w:lastRenderedPageBreak/>
        <w:t> </w:t>
      </w:r>
    </w:p>
    <w:p w14:paraId="5DECB2C9" w14:textId="77777777" w:rsidR="00143B6A" w:rsidRPr="00143B6A" w:rsidRDefault="00143B6A" w:rsidP="00143B6A">
      <w:pPr>
        <w:pStyle w:val="Paragraph"/>
        <w:rPr>
          <w:lang w:val="de-AT"/>
        </w:rPr>
      </w:pPr>
      <w:r w:rsidRPr="00143B6A">
        <w:rPr>
          <w:lang w:val="de-AT"/>
        </w:rPr>
        <w:t>• 203 – IFC-ZG62</w:t>
      </w:r>
    </w:p>
    <w:p w14:paraId="5C93C04E" w14:textId="77777777" w:rsidR="00143B6A" w:rsidRPr="00143B6A" w:rsidRDefault="00143B6A" w:rsidP="00143B6A">
      <w:pPr>
        <w:pStyle w:val="Paragraph"/>
        <w:rPr>
          <w:lang w:val="de-AT"/>
        </w:rPr>
      </w:pPr>
      <w:r w:rsidRPr="00143B6A">
        <w:rPr>
          <w:lang w:val="de-AT"/>
        </w:rPr>
        <w:t>• 204 – IFC-Sbl60A</w:t>
      </w:r>
    </w:p>
    <w:p w14:paraId="2B4550C5" w14:textId="77777777" w:rsidR="00143B6A" w:rsidRDefault="00143B6A" w:rsidP="00143B6A">
      <w:pPr>
        <w:pStyle w:val="Paragraph"/>
      </w:pPr>
      <w:r>
        <w:t>• 223 – IFC-LCSI</w:t>
      </w:r>
    </w:p>
    <w:p w14:paraId="1D3866A4" w14:textId="77777777" w:rsidR="00143B6A" w:rsidRDefault="00143B6A" w:rsidP="00143B6A">
      <w:pPr>
        <w:pStyle w:val="Paragraph"/>
      </w:pPr>
      <w:r>
        <w:t>• 224 – OC-DCA3</w:t>
      </w:r>
    </w:p>
    <w:p w14:paraId="37AB93BC" w14:textId="17C66996" w:rsidR="00143B6A" w:rsidRPr="00143B6A" w:rsidRDefault="00143B6A" w:rsidP="00143B6A">
      <w:pPr>
        <w:pStyle w:val="Paragraph"/>
      </w:pPr>
      <w:r>
        <w:t>• 225 – OC-AzLM</w:t>
      </w:r>
    </w:p>
    <w:p w14:paraId="39AEF7FF" w14:textId="5EA93119" w:rsidR="00F944A4" w:rsidRPr="00F944A4" w:rsidRDefault="00F944A4" w:rsidP="00F944A4">
      <w:pPr>
        <w:pStyle w:val="Paragraph"/>
        <w:rPr>
          <w:lang w:val="de-AT"/>
        </w:rPr>
      </w:pPr>
      <w:r w:rsidRPr="009B7C2E">
        <w:rPr>
          <w:highlight w:val="green"/>
          <w:lang w:val="de-AT"/>
        </w:rPr>
        <w:t>Diese Safety Cases bilden die Grundlage für die Sicherheitsnachweisführung innerhalb des DFE-Projekts.</w:t>
      </w:r>
    </w:p>
    <w:p w14:paraId="086CD465" w14:textId="05D64791" w:rsidR="00F944A4" w:rsidRDefault="00BB55D6" w:rsidP="00F944A4">
      <w:pPr>
        <w:pStyle w:val="Paragraph"/>
        <w:rPr>
          <w:lang w:val="de-AT"/>
        </w:rPr>
      </w:pPr>
      <w:r w:rsidRPr="00BB55D6">
        <w:rPr>
          <w:lang w:val="de-AT"/>
        </w:rPr>
        <w:t>Für die DFE-Subsysteme IFC-LCSI (223), OC-DCA3 (224) und OC-AzLM (225) werden Sicherheitsnachweise durch die jeweiligen Lieferorganisationen bereitgestellt. Hierzu werden insbesondere Safety Case, Hazard Log, SRAC-Dokumente sowie unabhängige Gutachten erwartet. Die Verantwortung für die Produktsicherheit dieser Systeme verbleibt bei den jeweiligen Lieferanten.</w:t>
      </w:r>
    </w:p>
    <w:p w14:paraId="512FFA42" w14:textId="77402A5E" w:rsidR="00BB55D6" w:rsidRPr="00F944A4" w:rsidRDefault="00BB55D6" w:rsidP="00F944A4">
      <w:pPr>
        <w:pStyle w:val="Paragraph"/>
        <w:rPr>
          <w:lang w:val="de-AT"/>
        </w:rPr>
      </w:pPr>
      <w:r w:rsidRPr="00BB55D6">
        <w:rPr>
          <w:lang w:val="de-AT"/>
        </w:rPr>
        <w:t>Die Field Element Stations FES-S (206), FES-M (207) und FES-L-XXL (208) stellen die für den Betrieb der DFE-Subsysteme erforderliche Infrastruktur bereit. Für die FES-Varianten werden Nachweise geführt, welche die Erfüllung der Hardware-, Infrastruktur- und Integrationsanforderungen der vorgesehenen Systemkonfigurationen dokumentieren.</w:t>
      </w:r>
    </w:p>
    <w:p w14:paraId="056F65D1" w14:textId="061ACADC" w:rsidR="005D5476" w:rsidRPr="001C2A9C" w:rsidRDefault="00BB55D6" w:rsidP="005D5476">
      <w:pPr>
        <w:pStyle w:val="Paragraph"/>
        <w:rPr>
          <w:highlight w:val="green"/>
          <w:lang w:val="de-AT"/>
        </w:rPr>
      </w:pPr>
      <w:r w:rsidRPr="00BB55D6">
        <w:rPr>
          <w:lang w:val="de-AT"/>
        </w:rPr>
        <w:t>Ergänzend zu den Sicherheitsnachweisen der einzelnen DFE-Subsysteme werden Integrationsbewertungen durchgeführt. Dabei werden insbesondere Schnittstellen, Safety Related Application Conditions (SRACs), Lieferantennachweise sowie die Ergebnisse aus Integrations-, Verifikations- und Qualifikationstests berücksichtigt.</w:t>
      </w:r>
      <w:r>
        <w:rPr>
          <w:lang w:val="de-AT"/>
        </w:rPr>
        <w:t xml:space="preserve"> </w:t>
      </w:r>
      <w:r w:rsidR="005D5476" w:rsidRPr="001C2A9C">
        <w:rPr>
          <w:highlight w:val="green"/>
          <w:lang w:val="de-AT"/>
        </w:rPr>
        <w:t>Die Ergebnisse dieser Bewertungen bilden die Grundlage für die Freigabe der zulässigen Konfigurationsvarianten innerhalb von GA DIL-ÖBB.</w:t>
      </w:r>
    </w:p>
    <w:p w14:paraId="608EEBF6" w14:textId="77777777" w:rsidR="005D5476" w:rsidRPr="005D5476" w:rsidRDefault="005D5476" w:rsidP="005D5476">
      <w:pPr>
        <w:pStyle w:val="Paragraph"/>
        <w:rPr>
          <w:lang w:val="de-AT"/>
        </w:rPr>
      </w:pPr>
      <w:r w:rsidRPr="001C2A9C">
        <w:rPr>
          <w:highlight w:val="green"/>
          <w:lang w:val="de-AT"/>
        </w:rPr>
        <w:t>Paket 200 (GA DIL-ÖBB) enthält keine eigenständige Sicherheitsargumentation. Es dient der Zusammenfassung der freigegebenen Konfigurationsvarianten und dokumentiert die zulässigen Kombinationen von DFE-Subsystemen, Hardwareständen, Softwareständen, Lieferantennachweisen sowie den zugehörigen Safety Cases.</w:t>
      </w:r>
    </w:p>
    <w:p w14:paraId="04287B89" w14:textId="77777777" w:rsidR="00D3696D" w:rsidRPr="002415B5" w:rsidRDefault="0083585D">
      <w:pPr>
        <w:pStyle w:val="Heading2"/>
        <w:keepLines w:val="0"/>
        <w:tabs>
          <w:tab w:val="clear" w:pos="1080"/>
          <w:tab w:val="num" w:pos="720"/>
        </w:tabs>
        <w:spacing w:before="480" w:after="120" w:line="240" w:lineRule="auto"/>
        <w:ind w:left="0" w:firstLine="0"/>
      </w:pPr>
      <w:bookmarkStart w:id="108" w:name="_Toc242167532"/>
      <w:bookmarkStart w:id="109" w:name="_Ref242357248"/>
      <w:r w:rsidRPr="002415B5">
        <w:t>Sicherheitsziel</w:t>
      </w:r>
      <w:bookmarkEnd w:id="108"/>
      <w:bookmarkEnd w:id="109"/>
    </w:p>
    <w:p w14:paraId="045CF955" w14:textId="7CDA4FBA" w:rsidR="00886C7C" w:rsidRDefault="00886C7C" w:rsidP="001C2A9C">
      <w:pPr>
        <w:pStyle w:val="Paragraph"/>
        <w:rPr>
          <w:lang w:val="de-AT"/>
        </w:rPr>
      </w:pPr>
      <w:r w:rsidRPr="00886C7C">
        <w:rPr>
          <w:lang w:val="de-AT"/>
        </w:rPr>
        <w:t>Die Sicherheitsziele der DFE-Subsysteme werden aus den übergeordneten Sicherheitszielen der Generic Application Digital Interlocking (GA DIL) abgeleitet.</w:t>
      </w:r>
    </w:p>
    <w:p w14:paraId="30009A6F" w14:textId="1E9952DA" w:rsidR="00886C7C" w:rsidRDefault="00886C7C" w:rsidP="001C2A9C">
      <w:pPr>
        <w:pStyle w:val="Paragraph"/>
        <w:rPr>
          <w:lang w:val="de-AT"/>
        </w:rPr>
      </w:pPr>
      <w:r w:rsidRPr="00886C7C">
        <w:rPr>
          <w:lang w:val="de-AT"/>
        </w:rPr>
        <w:t>Für die sicherheitsrelevanten DFE-Subsysteme sind die zugewiesenen Sicherheitsanforderungen im Rahmen der jeweiligen Sicherheitsnachweise nachzuweisen. Die sicherheitsrelevanten Funktionen der DFE-Subsysteme werden entsprechend den Anforderungen der Generic Application Digital Interlocking (GA DIL) entwickelt und nachgewiesen.</w:t>
      </w:r>
    </w:p>
    <w:p w14:paraId="008C88FC" w14:textId="18A2105C" w:rsidR="00886C7C" w:rsidRPr="00886C7C" w:rsidRDefault="00886C7C" w:rsidP="00886C7C">
      <w:pPr>
        <w:pStyle w:val="Paragraph"/>
        <w:rPr>
          <w:lang w:val="de-AT"/>
        </w:rPr>
      </w:pPr>
      <w:r w:rsidRPr="00886C7C">
        <w:rPr>
          <w:lang w:val="de-AT"/>
        </w:rPr>
        <w:t xml:space="preserve">Im Safety Concept </w:t>
      </w:r>
      <w:r>
        <w:rPr>
          <w:lang w:val="de-AT"/>
        </w:rPr>
        <w:fldChar w:fldCharType="begin"/>
      </w:r>
      <w:r>
        <w:rPr>
          <w:lang w:val="de-AT"/>
        </w:rPr>
        <w:instrText xml:space="preserve"> REF REF_SC_DIL \h </w:instrText>
      </w:r>
      <w:r>
        <w:rPr>
          <w:lang w:val="de-AT"/>
        </w:rPr>
      </w:r>
      <w:r>
        <w:rPr>
          <w:lang w:val="de-AT"/>
        </w:rPr>
        <w:fldChar w:fldCharType="separate"/>
      </w:r>
      <w:r w:rsidRPr="00886C7C">
        <w:rPr>
          <w:szCs w:val="18"/>
          <w:lang w:val="de-AT"/>
        </w:rPr>
        <w:t>[SC DIL]</w:t>
      </w:r>
      <w:r>
        <w:rPr>
          <w:lang w:val="de-AT"/>
        </w:rPr>
        <w:fldChar w:fldCharType="end"/>
      </w:r>
      <w:r>
        <w:rPr>
          <w:lang w:val="de-AT"/>
        </w:rPr>
        <w:t xml:space="preserve"> </w:t>
      </w:r>
      <w:r w:rsidRPr="00886C7C">
        <w:rPr>
          <w:lang w:val="de-AT"/>
        </w:rPr>
        <w:t>und Safety Plan der Generic Application Digital Interlocking (GA DIL)</w:t>
      </w:r>
      <w:r>
        <w:rPr>
          <w:lang w:val="de-AT"/>
        </w:rPr>
        <w:t xml:space="preserve"> </w:t>
      </w:r>
      <w:r>
        <w:rPr>
          <w:lang w:val="de-AT"/>
        </w:rPr>
        <w:fldChar w:fldCharType="begin"/>
      </w:r>
      <w:r>
        <w:rPr>
          <w:lang w:val="de-AT"/>
        </w:rPr>
        <w:instrText xml:space="preserve"> REF REF_SP_EL \h </w:instrText>
      </w:r>
      <w:r>
        <w:rPr>
          <w:lang w:val="de-AT"/>
        </w:rPr>
      </w:r>
      <w:r>
        <w:rPr>
          <w:lang w:val="de-AT"/>
        </w:rPr>
        <w:fldChar w:fldCharType="separate"/>
      </w:r>
      <w:r w:rsidRPr="00886C7C">
        <w:rPr>
          <w:szCs w:val="18"/>
          <w:lang w:val="de-AT"/>
        </w:rPr>
        <w:t>[SP DIL]</w:t>
      </w:r>
      <w:r>
        <w:rPr>
          <w:lang w:val="de-AT"/>
        </w:rPr>
        <w:fldChar w:fldCharType="end"/>
      </w:r>
      <w:r w:rsidRPr="00886C7C">
        <w:rPr>
          <w:lang w:val="de-AT"/>
        </w:rPr>
        <w:t xml:space="preserve"> wird als übergeordnetes Sicherheitsziel eine System Hazard Rate von kleiner 10^-9/h definiert. Die DFE-Subsysteme tragen durch die Erfüllung ihrer zugewiesenen Sicherheitsanforderungen zur Erreichung dieses Gesamtziels bei.</w:t>
      </w:r>
    </w:p>
    <w:p w14:paraId="2DEEF6DD" w14:textId="77777777" w:rsidR="00886C7C" w:rsidRPr="00886C7C" w:rsidRDefault="00886C7C" w:rsidP="00886C7C">
      <w:pPr>
        <w:pStyle w:val="Paragraph"/>
        <w:rPr>
          <w:lang w:val="de-AT"/>
        </w:rPr>
      </w:pPr>
      <w:r w:rsidRPr="00886C7C">
        <w:rPr>
          <w:lang w:val="de-AT"/>
        </w:rPr>
        <w:t>Die aus der Generic Application Digital Interlocking abgeleiteten Gefährdungsraten sind in Tabelle X dargestellt.</w:t>
      </w:r>
    </w:p>
    <w:p w14:paraId="27DBE30D" w14:textId="03DF0A06" w:rsidR="00886C7C" w:rsidRDefault="00886C7C" w:rsidP="00886C7C">
      <w:pPr>
        <w:pStyle w:val="Caption"/>
        <w:keepNext/>
      </w:pPr>
      <w:r>
        <w:t xml:space="preserve">Tabelle </w:t>
      </w:r>
      <w:r>
        <w:fldChar w:fldCharType="begin"/>
      </w:r>
      <w:r>
        <w:instrText xml:space="preserve"> SEQ Tabelle \* ARABIC </w:instrText>
      </w:r>
      <w:r>
        <w:fldChar w:fldCharType="separate"/>
      </w:r>
      <w:r>
        <w:rPr>
          <w:noProof/>
        </w:rPr>
        <w:t>4</w:t>
      </w:r>
      <w:r>
        <w:fldChar w:fldCharType="end"/>
      </w:r>
      <w:r>
        <w:tab/>
      </w:r>
      <w:r w:rsidRPr="00886C7C">
        <w:t>Zugewiesene Gefährdungsraten</w:t>
      </w:r>
    </w:p>
    <w:tbl>
      <w:tblPr>
        <w:tblStyle w:val="TableGrid"/>
        <w:tblW w:w="0" w:type="auto"/>
        <w:tblLook w:val="04A0" w:firstRow="1" w:lastRow="0" w:firstColumn="1" w:lastColumn="0" w:noHBand="0" w:noVBand="1"/>
      </w:tblPr>
      <w:tblGrid>
        <w:gridCol w:w="4814"/>
        <w:gridCol w:w="4814"/>
      </w:tblGrid>
      <w:tr w:rsidR="00886C7C" w14:paraId="5E576778" w14:textId="77777777" w:rsidTr="00886C7C">
        <w:tc>
          <w:tcPr>
            <w:tcW w:w="4814" w:type="dxa"/>
            <w:shd w:val="clear" w:color="auto" w:fill="D9D9D9" w:themeFill="background1" w:themeFillShade="D9"/>
          </w:tcPr>
          <w:p w14:paraId="363E37F4" w14:textId="2BC0ADA6" w:rsidR="00886C7C" w:rsidRPr="00886C7C" w:rsidRDefault="00886C7C" w:rsidP="00886C7C">
            <w:pPr>
              <w:pStyle w:val="Paragraph"/>
              <w:spacing w:before="120" w:after="120"/>
              <w:jc w:val="left"/>
              <w:rPr>
                <w:b/>
                <w:bCs/>
              </w:rPr>
            </w:pPr>
            <w:r w:rsidRPr="00886C7C">
              <w:rPr>
                <w:b/>
                <w:bCs/>
              </w:rPr>
              <w:t>Subsystem</w:t>
            </w:r>
          </w:p>
        </w:tc>
        <w:tc>
          <w:tcPr>
            <w:tcW w:w="4814" w:type="dxa"/>
            <w:shd w:val="clear" w:color="auto" w:fill="D9D9D9" w:themeFill="background1" w:themeFillShade="D9"/>
          </w:tcPr>
          <w:p w14:paraId="0BF558AC" w14:textId="490C97B4" w:rsidR="00886C7C" w:rsidRPr="00886C7C" w:rsidRDefault="00886C7C" w:rsidP="00886C7C">
            <w:pPr>
              <w:pStyle w:val="Paragraph"/>
              <w:spacing w:before="120" w:after="120"/>
              <w:jc w:val="left"/>
              <w:rPr>
                <w:b/>
                <w:bCs/>
              </w:rPr>
            </w:pPr>
            <w:r w:rsidRPr="0006414F">
              <w:rPr>
                <w:b/>
                <w:bCs/>
              </w:rPr>
              <w:t>Vorgegebene Gefährdungsrate</w:t>
            </w:r>
          </w:p>
        </w:tc>
      </w:tr>
      <w:tr w:rsidR="00886C7C" w14:paraId="26F0C905" w14:textId="77777777" w:rsidTr="00886C7C">
        <w:tc>
          <w:tcPr>
            <w:tcW w:w="4814" w:type="dxa"/>
          </w:tcPr>
          <w:p w14:paraId="5A294E25" w14:textId="4DB1CC36" w:rsidR="00886C7C" w:rsidRPr="00886C7C" w:rsidRDefault="00886C7C" w:rsidP="00886C7C">
            <w:pPr>
              <w:pStyle w:val="Paragraph"/>
              <w:spacing w:before="120" w:after="120"/>
              <w:jc w:val="left"/>
              <w:rPr>
                <w:b/>
                <w:bCs/>
              </w:rPr>
            </w:pPr>
            <w:r w:rsidRPr="0006414F">
              <w:t>OCs</w:t>
            </w:r>
          </w:p>
        </w:tc>
        <w:tc>
          <w:tcPr>
            <w:tcW w:w="4814" w:type="dxa"/>
          </w:tcPr>
          <w:p w14:paraId="7DA7BC53" w14:textId="06CB2ADC" w:rsidR="00886C7C" w:rsidRPr="00886C7C" w:rsidRDefault="00886C7C" w:rsidP="00886C7C">
            <w:pPr>
              <w:pStyle w:val="Paragraph"/>
              <w:spacing w:before="120" w:after="120"/>
              <w:jc w:val="left"/>
              <w:rPr>
                <w:b/>
                <w:bCs/>
              </w:rPr>
            </w:pPr>
            <w:r w:rsidRPr="0006414F">
              <w:t>2 * 10</w:t>
            </w:r>
            <w:r w:rsidRPr="0006414F">
              <w:rPr>
                <w:i/>
                <w:vertAlign w:val="superscript"/>
              </w:rPr>
              <w:t>-10</w:t>
            </w:r>
            <w:r w:rsidRPr="0006414F">
              <w:t xml:space="preserve"> h</w:t>
            </w:r>
            <w:r w:rsidRPr="00A370FA">
              <w:rPr>
                <w:i/>
                <w:vertAlign w:val="superscript"/>
              </w:rPr>
              <w:t>-1</w:t>
            </w:r>
          </w:p>
        </w:tc>
      </w:tr>
      <w:tr w:rsidR="00886C7C" w14:paraId="5C69F3CB" w14:textId="77777777" w:rsidTr="00886C7C">
        <w:tc>
          <w:tcPr>
            <w:tcW w:w="4814" w:type="dxa"/>
          </w:tcPr>
          <w:p w14:paraId="7E5C8ADF" w14:textId="3A0A6BEC" w:rsidR="00886C7C" w:rsidRPr="00886C7C" w:rsidRDefault="00886C7C" w:rsidP="00886C7C">
            <w:pPr>
              <w:pStyle w:val="Paragraph"/>
              <w:spacing w:before="120" w:after="120"/>
              <w:jc w:val="left"/>
              <w:rPr>
                <w:b/>
                <w:bCs/>
              </w:rPr>
            </w:pPr>
            <w:r>
              <w:lastRenderedPageBreak/>
              <w:t>Interface Converter</w:t>
            </w:r>
            <w:r w:rsidRPr="0006414F">
              <w:t xml:space="preserve"> (Interface Converter)</w:t>
            </w:r>
          </w:p>
        </w:tc>
        <w:tc>
          <w:tcPr>
            <w:tcW w:w="4814" w:type="dxa"/>
          </w:tcPr>
          <w:p w14:paraId="3F4886D8" w14:textId="38773FAF" w:rsidR="00886C7C" w:rsidRPr="00886C7C" w:rsidRDefault="00886C7C" w:rsidP="00886C7C">
            <w:pPr>
              <w:pStyle w:val="Paragraph"/>
              <w:spacing w:before="120" w:after="120"/>
              <w:jc w:val="left"/>
              <w:rPr>
                <w:b/>
                <w:bCs/>
              </w:rPr>
            </w:pPr>
            <w:r w:rsidRPr="0006414F">
              <w:t>2 * 10</w:t>
            </w:r>
            <w:r w:rsidRPr="0006414F">
              <w:rPr>
                <w:i/>
                <w:vertAlign w:val="superscript"/>
              </w:rPr>
              <w:t>-10</w:t>
            </w:r>
            <w:r w:rsidRPr="0006414F">
              <w:t xml:space="preserve"> h</w:t>
            </w:r>
            <w:r w:rsidRPr="00A370FA">
              <w:rPr>
                <w:i/>
                <w:vertAlign w:val="superscript"/>
              </w:rPr>
              <w:t>-1</w:t>
            </w:r>
          </w:p>
        </w:tc>
      </w:tr>
    </w:tbl>
    <w:p w14:paraId="2155288C" w14:textId="33CADA00" w:rsidR="00886C7C" w:rsidRDefault="00886C7C" w:rsidP="001C2A9C">
      <w:pPr>
        <w:pStyle w:val="Paragraph"/>
        <w:rPr>
          <w:lang w:val="de-AT"/>
        </w:rPr>
      </w:pPr>
      <w:r w:rsidRPr="00886C7C">
        <w:rPr>
          <w:lang w:val="de-AT"/>
        </w:rPr>
        <w:t>Die detaillierte Zuordnung der Sicherheitsanforderungen innerhalb der jeweiligen Subsysteme erfolgt in den zugehörigen Safety Cases, Hazard Logs und Sicherheitsanforderungsspezifikationen.</w:t>
      </w:r>
    </w:p>
    <w:p w14:paraId="6B89DA29" w14:textId="27B29B8E" w:rsidR="00886C7C" w:rsidRDefault="00886C7C" w:rsidP="001C2A9C">
      <w:pPr>
        <w:pStyle w:val="Paragraph"/>
        <w:rPr>
          <w:lang w:val="de-AT"/>
        </w:rPr>
      </w:pPr>
      <w:r w:rsidRPr="00886C7C">
        <w:rPr>
          <w:lang w:val="de-AT"/>
        </w:rPr>
        <w:t>Für die Field Element Stations (206, 207, 208) werden keine eigenständigen Sicherheitsziele hinsichtlich der Sicherheitsintegrität definiert. Die FES stellen die für den Betrieb der DFE-Subsysteme erforderliche Infrastruktur bereit. Für die FES sind die zugehörigen Hardware-, Infrastruktur-, Integrations- und Umgebungsanforderungen nachzuweisen und einzuhalten.</w:t>
      </w:r>
    </w:p>
    <w:p w14:paraId="73D16381" w14:textId="77777777" w:rsidR="00D3696D" w:rsidRPr="002415B5" w:rsidRDefault="0083585D">
      <w:pPr>
        <w:pStyle w:val="Heading3"/>
        <w:keepLines w:val="0"/>
        <w:tabs>
          <w:tab w:val="left" w:pos="885"/>
          <w:tab w:val="num" w:pos="1080"/>
        </w:tabs>
        <w:spacing w:before="360" w:after="120" w:line="240" w:lineRule="auto"/>
        <w:ind w:left="0" w:firstLine="0"/>
      </w:pPr>
      <w:bookmarkStart w:id="110" w:name="_Toc242167533"/>
      <w:r w:rsidRPr="002415B5">
        <w:t>Risikoevaluierung</w:t>
      </w:r>
      <w:bookmarkEnd w:id="110"/>
    </w:p>
    <w:p w14:paraId="6B8F5F14" w14:textId="0F17E40B" w:rsidR="003950BF" w:rsidRPr="003950BF" w:rsidRDefault="003950BF" w:rsidP="003950BF">
      <w:pPr>
        <w:pStyle w:val="Paragraph"/>
        <w:rPr>
          <w:lang w:val="de-AT"/>
        </w:rPr>
      </w:pPr>
      <w:r w:rsidRPr="003950BF">
        <w:rPr>
          <w:lang w:val="de-AT"/>
        </w:rPr>
        <w:t>Die Risikoevaluierung für die Generic Application Digital Interlocking (GA DIL) ist im übergeordneten Safety Concept</w:t>
      </w:r>
      <w:r>
        <w:rPr>
          <w:lang w:val="de-AT"/>
        </w:rPr>
        <w:t xml:space="preserve"> </w:t>
      </w:r>
      <w:r>
        <w:rPr>
          <w:lang w:val="de-AT"/>
        </w:rPr>
        <w:fldChar w:fldCharType="begin"/>
      </w:r>
      <w:r>
        <w:rPr>
          <w:lang w:val="de-AT"/>
        </w:rPr>
        <w:instrText xml:space="preserve"> REF REF_SC_DIL \h </w:instrText>
      </w:r>
      <w:r>
        <w:rPr>
          <w:lang w:val="de-AT"/>
        </w:rPr>
      </w:r>
      <w:r>
        <w:rPr>
          <w:lang w:val="de-AT"/>
        </w:rPr>
        <w:fldChar w:fldCharType="separate"/>
      </w:r>
      <w:r w:rsidRPr="003950BF">
        <w:rPr>
          <w:szCs w:val="18"/>
          <w:lang w:val="de-AT"/>
        </w:rPr>
        <w:t>[SC DIL]</w:t>
      </w:r>
      <w:r>
        <w:rPr>
          <w:lang w:val="de-AT"/>
        </w:rPr>
        <w:fldChar w:fldCharType="end"/>
      </w:r>
      <w:r w:rsidRPr="003950BF">
        <w:rPr>
          <w:lang w:val="de-AT"/>
        </w:rPr>
        <w:t xml:space="preserve"> beschrieben. Die den DFE-Subsystemen zugewiesenen Sicherheitsziele und Sicherheitsanforderungen werden aus den dort definierten Gefährdungen, Gefährdungsraten und Sicherheitszielen abgeleitet.</w:t>
      </w:r>
    </w:p>
    <w:p w14:paraId="154289A2" w14:textId="7CF02DC0" w:rsidR="00D64FFF" w:rsidRPr="00D64FFF" w:rsidRDefault="003950BF" w:rsidP="003950BF">
      <w:pPr>
        <w:pStyle w:val="Paragraph"/>
        <w:rPr>
          <w:lang w:val="de-AT"/>
        </w:rPr>
      </w:pPr>
      <w:r w:rsidRPr="003950BF">
        <w:rPr>
          <w:lang w:val="de-AT"/>
        </w:rPr>
        <w:t>Für die einzelnen DFE-Subsysteme sind Hazard Logs zu erstellen und über den gesamten Lebenszyklus zu pflegen. Die Identifikation, Bewertung und Beherrschung subsystemspezifischer Gefährdungen erfolgt im Rahmen der jeweiligen Sicherheitsnachweise.</w:t>
      </w:r>
    </w:p>
    <w:p w14:paraId="4B14943D" w14:textId="6944E97F" w:rsidR="00D3696D" w:rsidRPr="002415B5" w:rsidRDefault="0083585D">
      <w:pPr>
        <w:pStyle w:val="Heading3"/>
        <w:keepLines w:val="0"/>
        <w:tabs>
          <w:tab w:val="left" w:pos="885"/>
          <w:tab w:val="num" w:pos="1080"/>
        </w:tabs>
        <w:spacing w:before="360" w:after="120" w:line="240" w:lineRule="auto"/>
        <w:ind w:left="0" w:firstLine="0"/>
      </w:pPr>
      <w:bookmarkStart w:id="111" w:name="_Toc242167534"/>
      <w:r w:rsidRPr="002415B5">
        <w:t>Sicherer Zustand</w:t>
      </w:r>
      <w:bookmarkEnd w:id="111"/>
    </w:p>
    <w:p w14:paraId="5767D2EC" w14:textId="77777777" w:rsidR="00E53648" w:rsidRPr="00E53648" w:rsidRDefault="00E53648" w:rsidP="00E53648">
      <w:pPr>
        <w:pStyle w:val="Paragraph"/>
        <w:rPr>
          <w:lang w:val="de-AT"/>
        </w:rPr>
      </w:pPr>
      <w:r w:rsidRPr="00E53648">
        <w:rPr>
          <w:lang w:val="de-AT"/>
        </w:rPr>
        <w:t>Die Definition des sicheren Zustands erfolgt für jedes DFE-Subsystem im jeweiligen Sicherheitsnachweis. Die dort beschriebenen Sicherheitsreaktionen müssen sicherstellen, dass die übergeordneten Sicherheitsziele der Generic Application Digital Interlocking eingehalten werden.</w:t>
      </w:r>
    </w:p>
    <w:p w14:paraId="474C04ED" w14:textId="581AF206" w:rsidR="007A39F5" w:rsidRPr="002415B5" w:rsidRDefault="00E53648" w:rsidP="00E53648">
      <w:pPr>
        <w:pStyle w:val="Paragraph"/>
        <w:rPr>
          <w:lang w:val="de-AT"/>
        </w:rPr>
      </w:pPr>
      <w:r w:rsidRPr="00E53648">
        <w:rPr>
          <w:lang w:val="de-AT"/>
        </w:rPr>
        <w:t>Die allgemeinen Grundsätze zur Definition sicherer Zustände sind im Safety Concept der Generic Application Digital Interlocking</w:t>
      </w:r>
      <w:r>
        <w:rPr>
          <w:lang w:val="de-AT"/>
        </w:rPr>
        <w:t xml:space="preserve">, </w:t>
      </w:r>
      <w:r>
        <w:rPr>
          <w:lang w:val="de-AT"/>
        </w:rPr>
        <w:fldChar w:fldCharType="begin"/>
      </w:r>
      <w:r>
        <w:rPr>
          <w:lang w:val="de-AT"/>
        </w:rPr>
        <w:instrText xml:space="preserve"> REF REF_SC_DIL \h </w:instrText>
      </w:r>
      <w:r>
        <w:rPr>
          <w:lang w:val="de-AT"/>
        </w:rPr>
      </w:r>
      <w:r>
        <w:rPr>
          <w:lang w:val="de-AT"/>
        </w:rPr>
        <w:fldChar w:fldCharType="separate"/>
      </w:r>
      <w:r w:rsidRPr="00E53648">
        <w:rPr>
          <w:szCs w:val="18"/>
          <w:lang w:val="de-AT"/>
        </w:rPr>
        <w:t>[SC DIL]</w:t>
      </w:r>
      <w:r>
        <w:rPr>
          <w:lang w:val="de-AT"/>
        </w:rPr>
        <w:fldChar w:fldCharType="end"/>
      </w:r>
      <w:r w:rsidRPr="00E53648">
        <w:rPr>
          <w:lang w:val="de-AT"/>
        </w:rPr>
        <w:t xml:space="preserve"> beschrieben.</w:t>
      </w:r>
    </w:p>
    <w:p w14:paraId="22858505" w14:textId="523B78BD" w:rsidR="00D3696D" w:rsidRDefault="0083585D">
      <w:pPr>
        <w:pStyle w:val="Heading3"/>
        <w:keepLines w:val="0"/>
        <w:tabs>
          <w:tab w:val="left" w:pos="885"/>
          <w:tab w:val="num" w:pos="1080"/>
        </w:tabs>
        <w:spacing w:before="360" w:after="120" w:line="240" w:lineRule="auto"/>
        <w:ind w:left="0" w:firstLine="0"/>
      </w:pPr>
      <w:bookmarkStart w:id="112" w:name="_Toc242167535"/>
      <w:r w:rsidRPr="002415B5">
        <w:t>Grundlagen der Sicherheit</w:t>
      </w:r>
      <w:r w:rsidR="00F84CD4">
        <w:t>snachweisführung</w:t>
      </w:r>
      <w:bookmarkEnd w:id="112"/>
    </w:p>
    <w:p w14:paraId="395640A2" w14:textId="69B7E74E" w:rsidR="00625DFE" w:rsidRPr="00625DFE" w:rsidRDefault="00E53648" w:rsidP="00625DFE">
      <w:p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Die Grundlagen der Sicherheitsnachweisführung für die DFE-Subsysteme basieren auf den im Safety Concept der Generic Application Digital Interlocking (GA DIL)</w:t>
      </w:r>
      <w:r>
        <w:rPr>
          <w:rFonts w:ascii="Arial" w:hAnsi="Arial" w:cs="Arial"/>
          <w:iCs/>
          <w:sz w:val="20"/>
          <w:szCs w:val="22"/>
          <w:lang w:eastAsia="de-DE"/>
        </w:rPr>
        <w:t xml:space="preserve">,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w:instrText>
      </w:r>
      <w:r w:rsidR="00DA0CA4">
        <w:rPr>
          <w:rFonts w:ascii="Arial" w:hAnsi="Arial" w:cs="Arial"/>
          <w:iCs/>
          <w:sz w:val="20"/>
          <w:szCs w:val="22"/>
          <w:lang w:eastAsia="de-DE"/>
        </w:rPr>
        <w:instrText xml:space="preserve">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DA0CA4">
        <w:rPr>
          <w:rFonts w:ascii="Arial" w:hAnsi="Arial" w:cs="Arial"/>
          <w:iCs/>
          <w:sz w:val="20"/>
          <w:szCs w:val="22"/>
          <w:lang w:eastAsia="de-DE"/>
        </w:rPr>
        <w:t>[SC DIL]</w:t>
      </w:r>
      <w:r>
        <w:rPr>
          <w:rFonts w:ascii="Arial" w:hAnsi="Arial" w:cs="Arial"/>
          <w:iCs/>
          <w:sz w:val="20"/>
          <w:szCs w:val="22"/>
          <w:lang w:eastAsia="de-DE"/>
        </w:rPr>
        <w:fldChar w:fldCharType="end"/>
      </w:r>
      <w:r w:rsidRPr="00E53648">
        <w:rPr>
          <w:rFonts w:ascii="Arial" w:hAnsi="Arial" w:cs="Arial"/>
          <w:iCs/>
          <w:sz w:val="20"/>
          <w:szCs w:val="22"/>
          <w:lang w:eastAsia="de-DE"/>
        </w:rPr>
        <w:t xml:space="preserve"> beschriebenen Sicherheitsprinzipien und Nachweisstrategien.</w:t>
      </w:r>
    </w:p>
    <w:p w14:paraId="1F23C08A" w14:textId="1123895E" w:rsidR="00E53648" w:rsidRDefault="00E53648" w:rsidP="00E53648">
      <w:p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 xml:space="preserve">Die Sicherheitsnachweise für die DFE-Subsysteme werden unter Anwendung der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CEN_50126_2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E53648">
        <w:rPr>
          <w:rFonts w:ascii="Arial" w:hAnsi="Arial" w:cs="Arial"/>
          <w:iCs/>
          <w:sz w:val="20"/>
          <w:szCs w:val="22"/>
          <w:lang w:eastAsia="de-DE"/>
        </w:rPr>
        <w:t>[EN 50126-2]</w:t>
      </w:r>
      <w:r>
        <w:rPr>
          <w:rFonts w:ascii="Arial" w:hAnsi="Arial" w:cs="Arial"/>
          <w:iCs/>
          <w:sz w:val="20"/>
          <w:szCs w:val="22"/>
          <w:lang w:eastAsia="de-DE"/>
        </w:rPr>
        <w:fldChar w:fldCharType="end"/>
      </w:r>
      <w:r w:rsidRPr="00E53648">
        <w:rPr>
          <w:rFonts w:ascii="Arial" w:hAnsi="Arial" w:cs="Arial"/>
          <w:iCs/>
          <w:sz w:val="20"/>
          <w:szCs w:val="22"/>
          <w:lang w:eastAsia="de-DE"/>
        </w:rPr>
        <w:t xml:space="preserve">,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Cen_50129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E53648">
        <w:rPr>
          <w:rFonts w:ascii="Arial" w:hAnsi="Arial" w:cs="Arial"/>
          <w:iCs/>
          <w:sz w:val="20"/>
          <w:szCs w:val="22"/>
          <w:lang w:eastAsia="de-DE"/>
        </w:rPr>
        <w:t>[EN 50129]</w:t>
      </w:r>
      <w:r>
        <w:rPr>
          <w:rFonts w:ascii="Arial" w:hAnsi="Arial" w:cs="Arial"/>
          <w:iCs/>
          <w:sz w:val="20"/>
          <w:szCs w:val="22"/>
          <w:lang w:eastAsia="de-DE"/>
        </w:rPr>
        <w:fldChar w:fldCharType="end"/>
      </w:r>
      <w:r w:rsidRPr="00E53648">
        <w:rPr>
          <w:rFonts w:ascii="Arial" w:hAnsi="Arial" w:cs="Arial"/>
          <w:iCs/>
          <w:sz w:val="20"/>
          <w:szCs w:val="22"/>
          <w:lang w:eastAsia="de-DE"/>
        </w:rPr>
        <w:t xml:space="preserve">,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E53648">
        <w:rPr>
          <w:rFonts w:ascii="Arial" w:hAnsi="Arial" w:cs="Arial"/>
          <w:iCs/>
          <w:sz w:val="20"/>
          <w:szCs w:val="22"/>
          <w:lang w:eastAsia="de-DE"/>
        </w:rPr>
        <w:t>[EN 50716]</w:t>
      </w:r>
      <w:r>
        <w:rPr>
          <w:rFonts w:ascii="Arial" w:hAnsi="Arial" w:cs="Arial"/>
          <w:iCs/>
          <w:sz w:val="20"/>
          <w:szCs w:val="22"/>
          <w:lang w:eastAsia="de-DE"/>
        </w:rPr>
        <w:fldChar w:fldCharType="end"/>
      </w:r>
      <w:r w:rsidRPr="00E53648">
        <w:rPr>
          <w:rFonts w:ascii="Arial" w:hAnsi="Arial" w:cs="Arial"/>
          <w:iCs/>
          <w:sz w:val="20"/>
          <w:szCs w:val="22"/>
          <w:lang w:eastAsia="de-DE"/>
        </w:rPr>
        <w:t xml:space="preserve"> und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Cen_50159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E53648">
        <w:rPr>
          <w:rFonts w:ascii="Arial" w:hAnsi="Arial" w:cs="Arial"/>
          <w:iCs/>
          <w:sz w:val="20"/>
          <w:szCs w:val="22"/>
          <w:lang w:eastAsia="de-DE"/>
        </w:rPr>
        <w:t>[EN 50159]</w:t>
      </w:r>
      <w:r>
        <w:rPr>
          <w:rFonts w:ascii="Arial" w:hAnsi="Arial" w:cs="Arial"/>
          <w:iCs/>
          <w:sz w:val="20"/>
          <w:szCs w:val="22"/>
          <w:lang w:eastAsia="de-DE"/>
        </w:rPr>
        <w:fldChar w:fldCharType="end"/>
      </w:r>
      <w:r w:rsidRPr="00E53648">
        <w:rPr>
          <w:rFonts w:ascii="Arial" w:hAnsi="Arial" w:cs="Arial"/>
          <w:iCs/>
          <w:sz w:val="20"/>
          <w:szCs w:val="22"/>
          <w:lang w:eastAsia="de-DE"/>
        </w:rPr>
        <w:t xml:space="preserve"> erbracht. Die konkrete Auswahl und Umsetzung der jeweils anzuwendenden Methoden und Techniken erfolgt in den zugehörigen Sicherheitsnachweisen der einzelnen DFE-Subsysteme.</w:t>
      </w:r>
    </w:p>
    <w:p w14:paraId="565F7AAF" w14:textId="1CDCE12F" w:rsidR="00E53648" w:rsidRDefault="00E53648" w:rsidP="00E53648">
      <w:p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Die Sicherheitsnachweisführung des technischen Projekts DFE basiert auf folgenden Grundsätzen:</w:t>
      </w:r>
    </w:p>
    <w:p w14:paraId="26CD5F17" w14:textId="77777777" w:rsidR="00E53648" w:rsidRPr="00E53648" w:rsidRDefault="00E53648" w:rsidP="00362C69">
      <w:pPr>
        <w:pStyle w:val="ListParagraph"/>
        <w:numPr>
          <w:ilvl w:val="0"/>
          <w:numId w:val="34"/>
        </w:num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Verwendung eigenständiger Sicherheitsnachweise für sicherheitsrelevante DFE-Subsysteme,</w:t>
      </w:r>
    </w:p>
    <w:p w14:paraId="2FC5AE14" w14:textId="77777777" w:rsidR="00E53648" w:rsidRPr="00E53648" w:rsidRDefault="00E53648" w:rsidP="00362C69">
      <w:pPr>
        <w:pStyle w:val="ListParagraph"/>
        <w:numPr>
          <w:ilvl w:val="0"/>
          <w:numId w:val="34"/>
        </w:num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Wiederverwendung bereits vorhandener Sicherheitsnachweise qualifizierter Komponenten und Systeme,</w:t>
      </w:r>
    </w:p>
    <w:p w14:paraId="4DB3FBFF" w14:textId="77777777" w:rsidR="00E53648" w:rsidRPr="00E53648" w:rsidRDefault="00E53648" w:rsidP="00362C69">
      <w:pPr>
        <w:pStyle w:val="ListParagraph"/>
        <w:numPr>
          <w:ilvl w:val="0"/>
          <w:numId w:val="34"/>
        </w:numPr>
        <w:spacing w:before="100" w:beforeAutospacing="1" w:after="100" w:afterAutospacing="1" w:line="300" w:lineRule="atLeast"/>
        <w:jc w:val="both"/>
        <w:rPr>
          <w:rFonts w:ascii="Arial" w:hAnsi="Arial" w:cs="Arial"/>
          <w:iCs/>
          <w:sz w:val="20"/>
          <w:szCs w:val="22"/>
          <w:lang w:val="en-US" w:eastAsia="de-DE"/>
        </w:rPr>
      </w:pPr>
      <w:r w:rsidRPr="00E53648">
        <w:rPr>
          <w:rFonts w:ascii="Arial" w:hAnsi="Arial" w:cs="Arial"/>
          <w:iCs/>
          <w:sz w:val="20"/>
          <w:szCs w:val="22"/>
          <w:lang w:val="en-US" w:eastAsia="de-DE"/>
        </w:rPr>
        <w:t>Berücksichtigung von Safety Related Application Conditions (SRACs),</w:t>
      </w:r>
    </w:p>
    <w:p w14:paraId="0CD75176" w14:textId="77777777" w:rsidR="00E53648" w:rsidRPr="00E53648" w:rsidRDefault="00E53648" w:rsidP="00362C69">
      <w:pPr>
        <w:pStyle w:val="ListParagraph"/>
        <w:numPr>
          <w:ilvl w:val="0"/>
          <w:numId w:val="34"/>
        </w:num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Bewertung der Integrationsvoraussetzungen und Schnittstellenbedingungen,</w:t>
      </w:r>
    </w:p>
    <w:p w14:paraId="3B5CDDF4" w14:textId="77777777" w:rsidR="00E53648" w:rsidRPr="00E53648" w:rsidRDefault="00E53648" w:rsidP="00362C69">
      <w:pPr>
        <w:pStyle w:val="ListParagraph"/>
        <w:numPr>
          <w:ilvl w:val="0"/>
          <w:numId w:val="34"/>
        </w:num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Durchführung von Verifikations-, Validierungs- und Integrationsaktivitäten,</w:t>
      </w:r>
    </w:p>
    <w:p w14:paraId="251F23E4" w14:textId="77777777" w:rsidR="00E53648" w:rsidRDefault="00E53648" w:rsidP="00362C69">
      <w:pPr>
        <w:pStyle w:val="ListParagraph"/>
        <w:numPr>
          <w:ilvl w:val="0"/>
          <w:numId w:val="34"/>
        </w:num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Nachweis der sicheren Integration der DFE-Subsysteme innerhalb der DFE-Architektur.</w:t>
      </w:r>
    </w:p>
    <w:p w14:paraId="321CE353" w14:textId="1B054630" w:rsidR="00E53648" w:rsidRDefault="00E53648" w:rsidP="00E53648">
      <w:p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lastRenderedPageBreak/>
        <w:t>Für durch Lieferorganisationen bereitgestellte DFE-Subsysteme werden die jeweiligen Lieferantennachweise als Grundlage verwendet. Hierzu gehören insbesondere Safety Cases, Hazard Logs, Safety Related Application Conditions (SRACs), unabhängige Gutachten sowie weitere sicherheitsrelevante Nachweisdokumente.</w:t>
      </w:r>
    </w:p>
    <w:p w14:paraId="4608E782" w14:textId="77777777" w:rsidR="00E53648" w:rsidRPr="00E53648" w:rsidRDefault="00E53648" w:rsidP="00E53648">
      <w:p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Die sicherheitsrelevanten Feldschnittstellen der Lieferantensysteme werden im Rahmen der jeweiligen Supplier Safety Cases betrachtet. Das technische Projekt DFE bewertet die sichere Integration der DFE-Subsysteme innerhalb der DFE-Architektur sowie die Einhaltung der hierfür erforderlichen Integrations-, Hardware- und Infrastrukturanforderungen.</w:t>
      </w:r>
    </w:p>
    <w:p w14:paraId="4BFE68CB" w14:textId="0565DCF2" w:rsidR="00E53648" w:rsidRPr="00E53648" w:rsidRDefault="00E53648" w:rsidP="00E53648">
      <w:pPr>
        <w:spacing w:before="100" w:beforeAutospacing="1" w:after="100" w:afterAutospacing="1" w:line="300" w:lineRule="atLeast"/>
        <w:jc w:val="both"/>
        <w:rPr>
          <w:rFonts w:ascii="Arial" w:hAnsi="Arial" w:cs="Arial"/>
          <w:iCs/>
          <w:sz w:val="20"/>
          <w:szCs w:val="22"/>
          <w:lang w:eastAsia="de-DE"/>
        </w:rPr>
      </w:pPr>
      <w:r w:rsidRPr="00E53648">
        <w:rPr>
          <w:rFonts w:ascii="Arial" w:hAnsi="Arial" w:cs="Arial"/>
          <w:iCs/>
          <w:sz w:val="20"/>
          <w:szCs w:val="22"/>
          <w:lang w:eastAsia="de-DE"/>
        </w:rPr>
        <w:t>Die detaillierte Umsetzung der Sicherheitsmaßnahmen sowie die zugehörigen Sicherheitsargumentationen werden in den Sicherheitsnachweisen der jeweiligen DFE-Subsysteme beschrieben.</w:t>
      </w:r>
    </w:p>
    <w:p w14:paraId="55F9E110" w14:textId="730A6F21" w:rsidR="002F4B7D" w:rsidRPr="00625DFE" w:rsidRDefault="00424232" w:rsidP="002F4B7D">
      <w:pPr>
        <w:pStyle w:val="Heading4"/>
      </w:pPr>
      <w:bookmarkStart w:id="113" w:name="_Ref378567633"/>
      <w:bookmarkStart w:id="114" w:name="_Toc222738071"/>
      <w:r w:rsidRPr="00625DFE">
        <w:t>Grundlagen der</w:t>
      </w:r>
      <w:r w:rsidR="002F4B7D" w:rsidRPr="00625DFE">
        <w:t xml:space="preserve"> SW S</w:t>
      </w:r>
      <w:r w:rsidR="00835F90" w:rsidRPr="00625DFE">
        <w:t>icherheit</w:t>
      </w:r>
      <w:bookmarkEnd w:id="113"/>
      <w:bookmarkEnd w:id="114"/>
    </w:p>
    <w:p w14:paraId="52823AF3" w14:textId="658300E5" w:rsidR="00DA0CA4" w:rsidRPr="00DA0CA4"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t xml:space="preserve">Die allgemeinen Grundsätze der Software-Sicherheit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DA0CA4">
        <w:rPr>
          <w:rFonts w:ascii="Arial" w:hAnsi="Arial" w:cs="Arial"/>
          <w:iCs/>
          <w:sz w:val="20"/>
          <w:szCs w:val="22"/>
          <w:lang w:eastAsia="de-DE"/>
        </w:rPr>
        <w:t>[SC DIL]</w:t>
      </w:r>
      <w:r>
        <w:rPr>
          <w:rFonts w:ascii="Arial" w:hAnsi="Arial" w:cs="Arial"/>
          <w:iCs/>
          <w:sz w:val="20"/>
          <w:szCs w:val="22"/>
          <w:lang w:eastAsia="de-DE"/>
        </w:rPr>
        <w:fldChar w:fldCharType="end"/>
      </w:r>
      <w:r w:rsidRPr="00DA0CA4">
        <w:rPr>
          <w:rFonts w:ascii="Arial" w:hAnsi="Arial" w:cs="Arial"/>
          <w:iCs/>
          <w:sz w:val="20"/>
          <w:szCs w:val="22"/>
          <w:lang w:eastAsia="de-DE"/>
        </w:rPr>
        <w:t>, beschrieben und werden für das technische Projekt DFE entsprechend angewendet.</w:t>
      </w:r>
    </w:p>
    <w:p w14:paraId="0042E183" w14:textId="2E9AFB6F" w:rsidR="00DA0CA4" w:rsidRPr="00DA0CA4"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t xml:space="preserve">Die Software-Sicherheit der DFE-Subsysteme wird im Rahmen der jeweiligen Sicherheitsnachweise betrachtet. Hierzu werden die für das jeweilige DFE-Subsystem relevanten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DA0CA4">
        <w:rPr>
          <w:rFonts w:ascii="Arial" w:hAnsi="Arial" w:cs="Arial"/>
          <w:iCs/>
          <w:sz w:val="20"/>
          <w:szCs w:val="22"/>
          <w:lang w:eastAsia="de-DE"/>
        </w:rPr>
        <w:t>[EN 50716]</w:t>
      </w:r>
      <w:r>
        <w:rPr>
          <w:rFonts w:ascii="Arial" w:hAnsi="Arial" w:cs="Arial"/>
          <w:iCs/>
          <w:sz w:val="20"/>
          <w:szCs w:val="22"/>
          <w:lang w:eastAsia="de-DE"/>
        </w:rPr>
        <w:fldChar w:fldCharType="end"/>
      </w:r>
      <w:r w:rsidRPr="00DA0CA4">
        <w:rPr>
          <w:rFonts w:ascii="Arial" w:hAnsi="Arial" w:cs="Arial"/>
          <w:iCs/>
          <w:sz w:val="20"/>
          <w:szCs w:val="22"/>
          <w:lang w:eastAsia="de-DE"/>
        </w:rPr>
        <w:t xml:space="preserve"> angewendet.</w:t>
      </w:r>
    </w:p>
    <w:p w14:paraId="36D7FEAB" w14:textId="262D3019" w:rsidR="00DA0CA4" w:rsidRPr="00DA0CA4"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t>Für die durch Lieferorganisationen bereitgestellten DFE-Subsysteme IFC-LCSI, OC-DCA3 und OC-AzLM erfolgt der Nachweis der Software-Sicherheit durch die jeweiligen Supplier Safety Cases sowie die zugehörigen Sicherheitsnachweise. Die Verantwortung für die Entwicklung und den Nachweis der Software-Sicherheit dieser Systeme verbleibt bei den jeweiligen Lieferorganisationen.</w:t>
      </w:r>
    </w:p>
    <w:p w14:paraId="34BA0380" w14:textId="52655BB4" w:rsidR="00DA0CA4" w:rsidRPr="00DA0CA4"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t>Für die durch das DFE-Projekt entwickelten Interface Converter IFC-ZG62 und IFC-Sbl60A erfolgt die Softwareentwicklung und die zugehörige Sicherheitsnachweisführung im Rahmen der jeweiligen Subsystem-Sicherheitsnachweise. Die Software der Interface Converter stellt die Umsetzung der jeweiligen Bestandsschnittstellen in die Architektur des Digitalen Stellwerks sicher. Hierzu gehören insbesondere die Verarbeitung und Umsetzung von Schnittstellenprotokollen, die Überwachung der Kommunikationsbeziehungen sowie die Bereitstellung der für die angebundenen Nachbarsysteme erforderlichen Funktionen.</w:t>
      </w:r>
    </w:p>
    <w:p w14:paraId="2B41E008" w14:textId="05C9B4E4" w:rsidR="00DA0CA4" w:rsidRPr="00DA0CA4"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t xml:space="preserve">Die Softwareentwicklung erfolgt entsprechend den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DA0CA4">
        <w:rPr>
          <w:rFonts w:ascii="Arial" w:hAnsi="Arial" w:cs="Arial"/>
          <w:iCs/>
          <w:sz w:val="20"/>
          <w:szCs w:val="22"/>
          <w:lang w:eastAsia="de-DE"/>
        </w:rPr>
        <w:t>[EN 50716]</w:t>
      </w:r>
      <w:r>
        <w:rPr>
          <w:rFonts w:ascii="Arial" w:hAnsi="Arial" w:cs="Arial"/>
          <w:iCs/>
          <w:sz w:val="20"/>
          <w:szCs w:val="22"/>
          <w:lang w:eastAsia="de-DE"/>
        </w:rPr>
        <w:fldChar w:fldCharType="end"/>
      </w:r>
      <w:r w:rsidRPr="00DA0CA4">
        <w:rPr>
          <w:rFonts w:ascii="Arial" w:hAnsi="Arial" w:cs="Arial"/>
          <w:iCs/>
          <w:sz w:val="20"/>
          <w:szCs w:val="22"/>
          <w:lang w:eastAsia="de-DE"/>
        </w:rPr>
        <w:t>. Die zugehörigen Sicherheitsmaßnahmen, Verifikationsaktivitäten und Nachweise werden in den jeweiligen Subsystem-Sicherheitsnachweisen beschrieben. Die eingesetzten Softwarestände sowie deren Kompatibilität mit den angebundenen Bestandssystemen werden im Rahmen der Integrationsbewertungen berücksichtigt.</w:t>
      </w:r>
    </w:p>
    <w:p w14:paraId="193C6DB9" w14:textId="77777777" w:rsidR="00DA0CA4" w:rsidRPr="00DA0CA4"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t> </w:t>
      </w:r>
    </w:p>
    <w:p w14:paraId="3E4A0B61" w14:textId="77777777" w:rsidR="00DA0CA4" w:rsidRPr="00DA0CA4"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lastRenderedPageBreak/>
        <w:t>Das technische Projekt DFE bewertet die Eignung der bereitgestellten Sicherheitsnachweise für den vorgesehenen Anwendungsfall sowie die sichere Integration der jeweiligen Softwarestände innerhalb der DFE-Architektur.</w:t>
      </w:r>
    </w:p>
    <w:p w14:paraId="229CA1AA" w14:textId="499DA5F7" w:rsidR="00625DFE" w:rsidRPr="00625DFE" w:rsidRDefault="00DA0CA4" w:rsidP="00DA0CA4">
      <w:pPr>
        <w:spacing w:before="100" w:beforeAutospacing="1" w:after="100" w:afterAutospacing="1" w:line="300" w:lineRule="atLeast"/>
        <w:jc w:val="both"/>
        <w:rPr>
          <w:rFonts w:ascii="Arial" w:hAnsi="Arial" w:cs="Arial"/>
          <w:iCs/>
          <w:sz w:val="20"/>
          <w:szCs w:val="22"/>
          <w:lang w:eastAsia="de-DE"/>
        </w:rPr>
      </w:pPr>
      <w:r w:rsidRPr="00DA0CA4">
        <w:rPr>
          <w:rFonts w:ascii="Arial" w:hAnsi="Arial" w:cs="Arial"/>
          <w:iCs/>
          <w:sz w:val="20"/>
          <w:szCs w:val="22"/>
          <w:lang w:eastAsia="de-DE"/>
        </w:rPr>
        <w:t>Die im Rahmen des DFE-Projekts betrachteten Softwarestände, Konfigurationen und Systemkombinationen müssen miteinander kompatibel sein und die Voraussetzungen der jeweiligen Sicherheitsnachweise erfüllen. Die Bewertung erfolgt im Rahmen der Integrationsbewertungen sowie der Definition zulässiger Konfigurationsvarianten.</w:t>
      </w:r>
    </w:p>
    <w:p w14:paraId="51F43345" w14:textId="14C8F09F" w:rsidR="002F4B7D" w:rsidRPr="000A7A99" w:rsidRDefault="00835F90" w:rsidP="002F4B7D">
      <w:pPr>
        <w:pStyle w:val="Heading4"/>
      </w:pPr>
      <w:bookmarkStart w:id="115" w:name="_Toc222738072"/>
      <w:r w:rsidRPr="000A7A99">
        <w:t>Grundlagen der</w:t>
      </w:r>
      <w:r w:rsidR="002F4B7D" w:rsidRPr="000A7A99">
        <w:t xml:space="preserve"> HW S</w:t>
      </w:r>
      <w:r w:rsidRPr="000A7A99">
        <w:t>icherheit</w:t>
      </w:r>
      <w:bookmarkEnd w:id="115"/>
    </w:p>
    <w:p w14:paraId="048E9737" w14:textId="3B5033EF" w:rsidR="005E1807" w:rsidRPr="005E1807" w:rsidRDefault="005E1807" w:rsidP="005E1807">
      <w:pPr>
        <w:spacing w:before="100" w:beforeAutospacing="1" w:after="100" w:afterAutospacing="1" w:line="300" w:lineRule="atLeast"/>
        <w:jc w:val="both"/>
        <w:rPr>
          <w:rFonts w:ascii="Arial" w:hAnsi="Arial" w:cs="Arial"/>
          <w:iCs/>
          <w:sz w:val="20"/>
          <w:szCs w:val="22"/>
          <w:lang w:eastAsia="de-DE"/>
        </w:rPr>
      </w:pPr>
      <w:r w:rsidRPr="005E1807">
        <w:rPr>
          <w:rFonts w:ascii="Arial" w:hAnsi="Arial" w:cs="Arial"/>
          <w:iCs/>
          <w:sz w:val="20"/>
          <w:szCs w:val="22"/>
          <w:lang w:eastAsia="de-DE"/>
        </w:rPr>
        <w:t xml:space="preserve">Die allgemeinen Grundsätze der Hardware-Sicherheit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5E1807">
        <w:rPr>
          <w:rFonts w:ascii="Arial" w:hAnsi="Arial" w:cs="Arial"/>
          <w:iCs/>
          <w:sz w:val="20"/>
          <w:szCs w:val="22"/>
          <w:lang w:eastAsia="de-DE"/>
        </w:rPr>
        <w:t>[SC DIL]</w:t>
      </w:r>
      <w:r>
        <w:rPr>
          <w:rFonts w:ascii="Arial" w:hAnsi="Arial" w:cs="Arial"/>
          <w:iCs/>
          <w:sz w:val="20"/>
          <w:szCs w:val="22"/>
          <w:lang w:eastAsia="de-DE"/>
        </w:rPr>
        <w:fldChar w:fldCharType="end"/>
      </w:r>
      <w:r w:rsidRPr="005E1807">
        <w:rPr>
          <w:rFonts w:ascii="Arial" w:hAnsi="Arial" w:cs="Arial"/>
          <w:iCs/>
          <w:sz w:val="20"/>
          <w:szCs w:val="22"/>
          <w:lang w:eastAsia="de-DE"/>
        </w:rPr>
        <w:t>, beschrieben und werden für das technische Projekt DFE entsprechend angewendet.</w:t>
      </w:r>
    </w:p>
    <w:p w14:paraId="0E266ABE" w14:textId="0CA9F41B" w:rsidR="005E1807" w:rsidRPr="005E1807" w:rsidRDefault="005E1807" w:rsidP="005E1807">
      <w:pPr>
        <w:spacing w:before="100" w:beforeAutospacing="1" w:after="100" w:afterAutospacing="1" w:line="300" w:lineRule="atLeast"/>
        <w:jc w:val="both"/>
        <w:rPr>
          <w:rFonts w:ascii="Arial" w:hAnsi="Arial" w:cs="Arial"/>
          <w:iCs/>
          <w:sz w:val="20"/>
          <w:szCs w:val="22"/>
          <w:lang w:eastAsia="de-DE"/>
        </w:rPr>
      </w:pPr>
      <w:r w:rsidRPr="005E1807">
        <w:rPr>
          <w:rFonts w:ascii="Arial" w:hAnsi="Arial" w:cs="Arial"/>
          <w:iCs/>
          <w:sz w:val="20"/>
          <w:szCs w:val="22"/>
          <w:lang w:eastAsia="de-DE"/>
        </w:rPr>
        <w:t xml:space="preserve">Die Hardware-Sicherheit der DFE-Subsysteme wird im Rahmen der jeweiligen Sicherheitsnachweise betrachtet. Hierzu werden die für das jeweilige DFE-Subsystem relevanten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Cen_50129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5E1807">
        <w:rPr>
          <w:rFonts w:ascii="Arial" w:hAnsi="Arial" w:cs="Arial"/>
          <w:iCs/>
          <w:sz w:val="20"/>
          <w:szCs w:val="22"/>
          <w:lang w:eastAsia="de-DE"/>
        </w:rPr>
        <w:t>[EN 50129]</w:t>
      </w:r>
      <w:r>
        <w:rPr>
          <w:rFonts w:ascii="Arial" w:hAnsi="Arial" w:cs="Arial"/>
          <w:iCs/>
          <w:sz w:val="20"/>
          <w:szCs w:val="22"/>
          <w:lang w:eastAsia="de-DE"/>
        </w:rPr>
        <w:fldChar w:fldCharType="end"/>
      </w:r>
      <w:r>
        <w:rPr>
          <w:rFonts w:ascii="Arial" w:hAnsi="Arial" w:cs="Arial"/>
          <w:iCs/>
          <w:sz w:val="20"/>
          <w:szCs w:val="22"/>
          <w:lang w:eastAsia="de-DE"/>
        </w:rPr>
        <w:t xml:space="preserve"> </w:t>
      </w:r>
      <w:r w:rsidRPr="005E1807">
        <w:rPr>
          <w:rFonts w:ascii="Arial" w:hAnsi="Arial" w:cs="Arial"/>
          <w:iCs/>
          <w:sz w:val="20"/>
          <w:szCs w:val="22"/>
          <w:lang w:eastAsia="de-DE"/>
        </w:rPr>
        <w:t>angewendet.</w:t>
      </w:r>
    </w:p>
    <w:p w14:paraId="246FB185" w14:textId="77777777" w:rsidR="005E1807" w:rsidRPr="005E1807" w:rsidRDefault="005E1807" w:rsidP="005E1807">
      <w:pPr>
        <w:spacing w:before="100" w:beforeAutospacing="1" w:after="100" w:afterAutospacing="1" w:line="300" w:lineRule="atLeast"/>
        <w:jc w:val="both"/>
        <w:rPr>
          <w:rFonts w:ascii="Arial" w:hAnsi="Arial" w:cs="Arial"/>
          <w:iCs/>
          <w:sz w:val="20"/>
          <w:szCs w:val="22"/>
          <w:lang w:eastAsia="de-DE"/>
        </w:rPr>
      </w:pPr>
      <w:r w:rsidRPr="005E1807">
        <w:rPr>
          <w:rFonts w:ascii="Arial" w:hAnsi="Arial" w:cs="Arial"/>
          <w:iCs/>
          <w:sz w:val="20"/>
          <w:szCs w:val="22"/>
          <w:lang w:eastAsia="de-DE"/>
        </w:rPr>
        <w:t>Für die durch Lieferorganisationen bereitgestellten DFE-Subsysteme IFC-LCSI, OC-DCA3 und OC-AzLM erfolgt der Nachweis der Hardware-Sicherheit durch die jeweiligen Supplier Safety Cases sowie die zugehörigen Sicherheitsnachweise. Die Verantwortung für die Entwicklung und den Nachweis der Hardware-Sicherheit dieser Systeme verbleibt bei den jeweiligen Lieferorganisationen.</w:t>
      </w:r>
    </w:p>
    <w:p w14:paraId="6F02AB23" w14:textId="0CE807BE" w:rsidR="005E1807" w:rsidRPr="005E1807" w:rsidRDefault="005E1807" w:rsidP="005E1807">
      <w:pPr>
        <w:spacing w:before="100" w:beforeAutospacing="1" w:after="100" w:afterAutospacing="1" w:line="300" w:lineRule="atLeast"/>
        <w:jc w:val="both"/>
        <w:rPr>
          <w:rFonts w:ascii="Arial" w:hAnsi="Arial" w:cs="Arial"/>
          <w:iCs/>
          <w:sz w:val="20"/>
          <w:szCs w:val="22"/>
          <w:lang w:eastAsia="de-DE"/>
        </w:rPr>
      </w:pPr>
      <w:r w:rsidRPr="005E1807">
        <w:rPr>
          <w:rFonts w:ascii="Arial" w:hAnsi="Arial" w:cs="Arial"/>
          <w:iCs/>
          <w:sz w:val="20"/>
          <w:szCs w:val="22"/>
          <w:lang w:eastAsia="de-DE"/>
        </w:rPr>
        <w:t xml:space="preserve">Für die durch das DFE-Projekt entwickelten Interface Converter IFC-ZG62 und IFC-Sbl60A erfolgt die Bewertung und Sicherheitsnachweisführung der Hardware im Rahmen der jeweiligen Subsystem-Sicherheitsnachweise. Die hierbei angewendeten Hardwarearchitekturen, Sicherheitsmaßnahmen und Fehlererkennungsverfahren werden entsprechend den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Cen_50129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5E1807">
        <w:rPr>
          <w:rFonts w:ascii="Arial" w:hAnsi="Arial" w:cs="Arial"/>
          <w:iCs/>
          <w:sz w:val="20"/>
          <w:szCs w:val="22"/>
          <w:lang w:eastAsia="de-DE"/>
        </w:rPr>
        <w:t>[EN 50129]</w:t>
      </w:r>
      <w:r>
        <w:rPr>
          <w:rFonts w:ascii="Arial" w:hAnsi="Arial" w:cs="Arial"/>
          <w:iCs/>
          <w:sz w:val="20"/>
          <w:szCs w:val="22"/>
          <w:lang w:eastAsia="de-DE"/>
        </w:rPr>
        <w:fldChar w:fldCharType="end"/>
      </w:r>
      <w:r w:rsidRPr="005E1807">
        <w:rPr>
          <w:rFonts w:ascii="Arial" w:hAnsi="Arial" w:cs="Arial"/>
          <w:iCs/>
          <w:sz w:val="20"/>
          <w:szCs w:val="22"/>
          <w:lang w:eastAsia="de-DE"/>
        </w:rPr>
        <w:t xml:space="preserve"> ausgewählt und begründet.</w:t>
      </w:r>
    </w:p>
    <w:p w14:paraId="5D084A5B" w14:textId="77777777" w:rsidR="005E1807" w:rsidRPr="005E1807" w:rsidRDefault="005E1807" w:rsidP="005E1807">
      <w:pPr>
        <w:spacing w:before="100" w:beforeAutospacing="1" w:after="100" w:afterAutospacing="1" w:line="300" w:lineRule="atLeast"/>
        <w:jc w:val="both"/>
        <w:rPr>
          <w:rFonts w:ascii="Arial" w:hAnsi="Arial" w:cs="Arial"/>
          <w:iCs/>
          <w:sz w:val="20"/>
          <w:szCs w:val="22"/>
          <w:lang w:eastAsia="de-DE"/>
        </w:rPr>
      </w:pPr>
      <w:r w:rsidRPr="005E1807">
        <w:rPr>
          <w:rFonts w:ascii="Arial" w:hAnsi="Arial" w:cs="Arial"/>
          <w:iCs/>
          <w:sz w:val="20"/>
          <w:szCs w:val="22"/>
          <w:lang w:eastAsia="de-DE"/>
        </w:rPr>
        <w:t>Die Field Element Stations (FES) stellen die für den Betrieb der DFE-Subsysteme erforderliche Infrastruktur bereit. Sie führen keine eigenständigen Sicherheitsfunktionen aus. Für die FES sind die Einhaltung der Hardware-, Infrastruktur-, Umwelt- und Integrationsanforderungen der integrierten DFE-Subsysteme nachzuweisen.</w:t>
      </w:r>
    </w:p>
    <w:p w14:paraId="205FC638" w14:textId="1A1D61B0" w:rsidR="002F4B7D" w:rsidRPr="00276C2C" w:rsidRDefault="005E1807" w:rsidP="005E1807">
      <w:pPr>
        <w:spacing w:before="100" w:beforeAutospacing="1" w:after="100" w:afterAutospacing="1" w:line="300" w:lineRule="atLeast"/>
        <w:jc w:val="both"/>
        <w:rPr>
          <w:rFonts w:ascii="Arial" w:hAnsi="Arial" w:cs="Arial"/>
          <w:iCs/>
          <w:sz w:val="20"/>
          <w:szCs w:val="22"/>
          <w:lang w:eastAsia="de-DE"/>
        </w:rPr>
      </w:pPr>
      <w:r w:rsidRPr="005E1807">
        <w:rPr>
          <w:rFonts w:ascii="Arial" w:hAnsi="Arial" w:cs="Arial"/>
          <w:iCs/>
          <w:sz w:val="20"/>
          <w:szCs w:val="22"/>
          <w:lang w:eastAsia="de-DE"/>
        </w:rPr>
        <w:t>Das technische Projekt DFE bewertet die Eignung der bereitgestellten Hardware-Nachweise für den vorgesehenen Anwendungsfall sowie die sichere Integration der jeweiligen DFE-Subsysteme innerhalb der DFE-Architektur. Die Bewertung erfolgt im Rahmen der Integrationsbewertungen sowie der Definition zu</w:t>
      </w:r>
      <w:r>
        <w:rPr>
          <w:rFonts w:ascii="Arial" w:hAnsi="Arial" w:cs="Arial"/>
          <w:iCs/>
          <w:sz w:val="20"/>
          <w:szCs w:val="22"/>
          <w:lang w:eastAsia="de-DE"/>
        </w:rPr>
        <w:t>l</w:t>
      </w:r>
      <w:r w:rsidRPr="005E1807">
        <w:rPr>
          <w:rFonts w:ascii="Arial" w:hAnsi="Arial" w:cs="Arial"/>
          <w:iCs/>
          <w:sz w:val="20"/>
          <w:szCs w:val="22"/>
          <w:lang w:eastAsia="de-DE"/>
        </w:rPr>
        <w:t>ässiger Konfigurationsvarianten.</w:t>
      </w:r>
    </w:p>
    <w:p w14:paraId="15441841" w14:textId="33446AC9" w:rsidR="002F4B7D" w:rsidRPr="00B85AB4" w:rsidRDefault="009A7822" w:rsidP="002F4B7D">
      <w:pPr>
        <w:pStyle w:val="Heading5"/>
        <w:rPr>
          <w:lang w:val="de-AT"/>
        </w:rPr>
      </w:pPr>
      <w:bookmarkStart w:id="116" w:name="_Ref232074694"/>
      <w:r w:rsidRPr="00B85AB4">
        <w:rPr>
          <w:lang w:val="de-AT"/>
        </w:rPr>
        <w:lastRenderedPageBreak/>
        <w:t>„fail-safety“ durch mindestens zwei Betrachtungseinheiten (en: composite fail-safety)</w:t>
      </w:r>
      <w:bookmarkEnd w:id="116"/>
    </w:p>
    <w:p w14:paraId="7CC6C5C3" w14:textId="697DD6FD" w:rsidR="00B85AB4" w:rsidRPr="0020312F" w:rsidRDefault="00B85AB4" w:rsidP="0020312F">
      <w:pPr>
        <w:spacing w:before="100" w:beforeAutospacing="1" w:after="100" w:afterAutospacing="1" w:line="300" w:lineRule="atLeast"/>
        <w:jc w:val="both"/>
        <w:rPr>
          <w:rFonts w:ascii="Arial" w:hAnsi="Arial" w:cs="Arial"/>
          <w:iCs/>
          <w:sz w:val="20"/>
          <w:szCs w:val="22"/>
          <w:lang w:eastAsia="de-DE"/>
        </w:rPr>
      </w:pPr>
      <w:r w:rsidRPr="0020312F">
        <w:rPr>
          <w:rFonts w:ascii="Arial" w:hAnsi="Arial" w:cs="Arial"/>
          <w:iCs/>
          <w:sz w:val="20"/>
          <w:szCs w:val="22"/>
          <w:lang w:eastAsia="de-DE"/>
        </w:rPr>
        <w:t xml:space="preserve">Die allgemeinen Grundsätze des Composite-Fail-Safety-Prinzips sind im Safety Concept der Generic Application Digital Interlocking (GA DIL), </w:t>
      </w:r>
      <w:r w:rsidRPr="0020312F">
        <w:rPr>
          <w:rFonts w:ascii="Arial" w:hAnsi="Arial" w:cs="Arial"/>
          <w:iCs/>
          <w:sz w:val="20"/>
          <w:szCs w:val="22"/>
          <w:lang w:eastAsia="de-DE"/>
        </w:rPr>
        <w:fldChar w:fldCharType="begin"/>
      </w:r>
      <w:r w:rsidRPr="0020312F">
        <w:rPr>
          <w:rFonts w:ascii="Arial" w:hAnsi="Arial" w:cs="Arial"/>
          <w:iCs/>
          <w:sz w:val="20"/>
          <w:szCs w:val="22"/>
          <w:lang w:eastAsia="de-DE"/>
        </w:rPr>
        <w:instrText xml:space="preserve"> REF REF_SC_DIL \h  \* MERGEFORMAT </w:instrText>
      </w:r>
      <w:r w:rsidRPr="0020312F">
        <w:rPr>
          <w:rFonts w:ascii="Arial" w:hAnsi="Arial" w:cs="Arial"/>
          <w:iCs/>
          <w:sz w:val="20"/>
          <w:szCs w:val="22"/>
          <w:lang w:eastAsia="de-DE"/>
        </w:rPr>
      </w:r>
      <w:r w:rsidRPr="0020312F">
        <w:rPr>
          <w:rFonts w:ascii="Arial" w:hAnsi="Arial" w:cs="Arial"/>
          <w:iCs/>
          <w:sz w:val="20"/>
          <w:szCs w:val="22"/>
          <w:lang w:eastAsia="de-DE"/>
        </w:rPr>
        <w:fldChar w:fldCharType="separate"/>
      </w:r>
      <w:r w:rsidRPr="0020312F">
        <w:rPr>
          <w:rFonts w:ascii="Arial" w:hAnsi="Arial" w:cs="Arial"/>
          <w:iCs/>
          <w:sz w:val="20"/>
          <w:szCs w:val="22"/>
          <w:lang w:eastAsia="de-DE"/>
        </w:rPr>
        <w:t>[SC DIL]</w:t>
      </w:r>
      <w:r w:rsidRPr="0020312F">
        <w:rPr>
          <w:rFonts w:ascii="Arial" w:hAnsi="Arial" w:cs="Arial"/>
          <w:iCs/>
          <w:sz w:val="20"/>
          <w:szCs w:val="22"/>
          <w:lang w:eastAsia="de-DE"/>
        </w:rPr>
        <w:fldChar w:fldCharType="end"/>
      </w:r>
      <w:r w:rsidRPr="0020312F">
        <w:rPr>
          <w:rFonts w:ascii="Arial" w:hAnsi="Arial" w:cs="Arial"/>
          <w:iCs/>
          <w:sz w:val="20"/>
          <w:szCs w:val="22"/>
          <w:lang w:eastAsia="de-DE"/>
        </w:rPr>
        <w:t>, beschrieben und werden für das technische Projekt DFE entsprechend angewendet.</w:t>
      </w:r>
    </w:p>
    <w:p w14:paraId="709DB55C" w14:textId="77777777" w:rsidR="00B85AB4" w:rsidRPr="0020312F" w:rsidRDefault="00B85AB4" w:rsidP="0020312F">
      <w:pPr>
        <w:spacing w:before="100" w:beforeAutospacing="1" w:after="100" w:afterAutospacing="1" w:line="300" w:lineRule="atLeast"/>
        <w:jc w:val="both"/>
        <w:rPr>
          <w:rFonts w:ascii="Arial" w:hAnsi="Arial" w:cs="Arial"/>
          <w:iCs/>
          <w:sz w:val="20"/>
          <w:szCs w:val="22"/>
          <w:lang w:eastAsia="de-DE"/>
        </w:rPr>
      </w:pPr>
      <w:r w:rsidRPr="0020312F">
        <w:rPr>
          <w:rFonts w:ascii="Arial" w:hAnsi="Arial" w:cs="Arial"/>
          <w:iCs/>
          <w:sz w:val="20"/>
          <w:szCs w:val="22"/>
          <w:lang w:eastAsia="de-DE"/>
        </w:rPr>
        <w:t>Bei diesem Sicherheitsprinzip wird eine sicherheitsrelevante Funktion durch mindestens zwei voneinander unabhängige Betrachtungseinheiten realisiert. Durch den Vergleich oder die gegenseitige Überwachung der Ergebnisse können Fehler erkannt werden, bevor sie zu einer Gefährdung führen.</w:t>
      </w:r>
    </w:p>
    <w:p w14:paraId="6D437D6F" w14:textId="77777777" w:rsidR="00B85AB4" w:rsidRPr="0020312F" w:rsidRDefault="00B85AB4" w:rsidP="0020312F">
      <w:pPr>
        <w:spacing w:before="100" w:beforeAutospacing="1" w:after="100" w:afterAutospacing="1" w:line="300" w:lineRule="atLeast"/>
        <w:jc w:val="both"/>
        <w:rPr>
          <w:rFonts w:ascii="Arial" w:hAnsi="Arial" w:cs="Arial"/>
          <w:iCs/>
          <w:sz w:val="20"/>
          <w:szCs w:val="22"/>
          <w:lang w:eastAsia="de-DE"/>
        </w:rPr>
      </w:pPr>
      <w:r w:rsidRPr="0020312F">
        <w:rPr>
          <w:rFonts w:ascii="Arial" w:hAnsi="Arial" w:cs="Arial"/>
          <w:iCs/>
          <w:sz w:val="20"/>
          <w:szCs w:val="22"/>
          <w:lang w:eastAsia="de-DE"/>
        </w:rPr>
        <w:t>Im technischen Projekt DFE kann dieses Prinzip insbesondere bei sicherheitsrelevanten DFE-Subsystemen angewendet werden, deren Sicherheitsnachweise auf redundanten oder diversitären Architekturen basieren. Die konkrete Umsetzung erfolgt innerhalb der jeweiligen DFE-Subsysteme und wird in den zugehörigen Safety Cases beschrieben.</w:t>
      </w:r>
    </w:p>
    <w:p w14:paraId="513004A2" w14:textId="77777777" w:rsidR="00B85AB4" w:rsidRPr="0020312F" w:rsidRDefault="00B85AB4" w:rsidP="0020312F">
      <w:pPr>
        <w:spacing w:before="100" w:beforeAutospacing="1" w:after="100" w:afterAutospacing="1" w:line="300" w:lineRule="atLeast"/>
        <w:jc w:val="both"/>
        <w:rPr>
          <w:rFonts w:ascii="Arial" w:hAnsi="Arial" w:cs="Arial"/>
          <w:iCs/>
          <w:sz w:val="20"/>
          <w:szCs w:val="22"/>
          <w:lang w:eastAsia="de-DE"/>
        </w:rPr>
      </w:pPr>
      <w:r w:rsidRPr="0020312F">
        <w:rPr>
          <w:rFonts w:ascii="Arial" w:hAnsi="Arial" w:cs="Arial"/>
          <w:iCs/>
          <w:sz w:val="20"/>
          <w:szCs w:val="22"/>
          <w:lang w:eastAsia="de-DE"/>
        </w:rPr>
        <w:t>Für die durch Lieferorganisationen bereitgestellten DFE-Subsysteme IFC-LCSI, OC-DCA3 und OC-AzLM erfolgt die Beschreibung und Begründung der verwendeten Sicherheitsarchitektur im jeweiligen Supplier Safety Case.</w:t>
      </w:r>
    </w:p>
    <w:p w14:paraId="3A2E97B0" w14:textId="77777777" w:rsidR="00B85AB4" w:rsidRPr="00B85AB4" w:rsidRDefault="00B85AB4" w:rsidP="0020312F">
      <w:pPr>
        <w:spacing w:before="100" w:beforeAutospacing="1" w:after="100" w:afterAutospacing="1" w:line="300" w:lineRule="atLeast"/>
        <w:jc w:val="both"/>
        <w:rPr>
          <w:rFonts w:ascii="Segoe UI" w:hAnsi="Segoe UI" w:cs="Segoe UI"/>
          <w:sz w:val="21"/>
          <w:szCs w:val="21"/>
        </w:rPr>
      </w:pPr>
      <w:r w:rsidRPr="0020312F">
        <w:rPr>
          <w:rFonts w:ascii="Arial" w:hAnsi="Arial" w:cs="Arial"/>
          <w:iCs/>
          <w:sz w:val="20"/>
          <w:szCs w:val="22"/>
          <w:lang w:eastAsia="de-DE"/>
        </w:rPr>
        <w:t>Für die durch das DFE-Projekt entwickelten Interface Converter IFC-ZG62 und IFC-Sbl60A erfolgt die Auswahl und Begründung der angewendeten Hardware- und Softwarearchitekturen im jeweiligen Subsystem-Sicherheitsnachweis.</w:t>
      </w:r>
    </w:p>
    <w:p w14:paraId="34787AA8" w14:textId="39113555" w:rsidR="002F4B7D" w:rsidRPr="00276C2C" w:rsidRDefault="00D97A01" w:rsidP="002F4B7D">
      <w:pPr>
        <w:pStyle w:val="Heading5"/>
        <w:rPr>
          <w:lang w:val="de-AT"/>
        </w:rPr>
      </w:pPr>
      <w:bookmarkStart w:id="117" w:name="_Ref232074664"/>
      <w:r w:rsidRPr="00276C2C">
        <w:rPr>
          <w:lang w:val="de-AT"/>
        </w:rPr>
        <w:t>„fail-safety“ durch sicherheitsgerichtete Ausfallreaktion (en: reactive fail-safety)</w:t>
      </w:r>
      <w:bookmarkEnd w:id="117"/>
    </w:p>
    <w:p w14:paraId="5DAE2168" w14:textId="01BFAEA8" w:rsidR="00B85AB4" w:rsidRPr="00B85AB4" w:rsidRDefault="00B85AB4" w:rsidP="00B85AB4">
      <w:pPr>
        <w:spacing w:before="100" w:beforeAutospacing="1" w:after="100" w:afterAutospacing="1" w:line="300" w:lineRule="atLeast"/>
        <w:jc w:val="both"/>
        <w:rPr>
          <w:rFonts w:ascii="Arial" w:hAnsi="Arial" w:cs="Arial"/>
          <w:iCs/>
          <w:sz w:val="20"/>
          <w:szCs w:val="22"/>
          <w:lang w:eastAsia="de-DE"/>
        </w:rPr>
      </w:pPr>
      <w:r w:rsidRPr="00B85AB4">
        <w:rPr>
          <w:rFonts w:ascii="Arial" w:hAnsi="Arial" w:cs="Arial"/>
          <w:iCs/>
          <w:sz w:val="20"/>
          <w:szCs w:val="22"/>
          <w:lang w:eastAsia="de-DE"/>
        </w:rPr>
        <w:t xml:space="preserve">Die allgemeinen Grundsätze des Reactive-Fail-Safety-Prinzips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B85AB4">
        <w:rPr>
          <w:rFonts w:ascii="Arial" w:hAnsi="Arial" w:cs="Arial"/>
          <w:iCs/>
          <w:sz w:val="20"/>
          <w:szCs w:val="22"/>
          <w:lang w:eastAsia="de-DE"/>
        </w:rPr>
        <w:t>[SC DIL]</w:t>
      </w:r>
      <w:r>
        <w:rPr>
          <w:rFonts w:ascii="Arial" w:hAnsi="Arial" w:cs="Arial"/>
          <w:iCs/>
          <w:sz w:val="20"/>
          <w:szCs w:val="22"/>
          <w:lang w:eastAsia="de-DE"/>
        </w:rPr>
        <w:fldChar w:fldCharType="end"/>
      </w:r>
      <w:r w:rsidRPr="00B85AB4">
        <w:rPr>
          <w:rFonts w:ascii="Arial" w:hAnsi="Arial" w:cs="Arial"/>
          <w:iCs/>
          <w:sz w:val="20"/>
          <w:szCs w:val="22"/>
          <w:lang w:eastAsia="de-DE"/>
        </w:rPr>
        <w:t>, beschrieben und werden für das technische Projekt DFE entsprechend angewendet.</w:t>
      </w:r>
    </w:p>
    <w:p w14:paraId="696F3144" w14:textId="77777777" w:rsidR="00B85AB4" w:rsidRPr="00B85AB4" w:rsidRDefault="00B85AB4" w:rsidP="00B85AB4">
      <w:pPr>
        <w:spacing w:before="100" w:beforeAutospacing="1" w:after="100" w:afterAutospacing="1" w:line="300" w:lineRule="atLeast"/>
        <w:jc w:val="both"/>
        <w:rPr>
          <w:rFonts w:ascii="Arial" w:hAnsi="Arial" w:cs="Arial"/>
          <w:iCs/>
          <w:sz w:val="20"/>
          <w:szCs w:val="22"/>
          <w:lang w:eastAsia="de-DE"/>
        </w:rPr>
      </w:pPr>
      <w:r w:rsidRPr="00B85AB4">
        <w:rPr>
          <w:rFonts w:ascii="Arial" w:hAnsi="Arial" w:cs="Arial"/>
          <w:iCs/>
          <w:sz w:val="20"/>
          <w:szCs w:val="22"/>
          <w:lang w:eastAsia="de-DE"/>
        </w:rPr>
        <w:t>Bei diesem Sicherheitsprinzip wird eine sicherheitsrelevante Funktion durch eine einzelne Betrachtungseinheit realisiert. Fehler werden durch geeignete Überwachungs-, Diagnose- oder Selbsttestmechanismen erkannt und führen innerhalb einer definierten Zeit zu einer sicherheitsgerichteten Reaktion. Hierdurch wird sichergestellt, dass ein gefährdender Zustand nicht dauerhaft bestehen bleiben kann.</w:t>
      </w:r>
    </w:p>
    <w:p w14:paraId="4FB29BEC" w14:textId="77777777" w:rsidR="00B85AB4" w:rsidRPr="00B85AB4" w:rsidRDefault="00B85AB4" w:rsidP="00B85AB4">
      <w:pPr>
        <w:spacing w:before="100" w:beforeAutospacing="1" w:after="100" w:afterAutospacing="1" w:line="300" w:lineRule="atLeast"/>
        <w:jc w:val="both"/>
        <w:rPr>
          <w:rFonts w:ascii="Arial" w:hAnsi="Arial" w:cs="Arial"/>
          <w:iCs/>
          <w:sz w:val="20"/>
          <w:szCs w:val="22"/>
          <w:lang w:eastAsia="de-DE"/>
        </w:rPr>
      </w:pPr>
      <w:r w:rsidRPr="00B85AB4">
        <w:rPr>
          <w:rFonts w:ascii="Arial" w:hAnsi="Arial" w:cs="Arial"/>
          <w:iCs/>
          <w:sz w:val="20"/>
          <w:szCs w:val="22"/>
          <w:lang w:eastAsia="de-DE"/>
        </w:rPr>
        <w:t>Im technischen Projekt DFE kann dieses Sicherheitsprinzip insbesondere bei sicherheitsrelevanten DFE-Subsystemen angewendet werden, deren Sicherheitsarchitekturen auf Fehlererkennung und anschließender Einleitung definierter Sicherheitsreaktionen basieren.</w:t>
      </w:r>
    </w:p>
    <w:p w14:paraId="38C643B6" w14:textId="77777777" w:rsidR="00B85AB4" w:rsidRPr="00B85AB4" w:rsidRDefault="00B85AB4" w:rsidP="00B85AB4">
      <w:pPr>
        <w:spacing w:before="100" w:beforeAutospacing="1" w:after="100" w:afterAutospacing="1" w:line="300" w:lineRule="atLeast"/>
        <w:jc w:val="both"/>
        <w:rPr>
          <w:rFonts w:ascii="Arial" w:hAnsi="Arial" w:cs="Arial"/>
          <w:iCs/>
          <w:sz w:val="20"/>
          <w:szCs w:val="22"/>
          <w:lang w:eastAsia="de-DE"/>
        </w:rPr>
      </w:pPr>
      <w:r w:rsidRPr="00B85AB4">
        <w:rPr>
          <w:rFonts w:ascii="Arial" w:hAnsi="Arial" w:cs="Arial"/>
          <w:iCs/>
          <w:sz w:val="20"/>
          <w:szCs w:val="22"/>
          <w:lang w:eastAsia="de-DE"/>
        </w:rPr>
        <w:t>Für die durch Lieferorganisationen bereitgestellten DFE-Subsysteme IFC-LCSI, OC-DCA3 und OC-AzLM erfolgt die Beschreibung und Begründung der verwendeten Sicherheitsarchitektur im jeweiligen Supplier Safety Case.</w:t>
      </w:r>
    </w:p>
    <w:p w14:paraId="5E9FD9BE" w14:textId="77777777" w:rsidR="00B85AB4" w:rsidRPr="00B85AB4" w:rsidRDefault="00B85AB4" w:rsidP="00B85AB4">
      <w:pPr>
        <w:spacing w:before="100" w:beforeAutospacing="1" w:after="100" w:afterAutospacing="1" w:line="300" w:lineRule="atLeast"/>
        <w:jc w:val="both"/>
        <w:rPr>
          <w:rFonts w:ascii="Arial" w:hAnsi="Arial" w:cs="Arial"/>
          <w:iCs/>
          <w:sz w:val="20"/>
          <w:szCs w:val="22"/>
          <w:lang w:eastAsia="de-DE"/>
        </w:rPr>
      </w:pPr>
      <w:r w:rsidRPr="00B85AB4">
        <w:rPr>
          <w:rFonts w:ascii="Arial" w:hAnsi="Arial" w:cs="Arial"/>
          <w:iCs/>
          <w:sz w:val="20"/>
          <w:szCs w:val="22"/>
          <w:lang w:eastAsia="de-DE"/>
        </w:rPr>
        <w:lastRenderedPageBreak/>
        <w:t>Für die durch das DFE-Projekt entwickelten Interface Converter IFC-ZG62 und IFC-Sbl60A erfolgt die Auswahl und Begründung der eingesetzten Fehlererkennungs- und Sicherheitsmechanismen im Rahmen der jeweiligen Subsystem-Sicherheitsnachweise.</w:t>
      </w:r>
    </w:p>
    <w:p w14:paraId="48E2454B" w14:textId="527D4AA9" w:rsidR="002F4B7D" w:rsidRPr="00276C2C" w:rsidRDefault="00B85AB4" w:rsidP="00B85AB4">
      <w:pPr>
        <w:spacing w:before="100" w:beforeAutospacing="1" w:after="100" w:afterAutospacing="1" w:line="300" w:lineRule="atLeast"/>
        <w:jc w:val="both"/>
        <w:rPr>
          <w:rFonts w:ascii="Segoe UI" w:hAnsi="Segoe UI" w:cs="Segoe UI"/>
          <w:sz w:val="21"/>
          <w:szCs w:val="21"/>
        </w:rPr>
      </w:pPr>
      <w:r w:rsidRPr="00B85AB4">
        <w:rPr>
          <w:rFonts w:ascii="Arial" w:hAnsi="Arial" w:cs="Arial"/>
          <w:iCs/>
          <w:sz w:val="20"/>
          <w:szCs w:val="22"/>
          <w:lang w:eastAsia="de-DE"/>
        </w:rPr>
        <w:t>Die konkrete Umsetzung der Fehlererkennung, Fehlerbehandlung und sicherheitsgerichteten Ausfallreaktion wird in den jeweiligen Sicherheitsnachweisen der DFE-Subsysteme beschrieben und begründet.</w:t>
      </w:r>
    </w:p>
    <w:p w14:paraId="2B892FF4" w14:textId="50BD94F1" w:rsidR="002F4B7D" w:rsidRPr="00276C2C" w:rsidRDefault="002202B5" w:rsidP="002F4B7D">
      <w:pPr>
        <w:pStyle w:val="Heading5"/>
        <w:rPr>
          <w:lang w:val="de-AT"/>
        </w:rPr>
      </w:pPr>
      <w:bookmarkStart w:id="118" w:name="_Ref232074653"/>
      <w:r w:rsidRPr="00276C2C">
        <w:rPr>
          <w:lang w:val="de-AT"/>
        </w:rPr>
        <w:t>„fail-safety“ durch unverlierbare Eigenschaften (en: inherent fail-safety)</w:t>
      </w:r>
      <w:bookmarkEnd w:id="118"/>
    </w:p>
    <w:p w14:paraId="5EB5932D" w14:textId="5FA16E9D" w:rsidR="00B85AB4" w:rsidRPr="00D563D1" w:rsidRDefault="00B85AB4" w:rsidP="00B85AB4">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 xml:space="preserve">Die allgemeinen Grundsätze des Inherent-Fail-Safety-Prinzips sind im Safety Concept der Generic Application Digital Interlocking (GA DIL), </w:t>
      </w:r>
      <w:r w:rsidRPr="00D563D1">
        <w:rPr>
          <w:rFonts w:ascii="Arial" w:hAnsi="Arial" w:cs="Arial"/>
          <w:iCs/>
          <w:sz w:val="20"/>
          <w:szCs w:val="22"/>
          <w:lang w:eastAsia="de-DE"/>
        </w:rPr>
        <w:fldChar w:fldCharType="begin"/>
      </w:r>
      <w:r w:rsidRPr="00D563D1">
        <w:rPr>
          <w:rFonts w:ascii="Arial" w:hAnsi="Arial" w:cs="Arial"/>
          <w:iCs/>
          <w:sz w:val="20"/>
          <w:szCs w:val="22"/>
          <w:lang w:eastAsia="de-DE"/>
        </w:rPr>
        <w:instrText xml:space="preserve"> REF REF_SC_DIL \h  \* MERGEFORMAT </w:instrText>
      </w:r>
      <w:r w:rsidRPr="00D563D1">
        <w:rPr>
          <w:rFonts w:ascii="Arial" w:hAnsi="Arial" w:cs="Arial"/>
          <w:iCs/>
          <w:sz w:val="20"/>
          <w:szCs w:val="22"/>
          <w:lang w:eastAsia="de-DE"/>
        </w:rPr>
      </w:r>
      <w:r w:rsidRPr="00D563D1">
        <w:rPr>
          <w:rFonts w:ascii="Arial" w:hAnsi="Arial" w:cs="Arial"/>
          <w:iCs/>
          <w:sz w:val="20"/>
          <w:szCs w:val="22"/>
          <w:lang w:eastAsia="de-DE"/>
        </w:rPr>
        <w:fldChar w:fldCharType="separate"/>
      </w:r>
      <w:r w:rsidRPr="00D563D1">
        <w:rPr>
          <w:rFonts w:ascii="Arial" w:hAnsi="Arial" w:cs="Arial"/>
          <w:iCs/>
          <w:sz w:val="20"/>
          <w:szCs w:val="22"/>
          <w:lang w:eastAsia="de-DE"/>
        </w:rPr>
        <w:t>[SC DIL]</w:t>
      </w:r>
      <w:r w:rsidRPr="00D563D1">
        <w:rPr>
          <w:rFonts w:ascii="Arial" w:hAnsi="Arial" w:cs="Arial"/>
          <w:iCs/>
          <w:sz w:val="20"/>
          <w:szCs w:val="22"/>
          <w:lang w:eastAsia="de-DE"/>
        </w:rPr>
        <w:fldChar w:fldCharType="end"/>
      </w:r>
      <w:r w:rsidRPr="00D563D1">
        <w:rPr>
          <w:rFonts w:ascii="Arial" w:hAnsi="Arial" w:cs="Arial"/>
          <w:iCs/>
          <w:sz w:val="20"/>
          <w:szCs w:val="22"/>
          <w:lang w:eastAsia="de-DE"/>
        </w:rPr>
        <w:t>, beschrieben und werden für das technische Projekt DFE entsprechend angewendet.</w:t>
      </w:r>
    </w:p>
    <w:p w14:paraId="75D31847" w14:textId="77777777" w:rsidR="00B85AB4" w:rsidRPr="00D563D1" w:rsidRDefault="00B85AB4" w:rsidP="00B85AB4">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Bei diesem Sicherheitsprinzip wird die Sicherheit durch konstruktive, physikalische oder systembedingte Eigenschaften einer Betrachtungseinheit erreicht. Durch diese unverlierbaren Eigenschaften können bestimmte Fehlerzustände entweder nicht auftreten oder keine gefährdenden Auswirkungen verursachen.</w:t>
      </w:r>
    </w:p>
    <w:p w14:paraId="39908A74" w14:textId="77777777" w:rsidR="00B85AB4" w:rsidRPr="00D563D1" w:rsidRDefault="00B85AB4" w:rsidP="00B85AB4">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Im technischen Projekt DFE kann dieses Sicherheitsprinzip beispielsweise durch konstruktive Maßnahmen, definierte Systemgrenzen, hardwareseitige Trennungen oder durch die Verwendung qualifizierter Komponenten und Systeme umgesetzt werden.</w:t>
      </w:r>
    </w:p>
    <w:p w14:paraId="4D03FDBF" w14:textId="77777777" w:rsidR="00B85AB4" w:rsidRPr="00D563D1" w:rsidRDefault="00B85AB4" w:rsidP="00B85AB4">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Für die durch Lieferorganisationen bereitgestellten DFE-Subsysteme IFC-LCSI, OC-DCA3 und OC-AzLM erfolgt die Beschreibung und Begründung der angewendeten Inherent-Fail-Safety-Maßnahmen im jeweiligen Supplier Safety Case.</w:t>
      </w:r>
    </w:p>
    <w:p w14:paraId="50B33DF6" w14:textId="77777777" w:rsidR="00B85AB4" w:rsidRPr="00D563D1" w:rsidRDefault="00B85AB4" w:rsidP="00B85AB4">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Für die durch das DFE-Projekt entwickelten Interface Converter IFC-ZG62 und IFC-Sbl60A werden die angewendeten konstruktiven Sicherheitsmaßnahmen und die zugehörigen Sicherheitsargumentationen in den jeweiligen Subsystem-Sicherheitsnachweisen dokumentiert.</w:t>
      </w:r>
    </w:p>
    <w:p w14:paraId="630BC4FC" w14:textId="137F06FF" w:rsidR="00276C2C" w:rsidRPr="00D563D1" w:rsidRDefault="00B85AB4" w:rsidP="00B85AB4">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Die konkrete Auswahl und Anwendung dieses Sicherheitsprinzips erfolgt in Abhängigkeit von der jeweiligen Architektur und den Anforderungen des betrachteten DFE-Subsystems.</w:t>
      </w:r>
    </w:p>
    <w:p w14:paraId="30273868" w14:textId="3BD2A58E" w:rsidR="002F4B7D" w:rsidRPr="00D563D1" w:rsidRDefault="002F4B7D" w:rsidP="002F4B7D">
      <w:pPr>
        <w:pStyle w:val="Heading5"/>
      </w:pPr>
      <w:bookmarkStart w:id="119" w:name="_Ref23653961"/>
      <w:r w:rsidRPr="00D563D1">
        <w:t>HW Tests</w:t>
      </w:r>
      <w:bookmarkEnd w:id="119"/>
    </w:p>
    <w:p w14:paraId="350A8C82" w14:textId="414ACF6A" w:rsidR="00D563D1" w:rsidRPr="00D563D1" w:rsidRDefault="00D563D1" w:rsidP="00D563D1">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 xml:space="preserve">Die allgemeinen Grundsätze zur Anwendung von Hardware-Tests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D563D1">
        <w:rPr>
          <w:rFonts w:ascii="Arial" w:hAnsi="Arial" w:cs="Arial"/>
          <w:iCs/>
          <w:sz w:val="20"/>
          <w:szCs w:val="22"/>
          <w:lang w:eastAsia="de-DE"/>
        </w:rPr>
        <w:t>[SC DIL]</w:t>
      </w:r>
      <w:r>
        <w:rPr>
          <w:rFonts w:ascii="Arial" w:hAnsi="Arial" w:cs="Arial"/>
          <w:iCs/>
          <w:sz w:val="20"/>
          <w:szCs w:val="22"/>
          <w:lang w:eastAsia="de-DE"/>
        </w:rPr>
        <w:fldChar w:fldCharType="end"/>
      </w:r>
      <w:r w:rsidRPr="00D563D1">
        <w:rPr>
          <w:rFonts w:ascii="Arial" w:hAnsi="Arial" w:cs="Arial"/>
          <w:iCs/>
          <w:sz w:val="20"/>
          <w:szCs w:val="22"/>
          <w:lang w:eastAsia="de-DE"/>
        </w:rPr>
        <w:t>, beschrieben und werden für das technische Projekt DFE entsprechend angewendet.</w:t>
      </w:r>
    </w:p>
    <w:p w14:paraId="2446F3E7" w14:textId="77777777" w:rsidR="00D563D1" w:rsidRPr="00D563D1" w:rsidRDefault="00D563D1" w:rsidP="00D563D1">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Hardware-Tests dienen der Erkennung zufälliger Hardwarefehler sowie der Überprüfung der korrekten Funktion sicherheitsrelevanter Hardwarekomponenten. Hierzu können Anlauftests, zyklische Selbsttests, Überwachungsfunktionen oder andere geeignete Diagnosemechanismen eingesetzt werden.</w:t>
      </w:r>
    </w:p>
    <w:p w14:paraId="2E598ABD" w14:textId="77777777" w:rsidR="00D563D1" w:rsidRPr="00D563D1" w:rsidRDefault="00D563D1" w:rsidP="00D563D1">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lastRenderedPageBreak/>
        <w:t>Für die durch Lieferorganisationen bereitgestellten DFE-Subsysteme IFC-LCSI, OC-DCA3 und OC-AzLM erfolgt die Auswahl, Umsetzung und Begründung der eingesetzten Hardware-Testmechanismen im jeweiligen Supplier Safety Case sowie den zugehörigen Sicherheitsnachweisen.</w:t>
      </w:r>
    </w:p>
    <w:p w14:paraId="0B22924C" w14:textId="77777777" w:rsidR="00D563D1" w:rsidRPr="00D563D1" w:rsidRDefault="00D563D1" w:rsidP="00D563D1">
      <w:pPr>
        <w:spacing w:before="100" w:beforeAutospacing="1" w:after="100" w:afterAutospacing="1" w:line="300" w:lineRule="atLeast"/>
        <w:jc w:val="both"/>
        <w:rPr>
          <w:rFonts w:ascii="Arial" w:hAnsi="Arial" w:cs="Arial"/>
          <w:iCs/>
          <w:sz w:val="20"/>
          <w:szCs w:val="22"/>
          <w:lang w:eastAsia="de-DE"/>
        </w:rPr>
      </w:pPr>
      <w:r w:rsidRPr="00D563D1">
        <w:rPr>
          <w:rFonts w:ascii="Arial" w:hAnsi="Arial" w:cs="Arial"/>
          <w:iCs/>
          <w:sz w:val="20"/>
          <w:szCs w:val="22"/>
          <w:lang w:eastAsia="de-DE"/>
        </w:rPr>
        <w:t>Für die durch das DFE-Projekt entwickelten Interface Converter IFC-ZG62 und IFC-Sbl60A werden die eingesetzten Hardware-Testmechanismen im Rahmen der jeweiligen Subsystem-Sicherheitsnachweise beschrieben und begründet. Hierbei werden die Anforderungen der [EN 50129] hinsichtlich Fehlererkennung und Fehlerbeherrschung berücksichtigt.</w:t>
      </w:r>
    </w:p>
    <w:p w14:paraId="77CF1005" w14:textId="3ABF4F73" w:rsidR="00276C2C" w:rsidRPr="00276C2C" w:rsidRDefault="00D563D1" w:rsidP="00D563D1">
      <w:pPr>
        <w:spacing w:before="100" w:beforeAutospacing="1" w:after="100" w:afterAutospacing="1" w:line="300" w:lineRule="atLeast"/>
        <w:jc w:val="both"/>
        <w:rPr>
          <w:rFonts w:ascii="Segoe UI" w:hAnsi="Segoe UI" w:cs="Segoe UI"/>
          <w:sz w:val="21"/>
          <w:szCs w:val="21"/>
        </w:rPr>
      </w:pPr>
      <w:r w:rsidRPr="00D563D1">
        <w:rPr>
          <w:rFonts w:ascii="Arial" w:hAnsi="Arial" w:cs="Arial"/>
          <w:iCs/>
          <w:sz w:val="20"/>
          <w:szCs w:val="22"/>
          <w:lang w:eastAsia="de-DE"/>
        </w:rPr>
        <w:t>Werden durch Hardware-Tests Fehler erkannt, sind geeignete Maßnahmen zur Fehlerbehandlung und zur Einleitung sicherheitsgerichteter Reaktionen vorzusehen. Die konkrete Umsetzung der Hardware-Tests sowie die zugehörigen Sicherheitsargumentationen werden in den Sicherheitsnachweisen der jeweiligen DFE-Subsysteme beschrieben.</w:t>
      </w:r>
    </w:p>
    <w:p w14:paraId="20E58AC7" w14:textId="32849A16" w:rsidR="002F4B7D" w:rsidRPr="00736C10" w:rsidRDefault="0050515C" w:rsidP="002F4B7D">
      <w:pPr>
        <w:pStyle w:val="Heading5"/>
      </w:pPr>
      <w:r w:rsidRPr="00736C10">
        <w:t>Unabhängige Elemente</w:t>
      </w:r>
    </w:p>
    <w:p w14:paraId="77DC196B" w14:textId="1067A2B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 xml:space="preserve">Die allgemeinen Grundsätze zur Verwendung unabhängiger Elemente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736C10">
        <w:rPr>
          <w:rFonts w:ascii="Arial" w:hAnsi="Arial" w:cs="Arial"/>
          <w:iCs/>
          <w:sz w:val="20"/>
          <w:szCs w:val="22"/>
          <w:lang w:eastAsia="de-DE"/>
        </w:rPr>
        <w:t>[SC DIL]</w:t>
      </w:r>
      <w:r>
        <w:rPr>
          <w:rFonts w:ascii="Arial" w:hAnsi="Arial" w:cs="Arial"/>
          <w:iCs/>
          <w:sz w:val="20"/>
          <w:szCs w:val="22"/>
          <w:lang w:eastAsia="de-DE"/>
        </w:rPr>
        <w:fldChar w:fldCharType="end"/>
      </w:r>
      <w:r w:rsidRPr="00736C10">
        <w:rPr>
          <w:rFonts w:ascii="Arial" w:hAnsi="Arial" w:cs="Arial"/>
          <w:iCs/>
          <w:sz w:val="20"/>
          <w:szCs w:val="22"/>
          <w:lang w:eastAsia="de-DE"/>
        </w:rPr>
        <w:t>, beschrieben und werden für das technische Projekt DFE entsprechend angewendet.</w:t>
      </w:r>
    </w:p>
    <w:p w14:paraId="01E3B6EF"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Die Verwendung unabhängiger Elemente dient der Vermeidung gemeinsamer Fehlerursachen sowie der Begrenzung der Auswirkungen einzelner Fehler. Die erforderliche Unabhängigkeit kann durch konstruktive, funktionale, elektrische, räumliche oder organisatorische Maßnahmen erreicht werden.</w:t>
      </w:r>
    </w:p>
    <w:p w14:paraId="124757D9"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Für die durch Lieferorganisationen bereitgestellten DFE-Subsysteme IFC-LCSI, OC-DCA3 und OC-AzLM erfolgt die Beschreibung und Begründung der eingesetzten Maßnahmen zur Gewährleistung der Unabhängigkeit im jeweiligen Supplier Safety Case sowie den zugehörigen Sicherheitsnachweisen.</w:t>
      </w:r>
    </w:p>
    <w:p w14:paraId="2175B3F5"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Für die durch das DFE-Projekt entwickelten Interface Converter IFC-ZG62 und IFC-Sbl60A werden die angewendeten Maßnahmen zur Gewährleistung der Unabhängigkeit im Rahmen der jeweiligen Subsystem-Sicherheitsnachweise beschrieben und begründet.</w:t>
      </w:r>
    </w:p>
    <w:p w14:paraId="0A9B7F22"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Bei der Integration der DFE-Subsysteme sind mögliche gegenseitige Beeinflussungen sowie gemeinsame Fehlerursachen zu berücksichtigen. Dies betrifft insbesondere Kommunikationsschnittstellen, Energieversorgung, Infrastrukturkomponenten sowie weitere Integrationsschnittstellen innerhalb der DFE-Architektur.</w:t>
      </w:r>
    </w:p>
    <w:p w14:paraId="2CF1B464" w14:textId="779C014E" w:rsid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Die konkrete Umsetzung der Anforderungen an die Unabhängigkeit sowie die zugehörigen Sicherheitsargumentationen werden in den Sicherheitsnachweisen der jeweiligen DFE-Subsysteme beschrieben.</w:t>
      </w:r>
    </w:p>
    <w:p w14:paraId="39315FBD" w14:textId="72DA0B6A" w:rsidR="00276C2C" w:rsidRPr="00E40A3D" w:rsidRDefault="00276C2C" w:rsidP="00276C2C">
      <w:pPr>
        <w:spacing w:before="100" w:beforeAutospacing="1" w:after="100" w:afterAutospacing="1" w:line="300" w:lineRule="atLeast"/>
        <w:jc w:val="both"/>
        <w:rPr>
          <w:rFonts w:ascii="Segoe UI" w:hAnsi="Segoe UI" w:cs="Segoe UI"/>
          <w:sz w:val="21"/>
          <w:szCs w:val="21"/>
        </w:rPr>
      </w:pPr>
    </w:p>
    <w:p w14:paraId="2D342995" w14:textId="7E395A4E" w:rsidR="002F4B7D" w:rsidRPr="00E40A3D" w:rsidRDefault="001B1D00" w:rsidP="001B1D00">
      <w:pPr>
        <w:pStyle w:val="Heading5"/>
        <w:rPr>
          <w:lang w:val="de-AT"/>
        </w:rPr>
      </w:pPr>
      <w:r w:rsidRPr="00E40A3D">
        <w:rPr>
          <w:lang w:val="de-AT"/>
        </w:rPr>
        <w:lastRenderedPageBreak/>
        <w:t>Grundlagen der Sicherheit der Kommunikationsverbindungen</w:t>
      </w:r>
    </w:p>
    <w:p w14:paraId="6714808B" w14:textId="4FED374C"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 xml:space="preserve">Die allgemeinen Grundsätze zur Sicherheit von Kommunikationsverbindungen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736C10">
        <w:rPr>
          <w:rFonts w:ascii="Arial" w:hAnsi="Arial" w:cs="Arial"/>
          <w:iCs/>
          <w:sz w:val="20"/>
          <w:szCs w:val="22"/>
          <w:lang w:eastAsia="de-DE"/>
        </w:rPr>
        <w:t>[SC DIL]</w:t>
      </w:r>
      <w:r>
        <w:rPr>
          <w:rFonts w:ascii="Arial" w:hAnsi="Arial" w:cs="Arial"/>
          <w:iCs/>
          <w:sz w:val="20"/>
          <w:szCs w:val="22"/>
          <w:lang w:eastAsia="de-DE"/>
        </w:rPr>
        <w:fldChar w:fldCharType="end"/>
      </w:r>
      <w:r w:rsidRPr="00736C10">
        <w:rPr>
          <w:rFonts w:ascii="Arial" w:hAnsi="Arial" w:cs="Arial"/>
          <w:iCs/>
          <w:sz w:val="20"/>
          <w:szCs w:val="22"/>
          <w:lang w:eastAsia="de-DE"/>
        </w:rPr>
        <w:t>, beschrieben und werden für das technische Projekt DFE entsprechend angewendet.</w:t>
      </w:r>
    </w:p>
    <w:p w14:paraId="0B20C41F" w14:textId="16DE43A0"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 xml:space="preserve">Die Kommunikation zwischen den DFE-Subsystemen sowie zwischen den DFE-Subsystemen und übergeordneten Stellwerkssystemen erfolgt über definierte Kommunikationsschnittstellen. Die Anforderungen an die Kommunikationssicherheit werden entsprechend den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Cen_50159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736C10">
        <w:rPr>
          <w:rFonts w:ascii="Arial" w:hAnsi="Arial" w:cs="Arial"/>
          <w:iCs/>
          <w:sz w:val="20"/>
          <w:szCs w:val="22"/>
          <w:lang w:eastAsia="de-DE"/>
        </w:rPr>
        <w:t>[EN 50159]</w:t>
      </w:r>
      <w:r>
        <w:rPr>
          <w:rFonts w:ascii="Arial" w:hAnsi="Arial" w:cs="Arial"/>
          <w:iCs/>
          <w:sz w:val="20"/>
          <w:szCs w:val="22"/>
          <w:lang w:eastAsia="de-DE"/>
        </w:rPr>
        <w:fldChar w:fldCharType="end"/>
      </w:r>
      <w:r w:rsidRPr="00736C10">
        <w:rPr>
          <w:rFonts w:ascii="Arial" w:hAnsi="Arial" w:cs="Arial"/>
          <w:iCs/>
          <w:sz w:val="20"/>
          <w:szCs w:val="22"/>
          <w:lang w:eastAsia="de-DE"/>
        </w:rPr>
        <w:t xml:space="preserve"> festgelegt.</w:t>
      </w:r>
    </w:p>
    <w:p w14:paraId="2B95501C"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Für die durch Lieferorganisationen bereitgestellten DFE-Subsysteme IFC-LCSI, OC-DCA3 und OC-AzLM erfolgt die Auswahl, Umsetzung und Begründung der eingesetzten Kommunikationsmechanismen im jeweiligen Supplier Safety Case sowie den zugehörigen Sicherheitsnachweisen.</w:t>
      </w:r>
    </w:p>
    <w:p w14:paraId="1CDC818F"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Für die durch das DFE-Projekt entwickelten Interface Converter IFC-ZG62 und IFC-Sbl60A werden die eingesetzten Kommunikationsmechanismen und die zugehörigen Sicherheitsmaßnahmen im Rahmen der jeweiligen Subsystem-Sicherheitsnachweise beschrieben und begründet.</w:t>
      </w:r>
    </w:p>
    <w:p w14:paraId="3E3425D3"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Die eingesetzten Kommunikationsverfahren müssen sicherstellen, dass Fehler der Datenübertragung erkannt werden und nicht zu gefährdenden Zuständen führen können. Hierzu können geeignete Maßnahmen wie Fehlererkennung, Sequenzüberwachung, Zeitüberwachung, Authentifizierung oder Plausibilitätsprüfungen eingesetzt werden.</w:t>
      </w:r>
    </w:p>
    <w:p w14:paraId="06A3E994" w14:textId="77777777" w:rsidR="00736C10" w:rsidRPr="00736C10"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Für die Integration der DFE-Subsysteme sind neben den Kommunikationsschnittstellen auch die zugehörigen Integrationsvoraussetzungen, Hardwareanforderungen, Infrastrukturbedingungen sowie die jeweiligen Safety Related Application Conditions (SRACs) zu berücksichtigen. Die Bewertung dieser Anforderungen erfolgt im Rahmen der Integrationsbewertungen.</w:t>
      </w:r>
    </w:p>
    <w:p w14:paraId="69B1FBC7" w14:textId="32C82240" w:rsidR="005B4558" w:rsidRPr="00BC0B0B" w:rsidRDefault="00736C10" w:rsidP="00736C10">
      <w:pPr>
        <w:spacing w:before="100" w:beforeAutospacing="1" w:after="100" w:afterAutospacing="1" w:line="300" w:lineRule="atLeast"/>
        <w:jc w:val="both"/>
        <w:rPr>
          <w:rFonts w:ascii="Arial" w:hAnsi="Arial" w:cs="Arial"/>
          <w:iCs/>
          <w:sz w:val="20"/>
          <w:szCs w:val="22"/>
          <w:lang w:eastAsia="de-DE"/>
        </w:rPr>
      </w:pPr>
      <w:r w:rsidRPr="00736C10">
        <w:rPr>
          <w:rFonts w:ascii="Arial" w:hAnsi="Arial" w:cs="Arial"/>
          <w:iCs/>
          <w:sz w:val="20"/>
          <w:szCs w:val="22"/>
          <w:lang w:eastAsia="de-DE"/>
        </w:rPr>
        <w:t>Die konkrete Umsetzung der Kommunikationssicherheit sowie die zugehörigen Sicherheitsargumentationen werden in den Sicherheitsnachweisen der jeweiligen DFE-Subsysteme beschrieben.</w:t>
      </w:r>
    </w:p>
    <w:p w14:paraId="3FB0A7AE" w14:textId="133C67B5" w:rsidR="002F4B7D" w:rsidRPr="00736C10" w:rsidRDefault="00FA03A1" w:rsidP="002F4B7D">
      <w:pPr>
        <w:pStyle w:val="Heading4"/>
        <w:rPr>
          <w:lang w:val="de-AT"/>
        </w:rPr>
      </w:pPr>
      <w:r w:rsidRPr="00736C10">
        <w:rPr>
          <w:lang w:val="de-AT"/>
        </w:rPr>
        <w:t>Grundlagen für den Einsatz</w:t>
      </w:r>
      <w:r w:rsidR="00BD429C" w:rsidRPr="00736C10">
        <w:rPr>
          <w:lang w:val="de-AT"/>
        </w:rPr>
        <w:t xml:space="preserve"> von</w:t>
      </w:r>
      <w:r w:rsidRPr="00736C10">
        <w:rPr>
          <w:lang w:val="de-AT"/>
        </w:rPr>
        <w:t xml:space="preserve"> </w:t>
      </w:r>
      <w:r w:rsidR="00B852B6" w:rsidRPr="00736C10">
        <w:rPr>
          <w:lang w:val="de-AT"/>
        </w:rPr>
        <w:t xml:space="preserve">bereits </w:t>
      </w:r>
      <w:r w:rsidR="00F62C20" w:rsidRPr="00736C10">
        <w:rPr>
          <w:lang w:val="de-AT"/>
        </w:rPr>
        <w:t>vorhandener Komponenten</w:t>
      </w:r>
    </w:p>
    <w:p w14:paraId="645EF133" w14:textId="77777777" w:rsidR="00736C10" w:rsidRPr="00736C10" w:rsidRDefault="00736C10" w:rsidP="00736C10">
      <w:pPr>
        <w:spacing w:line="300" w:lineRule="atLeast"/>
        <w:rPr>
          <w:rFonts w:ascii="Arial" w:hAnsi="Arial" w:cs="Arial"/>
          <w:iCs/>
          <w:sz w:val="20"/>
          <w:szCs w:val="22"/>
          <w:lang w:eastAsia="de-DE"/>
        </w:rPr>
      </w:pPr>
      <w:r w:rsidRPr="00736C10">
        <w:rPr>
          <w:rFonts w:ascii="Arial" w:hAnsi="Arial" w:cs="Arial"/>
          <w:iCs/>
          <w:sz w:val="20"/>
          <w:szCs w:val="22"/>
          <w:lang w:eastAsia="de-DE"/>
        </w:rPr>
        <w:t>Die allgemeinen Grundsätze zur Wiederverwendung bereits vorhandener Software, Hardware und Sicherheitsnachweise sind im Safety Concept der Generic Application Digital Interlocking (GA DIL), [SC DIL], beschrieben und werden für das technische Projekt DFE entsprechend angewendet.</w:t>
      </w:r>
    </w:p>
    <w:p w14:paraId="29580EAA" w14:textId="77777777" w:rsidR="00736C10" w:rsidRPr="00736C10" w:rsidRDefault="00736C10" w:rsidP="00736C10">
      <w:pPr>
        <w:spacing w:line="300" w:lineRule="atLeast"/>
        <w:rPr>
          <w:rFonts w:ascii="Arial" w:hAnsi="Arial" w:cs="Arial"/>
          <w:iCs/>
          <w:sz w:val="20"/>
          <w:szCs w:val="22"/>
          <w:lang w:eastAsia="de-DE"/>
        </w:rPr>
      </w:pPr>
    </w:p>
    <w:p w14:paraId="32376122" w14:textId="3C48FBCE" w:rsidR="00736C10" w:rsidRPr="00736C10" w:rsidRDefault="00736C10" w:rsidP="00736C10">
      <w:pPr>
        <w:spacing w:line="300" w:lineRule="atLeast"/>
        <w:rPr>
          <w:rFonts w:ascii="Arial" w:hAnsi="Arial" w:cs="Arial"/>
          <w:iCs/>
          <w:sz w:val="20"/>
          <w:szCs w:val="22"/>
          <w:lang w:eastAsia="de-DE"/>
        </w:rPr>
      </w:pPr>
      <w:r w:rsidRPr="00736C10">
        <w:rPr>
          <w:rFonts w:ascii="Arial" w:hAnsi="Arial" w:cs="Arial"/>
          <w:iCs/>
          <w:sz w:val="20"/>
          <w:szCs w:val="22"/>
          <w:lang w:eastAsia="de-DE"/>
        </w:rPr>
        <w:t xml:space="preserve">Für die DFE-Subsysteme können bereits vorhandene Hardware-, Software- oder Systemkomponenten eingesetzt werden, sofern deren Eignung für den vorgesehenen Anwendungsfall nachgewiesen wird. Die Wiederverwendung erfolgt unter Berücksichtigung der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Cen_50129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736C10">
        <w:rPr>
          <w:rFonts w:ascii="Arial" w:hAnsi="Arial" w:cs="Arial"/>
          <w:iCs/>
          <w:sz w:val="20"/>
          <w:szCs w:val="22"/>
          <w:lang w:eastAsia="de-DE"/>
        </w:rPr>
        <w:t>[EN 50129]</w:t>
      </w:r>
      <w:r>
        <w:rPr>
          <w:rFonts w:ascii="Arial" w:hAnsi="Arial" w:cs="Arial"/>
          <w:iCs/>
          <w:sz w:val="20"/>
          <w:szCs w:val="22"/>
          <w:lang w:eastAsia="de-DE"/>
        </w:rPr>
        <w:fldChar w:fldCharType="end"/>
      </w:r>
      <w:r w:rsidRPr="00736C10">
        <w:rPr>
          <w:rFonts w:ascii="Arial" w:hAnsi="Arial" w:cs="Arial"/>
          <w:iCs/>
          <w:sz w:val="20"/>
          <w:szCs w:val="22"/>
          <w:lang w:eastAsia="de-DE"/>
        </w:rPr>
        <w:t xml:space="preserve">] und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736C10">
        <w:rPr>
          <w:rFonts w:ascii="Arial" w:hAnsi="Arial" w:cs="Arial"/>
          <w:iCs/>
          <w:sz w:val="20"/>
          <w:szCs w:val="22"/>
          <w:lang w:eastAsia="de-DE"/>
        </w:rPr>
        <w:t>[EN 50716]</w:t>
      </w:r>
      <w:r>
        <w:rPr>
          <w:rFonts w:ascii="Arial" w:hAnsi="Arial" w:cs="Arial"/>
          <w:iCs/>
          <w:sz w:val="20"/>
          <w:szCs w:val="22"/>
          <w:lang w:eastAsia="de-DE"/>
        </w:rPr>
        <w:fldChar w:fldCharType="end"/>
      </w:r>
      <w:r>
        <w:rPr>
          <w:rFonts w:ascii="Arial" w:hAnsi="Arial" w:cs="Arial"/>
          <w:iCs/>
          <w:sz w:val="20"/>
          <w:szCs w:val="22"/>
          <w:lang w:eastAsia="de-DE"/>
        </w:rPr>
        <w:t xml:space="preserve"> </w:t>
      </w:r>
      <w:r w:rsidRPr="00736C10">
        <w:rPr>
          <w:rFonts w:ascii="Arial" w:hAnsi="Arial" w:cs="Arial"/>
          <w:iCs/>
          <w:sz w:val="20"/>
          <w:szCs w:val="22"/>
          <w:lang w:eastAsia="de-DE"/>
        </w:rPr>
        <w:t>sowie der projektspezifischen Anforderungen des technischen Projekts DFE.</w:t>
      </w:r>
    </w:p>
    <w:p w14:paraId="119612DF" w14:textId="77777777" w:rsidR="00736C10" w:rsidRPr="00736C10" w:rsidRDefault="00736C10" w:rsidP="00736C10">
      <w:pPr>
        <w:spacing w:line="300" w:lineRule="atLeast"/>
        <w:rPr>
          <w:rFonts w:ascii="Arial" w:hAnsi="Arial" w:cs="Arial"/>
          <w:iCs/>
          <w:sz w:val="20"/>
          <w:szCs w:val="22"/>
          <w:lang w:eastAsia="de-DE"/>
        </w:rPr>
      </w:pPr>
    </w:p>
    <w:p w14:paraId="455EAD5C" w14:textId="77777777" w:rsidR="00736C10" w:rsidRPr="00736C10" w:rsidRDefault="00736C10" w:rsidP="00736C10">
      <w:pPr>
        <w:spacing w:line="300" w:lineRule="atLeast"/>
        <w:rPr>
          <w:rFonts w:ascii="Arial" w:hAnsi="Arial" w:cs="Arial"/>
          <w:iCs/>
          <w:sz w:val="20"/>
          <w:szCs w:val="22"/>
          <w:lang w:val="en-US" w:eastAsia="de-DE"/>
        </w:rPr>
      </w:pPr>
      <w:r w:rsidRPr="00736C10">
        <w:rPr>
          <w:rFonts w:ascii="Arial" w:hAnsi="Arial" w:cs="Arial"/>
          <w:iCs/>
          <w:sz w:val="20"/>
          <w:szCs w:val="22"/>
          <w:lang w:eastAsia="de-DE"/>
        </w:rPr>
        <w:lastRenderedPageBreak/>
        <w:t xml:space="preserve">Soweit für wiederverwendete Komponenten bereits Sicherheitsnachweise vorliegen, können diese als Eingangsdokumente für die jeweiligen Subsystem-Sicherheitsnachweise verwendet werden. </w:t>
      </w:r>
      <w:r w:rsidRPr="00736C10">
        <w:rPr>
          <w:rFonts w:ascii="Arial" w:hAnsi="Arial" w:cs="Arial"/>
          <w:iCs/>
          <w:sz w:val="20"/>
          <w:szCs w:val="22"/>
          <w:lang w:val="en-US" w:eastAsia="de-DE"/>
        </w:rPr>
        <w:t>Hierzu gehören insbesondere:</w:t>
      </w:r>
    </w:p>
    <w:p w14:paraId="5C2D6CAD" w14:textId="77777777" w:rsidR="00736C10" w:rsidRPr="00736C10" w:rsidRDefault="00736C10" w:rsidP="00736C10">
      <w:pPr>
        <w:spacing w:line="300" w:lineRule="atLeast"/>
        <w:rPr>
          <w:rFonts w:ascii="Arial" w:hAnsi="Arial" w:cs="Arial"/>
          <w:iCs/>
          <w:sz w:val="20"/>
          <w:szCs w:val="22"/>
          <w:lang w:val="en-US" w:eastAsia="de-DE"/>
        </w:rPr>
      </w:pPr>
    </w:p>
    <w:p w14:paraId="55AF02E9" w14:textId="77777777" w:rsidR="00736C10" w:rsidRPr="00736C10" w:rsidRDefault="00736C10" w:rsidP="00362C69">
      <w:pPr>
        <w:pStyle w:val="ListParagraph"/>
        <w:numPr>
          <w:ilvl w:val="0"/>
          <w:numId w:val="35"/>
        </w:numPr>
        <w:spacing w:line="300" w:lineRule="atLeast"/>
        <w:rPr>
          <w:rFonts w:ascii="Arial" w:hAnsi="Arial" w:cs="Arial"/>
          <w:iCs/>
          <w:sz w:val="20"/>
          <w:szCs w:val="22"/>
          <w:lang w:val="en-US" w:eastAsia="de-DE"/>
        </w:rPr>
      </w:pPr>
      <w:r w:rsidRPr="00736C10">
        <w:rPr>
          <w:rFonts w:ascii="Arial" w:hAnsi="Arial" w:cs="Arial"/>
          <w:iCs/>
          <w:sz w:val="20"/>
          <w:szCs w:val="22"/>
          <w:lang w:val="en-US" w:eastAsia="de-DE"/>
        </w:rPr>
        <w:t>Safety Cases,</w:t>
      </w:r>
    </w:p>
    <w:p w14:paraId="360F8B39" w14:textId="77777777" w:rsidR="00736C10" w:rsidRPr="00736C10" w:rsidRDefault="00736C10" w:rsidP="00362C69">
      <w:pPr>
        <w:pStyle w:val="ListParagraph"/>
        <w:numPr>
          <w:ilvl w:val="0"/>
          <w:numId w:val="35"/>
        </w:numPr>
        <w:spacing w:line="300" w:lineRule="atLeast"/>
        <w:rPr>
          <w:rFonts w:ascii="Arial" w:hAnsi="Arial" w:cs="Arial"/>
          <w:iCs/>
          <w:sz w:val="20"/>
          <w:szCs w:val="22"/>
          <w:lang w:val="en-US" w:eastAsia="de-DE"/>
        </w:rPr>
      </w:pPr>
      <w:r w:rsidRPr="00736C10">
        <w:rPr>
          <w:rFonts w:ascii="Arial" w:hAnsi="Arial" w:cs="Arial"/>
          <w:iCs/>
          <w:sz w:val="20"/>
          <w:szCs w:val="22"/>
          <w:lang w:val="en-US" w:eastAsia="de-DE"/>
        </w:rPr>
        <w:t>Hazard Logs,</w:t>
      </w:r>
    </w:p>
    <w:p w14:paraId="0D5CD6BD" w14:textId="77777777" w:rsidR="00736C10" w:rsidRPr="00736C10" w:rsidRDefault="00736C10" w:rsidP="00362C69">
      <w:pPr>
        <w:pStyle w:val="ListParagraph"/>
        <w:numPr>
          <w:ilvl w:val="0"/>
          <w:numId w:val="35"/>
        </w:numPr>
        <w:spacing w:line="300" w:lineRule="atLeast"/>
        <w:rPr>
          <w:rFonts w:ascii="Arial" w:hAnsi="Arial" w:cs="Arial"/>
          <w:iCs/>
          <w:sz w:val="20"/>
          <w:szCs w:val="22"/>
          <w:lang w:val="en-US" w:eastAsia="de-DE"/>
        </w:rPr>
      </w:pPr>
      <w:r w:rsidRPr="00736C10">
        <w:rPr>
          <w:rFonts w:ascii="Arial" w:hAnsi="Arial" w:cs="Arial"/>
          <w:iCs/>
          <w:sz w:val="20"/>
          <w:szCs w:val="22"/>
          <w:lang w:val="en-US" w:eastAsia="de-DE"/>
        </w:rPr>
        <w:t>Technical Safety Reports,</w:t>
      </w:r>
    </w:p>
    <w:p w14:paraId="3DA6B9A5" w14:textId="77777777" w:rsidR="00736C10" w:rsidRPr="00736C10" w:rsidRDefault="00736C10" w:rsidP="00362C69">
      <w:pPr>
        <w:pStyle w:val="ListParagraph"/>
        <w:numPr>
          <w:ilvl w:val="0"/>
          <w:numId w:val="35"/>
        </w:numPr>
        <w:spacing w:line="300" w:lineRule="atLeast"/>
        <w:rPr>
          <w:rFonts w:ascii="Arial" w:hAnsi="Arial" w:cs="Arial"/>
          <w:iCs/>
          <w:sz w:val="20"/>
          <w:szCs w:val="22"/>
          <w:lang w:val="en-US" w:eastAsia="de-DE"/>
        </w:rPr>
      </w:pPr>
      <w:r w:rsidRPr="00736C10">
        <w:rPr>
          <w:rFonts w:ascii="Arial" w:hAnsi="Arial" w:cs="Arial"/>
          <w:iCs/>
          <w:sz w:val="20"/>
          <w:szCs w:val="22"/>
          <w:lang w:val="en-US" w:eastAsia="de-DE"/>
        </w:rPr>
        <w:t>Safety Related Application Conditions (SRACs),</w:t>
      </w:r>
    </w:p>
    <w:p w14:paraId="402CD67E" w14:textId="77777777" w:rsidR="00736C10" w:rsidRPr="00736C10" w:rsidRDefault="00736C10" w:rsidP="00362C69">
      <w:pPr>
        <w:pStyle w:val="ListParagraph"/>
        <w:numPr>
          <w:ilvl w:val="0"/>
          <w:numId w:val="35"/>
        </w:numPr>
        <w:spacing w:line="300" w:lineRule="atLeast"/>
        <w:rPr>
          <w:rFonts w:ascii="Arial" w:hAnsi="Arial" w:cs="Arial"/>
          <w:iCs/>
          <w:sz w:val="20"/>
          <w:szCs w:val="22"/>
          <w:lang w:eastAsia="de-DE"/>
        </w:rPr>
      </w:pPr>
      <w:r w:rsidRPr="00736C10">
        <w:rPr>
          <w:rFonts w:ascii="Arial" w:hAnsi="Arial" w:cs="Arial"/>
          <w:iCs/>
          <w:sz w:val="20"/>
          <w:szCs w:val="22"/>
          <w:lang w:eastAsia="de-DE"/>
        </w:rPr>
        <w:t>unabhängige Gutachten,</w:t>
      </w:r>
    </w:p>
    <w:p w14:paraId="132D7AAA" w14:textId="77777777" w:rsidR="00736C10" w:rsidRPr="00736C10" w:rsidRDefault="00736C10" w:rsidP="00362C69">
      <w:pPr>
        <w:pStyle w:val="ListParagraph"/>
        <w:numPr>
          <w:ilvl w:val="0"/>
          <w:numId w:val="35"/>
        </w:numPr>
        <w:spacing w:line="300" w:lineRule="atLeast"/>
        <w:rPr>
          <w:rFonts w:ascii="Arial" w:hAnsi="Arial" w:cs="Arial"/>
          <w:iCs/>
          <w:sz w:val="20"/>
          <w:szCs w:val="22"/>
          <w:lang w:eastAsia="de-DE"/>
        </w:rPr>
      </w:pPr>
      <w:r w:rsidRPr="00736C10">
        <w:rPr>
          <w:rFonts w:ascii="Arial" w:hAnsi="Arial" w:cs="Arial"/>
          <w:iCs/>
          <w:sz w:val="20"/>
          <w:szCs w:val="22"/>
          <w:lang w:eastAsia="de-DE"/>
        </w:rPr>
        <w:t>sowie weitere sicherheitsrelevante Nachweisdokumente.</w:t>
      </w:r>
    </w:p>
    <w:p w14:paraId="52C78BE5" w14:textId="77777777" w:rsidR="00736C10" w:rsidRPr="00736C10" w:rsidRDefault="00736C10" w:rsidP="00736C10">
      <w:pPr>
        <w:spacing w:line="300" w:lineRule="atLeast"/>
        <w:rPr>
          <w:rFonts w:ascii="Arial" w:hAnsi="Arial" w:cs="Arial"/>
          <w:iCs/>
          <w:sz w:val="20"/>
          <w:szCs w:val="22"/>
          <w:lang w:eastAsia="de-DE"/>
        </w:rPr>
      </w:pPr>
    </w:p>
    <w:p w14:paraId="4C4EBC9D" w14:textId="77777777" w:rsidR="00736C10" w:rsidRPr="00736C10" w:rsidRDefault="00736C10" w:rsidP="00736C10">
      <w:pPr>
        <w:spacing w:line="300" w:lineRule="atLeast"/>
        <w:rPr>
          <w:rFonts w:ascii="Arial" w:hAnsi="Arial" w:cs="Arial"/>
          <w:iCs/>
          <w:sz w:val="20"/>
          <w:szCs w:val="22"/>
          <w:lang w:eastAsia="de-DE"/>
        </w:rPr>
      </w:pPr>
      <w:r w:rsidRPr="00736C10">
        <w:rPr>
          <w:rFonts w:ascii="Arial" w:hAnsi="Arial" w:cs="Arial"/>
          <w:iCs/>
          <w:sz w:val="20"/>
          <w:szCs w:val="22"/>
          <w:lang w:eastAsia="de-DE"/>
        </w:rPr>
        <w:t>Für die durch Lieferorganisationen bereitgestellten DFE-Subsysteme IFC-LCSI, OC-DCA3 und OC-AzLM bilden die jeweiligen Lieferantennachweise die Grundlage der Sicherheitsnachweisführung. Die Verantwortung für Entwicklung, Verifikation, Validierung und Produktsicherheitsnachweis verbleibt bei den jeweiligen Lieferorganisationen.</w:t>
      </w:r>
    </w:p>
    <w:p w14:paraId="03A6A682" w14:textId="77777777" w:rsidR="00736C10" w:rsidRPr="00736C10" w:rsidRDefault="00736C10" w:rsidP="00736C10">
      <w:pPr>
        <w:spacing w:line="300" w:lineRule="atLeast"/>
        <w:rPr>
          <w:rFonts w:ascii="Arial" w:hAnsi="Arial" w:cs="Arial"/>
          <w:iCs/>
          <w:sz w:val="20"/>
          <w:szCs w:val="22"/>
          <w:lang w:eastAsia="de-DE"/>
        </w:rPr>
      </w:pPr>
    </w:p>
    <w:p w14:paraId="2B4E8A0B" w14:textId="77777777" w:rsidR="00736C10" w:rsidRPr="00736C10" w:rsidRDefault="00736C10" w:rsidP="00736C10">
      <w:pPr>
        <w:spacing w:line="300" w:lineRule="atLeast"/>
        <w:rPr>
          <w:rFonts w:ascii="Arial" w:hAnsi="Arial" w:cs="Arial"/>
          <w:iCs/>
          <w:sz w:val="20"/>
          <w:szCs w:val="22"/>
          <w:lang w:eastAsia="de-DE"/>
        </w:rPr>
      </w:pPr>
      <w:r w:rsidRPr="00736C10">
        <w:rPr>
          <w:rFonts w:ascii="Arial" w:hAnsi="Arial" w:cs="Arial"/>
          <w:iCs/>
          <w:sz w:val="20"/>
          <w:szCs w:val="22"/>
          <w:lang w:eastAsia="de-DE"/>
        </w:rPr>
        <w:t>Für die durch das DFE-Projekt entwickelten Interface Converter IFC-ZG62 und IFC-Sbl60A können bereits vorhandene Hardware-, Software- und Plattformnachweise als Grundlage verwendet werden. Die Eignung der jeweiligen Komponenten und Nachweise für den vorgesehenen Einsatzzweck ist im Rahmen der jeweiligen Subsystem-Sicherheitsnachweise zu bewerten und nachzuweisen.</w:t>
      </w:r>
    </w:p>
    <w:p w14:paraId="7F12800A" w14:textId="77777777" w:rsidR="00736C10" w:rsidRPr="00736C10" w:rsidRDefault="00736C10" w:rsidP="00736C10">
      <w:pPr>
        <w:spacing w:line="300" w:lineRule="atLeast"/>
        <w:rPr>
          <w:rFonts w:ascii="Arial" w:hAnsi="Arial" w:cs="Arial"/>
          <w:iCs/>
          <w:sz w:val="20"/>
          <w:szCs w:val="22"/>
          <w:lang w:eastAsia="de-DE"/>
        </w:rPr>
      </w:pPr>
    </w:p>
    <w:p w14:paraId="03C6FABE" w14:textId="113323E1" w:rsidR="00736C10" w:rsidRPr="00736C10" w:rsidRDefault="00736C10" w:rsidP="00736C10">
      <w:pPr>
        <w:spacing w:line="300" w:lineRule="atLeast"/>
        <w:rPr>
          <w:rFonts w:ascii="Arial" w:hAnsi="Arial" w:cs="Arial"/>
          <w:iCs/>
          <w:sz w:val="20"/>
          <w:szCs w:val="22"/>
          <w:lang w:eastAsia="de-DE"/>
        </w:rPr>
      </w:pPr>
      <w:r w:rsidRPr="00736C10">
        <w:rPr>
          <w:rFonts w:ascii="Arial" w:hAnsi="Arial" w:cs="Arial"/>
          <w:iCs/>
          <w:sz w:val="20"/>
          <w:szCs w:val="22"/>
          <w:lang w:eastAsia="de-DE"/>
        </w:rPr>
        <w:t>Werden qualifizierte Basissysteme oder wiederverwendbare Produkte mit eigenständigen Sicherheitsnachweisen eingesetzt, sind die zugehörigen Voraussetzungen, Einschränkungen und Safety Related Application Conditions zu berücksichtigen und einzuhalten.</w:t>
      </w:r>
    </w:p>
    <w:p w14:paraId="038E0F4A" w14:textId="77777777" w:rsidR="00736C10" w:rsidRPr="00736C10" w:rsidRDefault="00736C10" w:rsidP="00736C10">
      <w:pPr>
        <w:spacing w:line="300" w:lineRule="atLeast"/>
        <w:rPr>
          <w:rFonts w:ascii="Arial" w:hAnsi="Arial" w:cs="Arial"/>
          <w:iCs/>
          <w:sz w:val="20"/>
          <w:szCs w:val="22"/>
          <w:lang w:eastAsia="de-DE"/>
        </w:rPr>
      </w:pPr>
    </w:p>
    <w:p w14:paraId="1E2D0C90" w14:textId="7BED2933" w:rsidR="00736C10" w:rsidRPr="005E24BA" w:rsidRDefault="00736C10" w:rsidP="00736C10">
      <w:pPr>
        <w:spacing w:line="300" w:lineRule="atLeast"/>
        <w:rPr>
          <w:rFonts w:ascii="Arial" w:hAnsi="Arial" w:cs="Arial"/>
          <w:iCs/>
          <w:sz w:val="20"/>
          <w:szCs w:val="22"/>
          <w:lang w:eastAsia="de-DE"/>
        </w:rPr>
      </w:pPr>
      <w:r w:rsidRPr="00736C10">
        <w:rPr>
          <w:rFonts w:ascii="Arial" w:hAnsi="Arial" w:cs="Arial"/>
          <w:iCs/>
          <w:sz w:val="20"/>
          <w:szCs w:val="22"/>
          <w:lang w:eastAsia="de-DE"/>
        </w:rPr>
        <w:t xml:space="preserve">Die Wiederverwendung vorhandener Hardware, Software und Sicherheitsnachweise entbindet nicht von der Verpflichtung, die sichere Integration der jeweiligen DFE-Subsysteme innerhalb der DFE-Architektur </w:t>
      </w:r>
      <w:r w:rsidRPr="005E24BA">
        <w:rPr>
          <w:rFonts w:ascii="Arial" w:hAnsi="Arial" w:cs="Arial"/>
          <w:iCs/>
          <w:sz w:val="20"/>
          <w:szCs w:val="22"/>
          <w:lang w:eastAsia="de-DE"/>
        </w:rPr>
        <w:t>nachzuweisen. Die Bewertung erfolgt im Rahmen der Integrationsbewertungen sowie der Definition zulässiger Konfigurationsvarianten.</w:t>
      </w:r>
    </w:p>
    <w:p w14:paraId="65B3EC00" w14:textId="77777777" w:rsidR="00736C10" w:rsidRPr="005E24BA" w:rsidRDefault="00736C10" w:rsidP="00F62C20">
      <w:pPr>
        <w:spacing w:line="300" w:lineRule="atLeast"/>
        <w:rPr>
          <w:rFonts w:ascii="Arial" w:hAnsi="Arial" w:cs="Arial"/>
          <w:iCs/>
          <w:sz w:val="20"/>
          <w:szCs w:val="22"/>
          <w:lang w:eastAsia="de-DE"/>
        </w:rPr>
      </w:pPr>
    </w:p>
    <w:p w14:paraId="456D5BBF" w14:textId="07B68143" w:rsidR="002F4B7D" w:rsidRPr="005E24BA" w:rsidRDefault="007D6763" w:rsidP="002F4B7D">
      <w:pPr>
        <w:pStyle w:val="Heading4"/>
        <w:rPr>
          <w:lang w:val="de-AT"/>
        </w:rPr>
      </w:pPr>
      <w:bookmarkStart w:id="120" w:name="_Ref23657156"/>
      <w:bookmarkStart w:id="121" w:name="_Ref222499012"/>
      <w:bookmarkStart w:id="122" w:name="_Ref222499051"/>
      <w:bookmarkStart w:id="123" w:name="_Toc222738075"/>
      <w:r w:rsidRPr="005E24BA">
        <w:rPr>
          <w:lang w:val="de-AT"/>
        </w:rPr>
        <w:t xml:space="preserve">Grundlagen für den Einsatz von </w:t>
      </w:r>
      <w:r w:rsidR="002F4B7D" w:rsidRPr="005E24BA">
        <w:rPr>
          <w:lang w:val="de-AT"/>
        </w:rPr>
        <w:t>Tools</w:t>
      </w:r>
      <w:bookmarkEnd w:id="120"/>
      <w:bookmarkEnd w:id="121"/>
      <w:bookmarkEnd w:id="122"/>
      <w:bookmarkEnd w:id="123"/>
    </w:p>
    <w:p w14:paraId="02E63186" w14:textId="017072C3" w:rsidR="00504DBF" w:rsidRPr="00504DBF" w:rsidRDefault="00504DBF" w:rsidP="00504DBF">
      <w:pPr>
        <w:spacing w:after="240" w:line="300" w:lineRule="atLeast"/>
        <w:rPr>
          <w:rFonts w:ascii="Arial" w:hAnsi="Arial" w:cs="Arial"/>
          <w:iCs/>
          <w:sz w:val="20"/>
          <w:szCs w:val="22"/>
          <w:lang w:eastAsia="de-DE"/>
        </w:rPr>
      </w:pPr>
      <w:r w:rsidRPr="005E24BA">
        <w:rPr>
          <w:rFonts w:ascii="Arial" w:hAnsi="Arial" w:cs="Arial"/>
          <w:iCs/>
          <w:sz w:val="20"/>
          <w:szCs w:val="22"/>
          <w:lang w:eastAsia="de-DE"/>
        </w:rPr>
        <w:t xml:space="preserve">Die allgemeinen Grundsätze für den Einsatz von Tools sind im Safety Concept der Generic Application Digital Interlocking (GA DIL), </w:t>
      </w:r>
      <w:r w:rsidRPr="005E24BA">
        <w:rPr>
          <w:rFonts w:ascii="Arial" w:hAnsi="Arial" w:cs="Arial"/>
          <w:iCs/>
          <w:sz w:val="20"/>
          <w:szCs w:val="22"/>
          <w:lang w:eastAsia="de-DE"/>
        </w:rPr>
        <w:fldChar w:fldCharType="begin"/>
      </w:r>
      <w:r w:rsidRPr="005E24BA">
        <w:rPr>
          <w:rFonts w:ascii="Arial" w:hAnsi="Arial" w:cs="Arial"/>
          <w:iCs/>
          <w:sz w:val="20"/>
          <w:szCs w:val="22"/>
          <w:lang w:eastAsia="de-DE"/>
        </w:rPr>
        <w:instrText xml:space="preserve"> REF REF_SC_DIL \h  \* MERGEFORMAT </w:instrText>
      </w:r>
      <w:r w:rsidRPr="005E24BA">
        <w:rPr>
          <w:rFonts w:ascii="Arial" w:hAnsi="Arial" w:cs="Arial"/>
          <w:iCs/>
          <w:sz w:val="20"/>
          <w:szCs w:val="22"/>
          <w:lang w:eastAsia="de-DE"/>
        </w:rPr>
      </w:r>
      <w:r w:rsidRPr="005E24BA">
        <w:rPr>
          <w:rFonts w:ascii="Arial" w:hAnsi="Arial" w:cs="Arial"/>
          <w:iCs/>
          <w:sz w:val="20"/>
          <w:szCs w:val="22"/>
          <w:lang w:eastAsia="de-DE"/>
        </w:rPr>
        <w:fldChar w:fldCharType="separate"/>
      </w:r>
      <w:r w:rsidRPr="005E24BA">
        <w:rPr>
          <w:rFonts w:ascii="Arial" w:hAnsi="Arial" w:cs="Arial"/>
          <w:iCs/>
          <w:sz w:val="20"/>
          <w:szCs w:val="22"/>
          <w:lang w:eastAsia="de-DE"/>
        </w:rPr>
        <w:t>[SC DIL]</w:t>
      </w:r>
      <w:r w:rsidRPr="005E24BA">
        <w:rPr>
          <w:rFonts w:ascii="Arial" w:hAnsi="Arial" w:cs="Arial"/>
          <w:iCs/>
          <w:sz w:val="20"/>
          <w:szCs w:val="22"/>
          <w:lang w:eastAsia="de-DE"/>
        </w:rPr>
        <w:fldChar w:fldCharType="end"/>
      </w:r>
      <w:r w:rsidRPr="005E24BA">
        <w:rPr>
          <w:rFonts w:ascii="Arial" w:hAnsi="Arial" w:cs="Arial"/>
          <w:iCs/>
          <w:sz w:val="20"/>
          <w:szCs w:val="22"/>
          <w:lang w:eastAsia="de-DE"/>
        </w:rPr>
        <w:t>, beschrieben</w:t>
      </w:r>
      <w:r w:rsidRPr="00504DBF">
        <w:rPr>
          <w:rFonts w:ascii="Arial" w:hAnsi="Arial" w:cs="Arial"/>
          <w:iCs/>
          <w:sz w:val="20"/>
          <w:szCs w:val="22"/>
          <w:lang w:eastAsia="de-DE"/>
        </w:rPr>
        <w:t xml:space="preserve"> und werden für das technische Projekt DFE entsprechend angewendet.</w:t>
      </w:r>
    </w:p>
    <w:p w14:paraId="473C8F1B" w14:textId="3A296885" w:rsidR="00504DBF" w:rsidRPr="00504DBF" w:rsidRDefault="00504DBF" w:rsidP="00504DBF">
      <w:pPr>
        <w:spacing w:after="240" w:line="300" w:lineRule="atLeast"/>
        <w:rPr>
          <w:rFonts w:ascii="Arial" w:hAnsi="Arial" w:cs="Arial"/>
          <w:iCs/>
          <w:sz w:val="20"/>
          <w:szCs w:val="22"/>
          <w:lang w:eastAsia="de-DE"/>
        </w:rPr>
      </w:pPr>
      <w:r w:rsidRPr="00504DBF">
        <w:rPr>
          <w:rFonts w:ascii="Arial" w:hAnsi="Arial" w:cs="Arial"/>
          <w:iCs/>
          <w:sz w:val="20"/>
          <w:szCs w:val="22"/>
          <w:lang w:eastAsia="de-DE"/>
        </w:rPr>
        <w:t xml:space="preserve">Für die Entwicklung, Verifikation, Validierung und Sicherheitsnachweisführung der DFE-Subsysteme werden Werkzeuge (Tools) eingesetzt. Soweit diese Werkzeuge sicherheitsrelevante Aktivitäten unterstützen oder deren Ergebnisse Einfluss auf die Sicherheitsnachweisführung haben können, sind die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504DBF">
        <w:rPr>
          <w:rFonts w:ascii="Arial" w:hAnsi="Arial" w:cs="Arial"/>
          <w:iCs/>
          <w:sz w:val="20"/>
          <w:szCs w:val="22"/>
          <w:lang w:eastAsia="de-DE"/>
        </w:rPr>
        <w:t>[EN 50716]</w:t>
      </w:r>
      <w:r>
        <w:rPr>
          <w:rFonts w:ascii="Arial" w:hAnsi="Arial" w:cs="Arial"/>
          <w:iCs/>
          <w:sz w:val="20"/>
          <w:szCs w:val="22"/>
          <w:lang w:eastAsia="de-DE"/>
        </w:rPr>
        <w:fldChar w:fldCharType="end"/>
      </w:r>
      <w:r w:rsidRPr="00504DBF">
        <w:rPr>
          <w:rFonts w:ascii="Arial" w:hAnsi="Arial" w:cs="Arial"/>
          <w:iCs/>
          <w:sz w:val="20"/>
          <w:szCs w:val="22"/>
          <w:lang w:eastAsia="de-DE"/>
        </w:rPr>
        <w:t xml:space="preserve"> zu berücksichtigen.</w:t>
      </w:r>
    </w:p>
    <w:p w14:paraId="794ADA71" w14:textId="77777777" w:rsidR="00504DBF" w:rsidRPr="00504DBF" w:rsidRDefault="00504DBF" w:rsidP="00504DBF">
      <w:pPr>
        <w:spacing w:after="240" w:line="300" w:lineRule="atLeast"/>
        <w:rPr>
          <w:rFonts w:ascii="Arial" w:hAnsi="Arial" w:cs="Arial"/>
          <w:iCs/>
          <w:sz w:val="20"/>
          <w:szCs w:val="22"/>
          <w:lang w:eastAsia="de-DE"/>
        </w:rPr>
      </w:pPr>
    </w:p>
    <w:p w14:paraId="47AB26DF" w14:textId="77777777" w:rsidR="00504DBF" w:rsidRPr="00504DBF" w:rsidRDefault="00504DBF" w:rsidP="00504DBF">
      <w:pPr>
        <w:spacing w:after="240" w:line="300" w:lineRule="atLeast"/>
        <w:rPr>
          <w:rFonts w:ascii="Arial" w:hAnsi="Arial" w:cs="Arial"/>
          <w:iCs/>
          <w:sz w:val="20"/>
          <w:szCs w:val="22"/>
          <w:lang w:eastAsia="de-DE"/>
        </w:rPr>
      </w:pPr>
      <w:r w:rsidRPr="00504DBF">
        <w:rPr>
          <w:rFonts w:ascii="Arial" w:hAnsi="Arial" w:cs="Arial"/>
          <w:iCs/>
          <w:sz w:val="20"/>
          <w:szCs w:val="22"/>
          <w:lang w:eastAsia="de-DE"/>
        </w:rPr>
        <w:lastRenderedPageBreak/>
        <w:t>Für die durch Lieferorganisationen bereitgestellten DFE-Subsysteme IFC-LCSI, OC-DCA3 und OC-AzLM erfolgt die Bewertung der eingesetzten Tools im Rahmen der jeweiligen Supplier-Prozesse und Sicherheitsnachweise.</w:t>
      </w:r>
    </w:p>
    <w:p w14:paraId="55E46B73" w14:textId="3E85B8ED" w:rsidR="00504DBF" w:rsidRPr="00504DBF" w:rsidRDefault="00504DBF" w:rsidP="00504DBF">
      <w:pPr>
        <w:spacing w:after="240" w:line="300" w:lineRule="atLeast"/>
        <w:rPr>
          <w:rFonts w:ascii="Arial" w:hAnsi="Arial" w:cs="Arial"/>
          <w:iCs/>
          <w:sz w:val="20"/>
          <w:szCs w:val="22"/>
          <w:lang w:eastAsia="de-DE"/>
        </w:rPr>
      </w:pPr>
      <w:r w:rsidRPr="00504DBF">
        <w:rPr>
          <w:rFonts w:ascii="Arial" w:hAnsi="Arial" w:cs="Arial"/>
          <w:iCs/>
          <w:sz w:val="20"/>
          <w:szCs w:val="22"/>
          <w:lang w:eastAsia="de-DE"/>
        </w:rPr>
        <w:t xml:space="preserve">Für die durch das DFE-Projekt entwickelten Interface Converter IFC-ZG62 und IFC-Sbl60A erfolgt die Bewertung, Klassifizierung und gegebenenfalls Qualifizierung der eingesetzten Tools entsprechend den geltenden Projektprozessen und den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504DBF">
        <w:rPr>
          <w:rFonts w:ascii="Arial" w:hAnsi="Arial" w:cs="Arial"/>
          <w:iCs/>
          <w:sz w:val="20"/>
          <w:szCs w:val="22"/>
          <w:lang w:eastAsia="de-DE"/>
        </w:rPr>
        <w:t>[EN 50716]</w:t>
      </w:r>
      <w:r>
        <w:rPr>
          <w:rFonts w:ascii="Arial" w:hAnsi="Arial" w:cs="Arial"/>
          <w:iCs/>
          <w:sz w:val="20"/>
          <w:szCs w:val="22"/>
          <w:lang w:eastAsia="de-DE"/>
        </w:rPr>
        <w:fldChar w:fldCharType="end"/>
      </w:r>
      <w:r w:rsidRPr="00504DBF">
        <w:rPr>
          <w:rFonts w:ascii="Arial" w:hAnsi="Arial" w:cs="Arial"/>
          <w:iCs/>
          <w:sz w:val="20"/>
          <w:szCs w:val="22"/>
          <w:lang w:eastAsia="de-DE"/>
        </w:rPr>
        <w:t>.</w:t>
      </w:r>
    </w:p>
    <w:p w14:paraId="55C354D8" w14:textId="5C1D1422" w:rsidR="00504DBF" w:rsidRPr="00504DBF" w:rsidRDefault="00504DBF" w:rsidP="00504DBF">
      <w:pPr>
        <w:spacing w:after="240" w:line="300" w:lineRule="atLeast"/>
        <w:rPr>
          <w:rFonts w:ascii="Arial" w:hAnsi="Arial" w:cs="Arial"/>
          <w:iCs/>
          <w:sz w:val="20"/>
          <w:szCs w:val="22"/>
          <w:lang w:eastAsia="de-DE"/>
        </w:rPr>
      </w:pPr>
      <w:r w:rsidRPr="00504DBF">
        <w:rPr>
          <w:rFonts w:ascii="Arial" w:hAnsi="Arial" w:cs="Arial"/>
          <w:iCs/>
          <w:sz w:val="20"/>
          <w:szCs w:val="22"/>
          <w:lang w:eastAsia="de-DE"/>
        </w:rPr>
        <w:t xml:space="preserve">Die Einstufung und Behandlung der innerhalb des DFE-Projekts eingesetzten Tools erfolgt gemäß dem Dokument Tool Classification </w:t>
      </w:r>
      <w:r>
        <w:rPr>
          <w:rFonts w:ascii="Arial" w:hAnsi="Arial" w:cs="Arial"/>
          <w:iCs/>
          <w:sz w:val="20"/>
          <w:szCs w:val="22"/>
          <w:lang w:eastAsia="de-DE"/>
        </w:rPr>
        <w:fldChar w:fldCharType="begin"/>
      </w:r>
      <w:r>
        <w:rPr>
          <w:rFonts w:ascii="Arial" w:hAnsi="Arial" w:cs="Arial"/>
          <w:iCs/>
          <w:sz w:val="20"/>
          <w:szCs w:val="22"/>
          <w:lang w:eastAsia="de-DE"/>
        </w:rPr>
        <w:instrText xml:space="preserve"> REF REF_TOOL_CLASS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504DBF">
        <w:rPr>
          <w:rFonts w:ascii="Arial" w:hAnsi="Arial" w:cs="Arial"/>
          <w:iCs/>
          <w:sz w:val="20"/>
          <w:szCs w:val="22"/>
          <w:lang w:eastAsia="de-DE"/>
        </w:rPr>
        <w:t>[TOOL_CLASS]</w:t>
      </w:r>
      <w:r>
        <w:rPr>
          <w:rFonts w:ascii="Arial" w:hAnsi="Arial" w:cs="Arial"/>
          <w:iCs/>
          <w:sz w:val="20"/>
          <w:szCs w:val="22"/>
          <w:lang w:eastAsia="de-DE"/>
        </w:rPr>
        <w:fldChar w:fldCharType="end"/>
      </w:r>
      <w:r w:rsidRPr="00504DBF">
        <w:rPr>
          <w:rFonts w:ascii="Arial" w:hAnsi="Arial" w:cs="Arial"/>
          <w:iCs/>
          <w:sz w:val="20"/>
          <w:szCs w:val="22"/>
          <w:lang w:eastAsia="de-DE"/>
        </w:rPr>
        <w:t>. Die dort festgelegten Verfahren dienen der Bewertung des Einflusses von Toolfehlern auf Entwicklung, Verifikation, Validierung und Sicherheitsnachweisführung sowie der Festlegung der erforderlichen Maßnahmen zur Beherrschung möglicher Toolfehler.</w:t>
      </w:r>
    </w:p>
    <w:p w14:paraId="6933E8FD" w14:textId="77777777" w:rsidR="00504DBF" w:rsidRPr="00504DBF" w:rsidRDefault="00504DBF" w:rsidP="00504DBF">
      <w:pPr>
        <w:spacing w:after="240" w:line="300" w:lineRule="atLeast"/>
        <w:rPr>
          <w:rFonts w:ascii="Arial" w:hAnsi="Arial" w:cs="Arial"/>
          <w:iCs/>
          <w:sz w:val="20"/>
          <w:szCs w:val="22"/>
          <w:lang w:eastAsia="de-DE"/>
        </w:rPr>
      </w:pPr>
      <w:r w:rsidRPr="00504DBF">
        <w:rPr>
          <w:rFonts w:ascii="Arial" w:hAnsi="Arial" w:cs="Arial"/>
          <w:iCs/>
          <w:sz w:val="20"/>
          <w:szCs w:val="22"/>
          <w:lang w:eastAsia="de-DE"/>
        </w:rPr>
        <w:t>Die Auswahl und Behandlung der eingesetzten Tools erfolgt unter Berücksichtigung ihres Einflusses auf die Entwicklung, Verifikation, Validierung und Sicherheitsnachweisführung der jeweiligen DFE-Subsysteme.</w:t>
      </w:r>
    </w:p>
    <w:p w14:paraId="290E8317" w14:textId="0CA932FD" w:rsidR="007C76C0" w:rsidRPr="00BC0B0B" w:rsidRDefault="00504DBF" w:rsidP="00504DBF">
      <w:pPr>
        <w:spacing w:after="240" w:line="300" w:lineRule="atLeast"/>
        <w:rPr>
          <w:rFonts w:ascii="Arial" w:hAnsi="Arial" w:cs="Arial"/>
          <w:iCs/>
          <w:sz w:val="20"/>
          <w:szCs w:val="22"/>
          <w:lang w:eastAsia="de-DE"/>
        </w:rPr>
      </w:pPr>
      <w:r w:rsidRPr="00504DBF">
        <w:rPr>
          <w:rFonts w:ascii="Arial" w:hAnsi="Arial" w:cs="Arial"/>
          <w:iCs/>
          <w:sz w:val="20"/>
          <w:szCs w:val="22"/>
          <w:lang w:eastAsia="de-DE"/>
        </w:rPr>
        <w:t>Die detaillierte Bewertung und Behandlung der eingesetzten Tools erfolgt im Rahmen der jeweiligen Entwicklungs-, Verifikations- und Sicherheitsnachweise der DFE-Subsysteme.</w:t>
      </w:r>
    </w:p>
    <w:p w14:paraId="220B09A9" w14:textId="02C4F108" w:rsidR="002F4B7D" w:rsidRPr="003E0D5C" w:rsidRDefault="00621652" w:rsidP="002F4B7D">
      <w:pPr>
        <w:pStyle w:val="Heading5"/>
        <w:rPr>
          <w:lang w:val="de-AT"/>
        </w:rPr>
      </w:pPr>
      <w:r w:rsidRPr="003E0D5C">
        <w:rPr>
          <w:lang w:val="de-AT"/>
        </w:rPr>
        <w:t>Sicherheitsrelevante</w:t>
      </w:r>
      <w:r w:rsidR="002F4B7D" w:rsidRPr="003E0D5C">
        <w:rPr>
          <w:lang w:val="de-AT"/>
        </w:rPr>
        <w:t xml:space="preserve"> </w:t>
      </w:r>
      <w:r w:rsidR="00F23A79" w:rsidRPr="003E0D5C">
        <w:rPr>
          <w:lang w:val="de-AT"/>
        </w:rPr>
        <w:t>T</w:t>
      </w:r>
      <w:r w:rsidR="002F4B7D" w:rsidRPr="003E0D5C">
        <w:rPr>
          <w:lang w:val="de-AT"/>
        </w:rPr>
        <w:t xml:space="preserve">ools </w:t>
      </w:r>
      <w:r w:rsidR="00F23A79" w:rsidRPr="003E0D5C">
        <w:rPr>
          <w:lang w:val="de-AT"/>
        </w:rPr>
        <w:t>für elektronische Systeme</w:t>
      </w:r>
    </w:p>
    <w:p w14:paraId="4B87D638" w14:textId="0C738ED2"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 xml:space="preserve">Die allgemeinen Grundsätze für den Einsatz sicherheitsrelevanter Tools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3E0D5C">
        <w:rPr>
          <w:rFonts w:ascii="Arial" w:hAnsi="Arial" w:cs="Arial"/>
          <w:iCs/>
          <w:sz w:val="20"/>
          <w:szCs w:val="22"/>
          <w:lang w:eastAsia="de-DE"/>
        </w:rPr>
        <w:t>[SC DIL]</w:t>
      </w:r>
      <w:r>
        <w:rPr>
          <w:rFonts w:ascii="Arial" w:hAnsi="Arial" w:cs="Arial"/>
          <w:iCs/>
          <w:sz w:val="20"/>
          <w:szCs w:val="22"/>
          <w:lang w:eastAsia="de-DE"/>
        </w:rPr>
        <w:fldChar w:fldCharType="end"/>
      </w:r>
      <w:r w:rsidRPr="003E0D5C">
        <w:rPr>
          <w:rFonts w:ascii="Arial" w:hAnsi="Arial" w:cs="Arial"/>
          <w:iCs/>
          <w:sz w:val="20"/>
          <w:szCs w:val="22"/>
          <w:lang w:eastAsia="de-DE"/>
        </w:rPr>
        <w:t>, beschrieben und werden für das technische Projekt DFE entsprechend angewendet.</w:t>
      </w:r>
    </w:p>
    <w:p w14:paraId="353206F9" w14:textId="77777777" w:rsidR="003E0D5C" w:rsidRPr="003E0D5C" w:rsidRDefault="003E0D5C" w:rsidP="003E0D5C">
      <w:pPr>
        <w:spacing w:line="300" w:lineRule="atLeast"/>
        <w:rPr>
          <w:rFonts w:ascii="Arial" w:hAnsi="Arial" w:cs="Arial"/>
          <w:iCs/>
          <w:sz w:val="20"/>
          <w:szCs w:val="22"/>
          <w:lang w:eastAsia="de-DE"/>
        </w:rPr>
      </w:pPr>
    </w:p>
    <w:p w14:paraId="5B42561F" w14:textId="77777777"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Sicherheitsrelevante Tools sind Werkzeuge, deren Ergebnisse Einfluss auf die Entwicklung, Verifikation, Validierung oder Sicherheitsnachweisführung eines DFE-Subsystems haben können. Hierzu zählen insbesondere Werkzeuge zur Entwicklung, Konfiguration, Codegenerierung, Prüfung, Verifikation oder Dokumentation sicherheitsrelevanter Funktionen.</w:t>
      </w:r>
    </w:p>
    <w:p w14:paraId="1AEED109" w14:textId="77777777" w:rsidR="003E0D5C" w:rsidRPr="003E0D5C" w:rsidRDefault="003E0D5C" w:rsidP="003E0D5C">
      <w:pPr>
        <w:spacing w:line="300" w:lineRule="atLeast"/>
        <w:rPr>
          <w:rFonts w:ascii="Arial" w:hAnsi="Arial" w:cs="Arial"/>
          <w:iCs/>
          <w:sz w:val="20"/>
          <w:szCs w:val="22"/>
          <w:lang w:eastAsia="de-DE"/>
        </w:rPr>
      </w:pPr>
    </w:p>
    <w:p w14:paraId="56D5FDB7" w14:textId="77777777"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Für die durch Lieferorganisationen bereitgestellten DFE-Subsysteme IFC-LCSI, OC-DCA3 und OC-AzLM erfolgt die Bewertung und Behandlung der eingesetzten Tools im Rahmen der jeweiligen Supplier-Prozesse und Sicherheitsnachweise.</w:t>
      </w:r>
    </w:p>
    <w:p w14:paraId="6A733F34" w14:textId="77777777" w:rsidR="003E0D5C" w:rsidRPr="003E0D5C" w:rsidRDefault="003E0D5C" w:rsidP="003E0D5C">
      <w:pPr>
        <w:spacing w:line="300" w:lineRule="atLeast"/>
        <w:rPr>
          <w:rFonts w:ascii="Arial" w:hAnsi="Arial" w:cs="Arial"/>
          <w:iCs/>
          <w:sz w:val="20"/>
          <w:szCs w:val="22"/>
          <w:lang w:eastAsia="de-DE"/>
        </w:rPr>
      </w:pPr>
    </w:p>
    <w:p w14:paraId="624C930B" w14:textId="726FBFAA"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 xml:space="preserve">Für die durch das DFE-Projekt entwickelten Interface Converter IFC-ZG62 und IFC-Sbl60A werden die eingesetzten Tools entsprechend den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3E0D5C">
        <w:rPr>
          <w:rFonts w:ascii="Arial" w:hAnsi="Arial" w:cs="Arial"/>
          <w:iCs/>
          <w:sz w:val="20"/>
          <w:szCs w:val="22"/>
          <w:lang w:eastAsia="de-DE"/>
        </w:rPr>
        <w:t>[EN 50716]</w:t>
      </w:r>
      <w:r>
        <w:rPr>
          <w:rFonts w:ascii="Arial" w:hAnsi="Arial" w:cs="Arial"/>
          <w:iCs/>
          <w:sz w:val="20"/>
          <w:szCs w:val="22"/>
          <w:lang w:eastAsia="de-DE"/>
        </w:rPr>
        <w:fldChar w:fldCharType="end"/>
      </w:r>
      <w:r w:rsidRPr="003E0D5C">
        <w:rPr>
          <w:rFonts w:ascii="Arial" w:hAnsi="Arial" w:cs="Arial"/>
          <w:iCs/>
          <w:sz w:val="20"/>
          <w:szCs w:val="22"/>
          <w:lang w:eastAsia="de-DE"/>
        </w:rPr>
        <w:t xml:space="preserve"> bewertet und behandelt.</w:t>
      </w:r>
    </w:p>
    <w:p w14:paraId="2EB1EF14" w14:textId="77777777" w:rsidR="003E0D5C" w:rsidRPr="003E0D5C" w:rsidRDefault="003E0D5C" w:rsidP="003E0D5C">
      <w:pPr>
        <w:spacing w:line="300" w:lineRule="atLeast"/>
        <w:rPr>
          <w:rFonts w:ascii="Arial" w:hAnsi="Arial" w:cs="Arial"/>
          <w:iCs/>
          <w:sz w:val="20"/>
          <w:szCs w:val="22"/>
          <w:lang w:eastAsia="de-DE"/>
        </w:rPr>
      </w:pPr>
    </w:p>
    <w:p w14:paraId="7B2DA32F" w14:textId="585DF14E"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 xml:space="preserve">Die Einstufung und Behandlung der im technischen Projekt DFE eingesetzten Tools erfolgt gemäß dem Dokument Tool Classification </w:t>
      </w:r>
      <w:r>
        <w:rPr>
          <w:rFonts w:ascii="Arial" w:hAnsi="Arial" w:cs="Arial"/>
          <w:iCs/>
          <w:sz w:val="20"/>
          <w:szCs w:val="22"/>
          <w:lang w:eastAsia="de-DE"/>
        </w:rPr>
        <w:fldChar w:fldCharType="begin"/>
      </w:r>
      <w:r>
        <w:rPr>
          <w:rFonts w:ascii="Arial" w:hAnsi="Arial" w:cs="Arial"/>
          <w:iCs/>
          <w:sz w:val="20"/>
          <w:szCs w:val="22"/>
          <w:lang w:eastAsia="de-DE"/>
        </w:rPr>
        <w:instrText xml:space="preserve"> REF REF_TOOL_CLASS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3E0D5C">
        <w:rPr>
          <w:rFonts w:ascii="Arial" w:hAnsi="Arial" w:cs="Arial"/>
          <w:iCs/>
          <w:sz w:val="20"/>
          <w:szCs w:val="22"/>
          <w:lang w:eastAsia="de-DE"/>
        </w:rPr>
        <w:t>[TOOL_CLASS]</w:t>
      </w:r>
      <w:r>
        <w:rPr>
          <w:rFonts w:ascii="Arial" w:hAnsi="Arial" w:cs="Arial"/>
          <w:iCs/>
          <w:sz w:val="20"/>
          <w:szCs w:val="22"/>
          <w:lang w:eastAsia="de-DE"/>
        </w:rPr>
        <w:fldChar w:fldCharType="end"/>
      </w:r>
      <w:r w:rsidRPr="003E0D5C">
        <w:rPr>
          <w:rFonts w:ascii="Arial" w:hAnsi="Arial" w:cs="Arial"/>
          <w:iCs/>
          <w:sz w:val="20"/>
          <w:szCs w:val="22"/>
          <w:lang w:eastAsia="de-DE"/>
        </w:rPr>
        <w:t>. Die dort definierten Verfahren dienen der Bewertung möglicher Auswirkungen von Toolfehlern sowie der Festlegung geeigneter Maßnahmen zur Beherrschung identifizierter Risiken.</w:t>
      </w:r>
    </w:p>
    <w:p w14:paraId="20DA48DF" w14:textId="77777777" w:rsidR="003E0D5C" w:rsidRPr="003E0D5C" w:rsidRDefault="003E0D5C" w:rsidP="003E0D5C">
      <w:pPr>
        <w:spacing w:line="300" w:lineRule="atLeast"/>
        <w:rPr>
          <w:rFonts w:ascii="Arial" w:hAnsi="Arial" w:cs="Arial"/>
          <w:iCs/>
          <w:sz w:val="20"/>
          <w:szCs w:val="22"/>
          <w:lang w:eastAsia="de-DE"/>
        </w:rPr>
      </w:pPr>
    </w:p>
    <w:p w14:paraId="33606AB0" w14:textId="712A6428" w:rsidR="007C76C0" w:rsidRPr="002A6A8C" w:rsidRDefault="003E0D5C" w:rsidP="003E0D5C">
      <w:pPr>
        <w:spacing w:line="300" w:lineRule="atLeast"/>
        <w:rPr>
          <w:rFonts w:ascii="Segoe UI" w:hAnsi="Segoe UI" w:cs="Segoe UI"/>
          <w:sz w:val="21"/>
          <w:szCs w:val="21"/>
        </w:rPr>
      </w:pPr>
      <w:r w:rsidRPr="003E0D5C">
        <w:rPr>
          <w:rFonts w:ascii="Arial" w:hAnsi="Arial" w:cs="Arial"/>
          <w:iCs/>
          <w:sz w:val="20"/>
          <w:szCs w:val="22"/>
          <w:lang w:eastAsia="de-DE"/>
        </w:rPr>
        <w:t>Die konkrete Auswahl, Bewertung und Behandlung der eingesetzten Tools wird in den jeweiligen Entwicklungs-, Verifikations- und Sicherheitsnachweisen der DFE-Subsysteme dokumentiert.</w:t>
      </w:r>
    </w:p>
    <w:p w14:paraId="140C3E9F" w14:textId="776465F6" w:rsidR="002F4B7D" w:rsidRPr="002A6A8C" w:rsidRDefault="00181FA8" w:rsidP="00BC0B0B">
      <w:pPr>
        <w:pStyle w:val="Heading5"/>
        <w:spacing w:before="240"/>
        <w:ind w:left="1077" w:hanging="1077"/>
        <w:rPr>
          <w:lang w:val="de-AT"/>
        </w:rPr>
      </w:pPr>
      <w:bookmarkStart w:id="124" w:name="_Ref232074733"/>
      <w:r w:rsidRPr="002A6A8C">
        <w:rPr>
          <w:lang w:val="de-AT"/>
        </w:rPr>
        <w:lastRenderedPageBreak/>
        <w:t>Tool-Klassifizierung und Begründung für Software-Tools</w:t>
      </w:r>
      <w:bookmarkEnd w:id="124"/>
    </w:p>
    <w:p w14:paraId="54566002" w14:textId="0ECEFC44" w:rsid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 xml:space="preserve">Die allgemeinen Grundsätze zur Klassifizierung von Software-Tools sind im Safety Concept der Generic Application Digital Interlocking (GA DIL), </w:t>
      </w:r>
      <w:r w:rsidRPr="003E0D5C">
        <w:rPr>
          <w:rFonts w:ascii="Arial" w:hAnsi="Arial" w:cs="Arial"/>
          <w:iCs/>
          <w:sz w:val="20"/>
          <w:szCs w:val="22"/>
          <w:lang w:eastAsia="de-DE"/>
        </w:rPr>
        <w:fldChar w:fldCharType="begin"/>
      </w:r>
      <w:r w:rsidRPr="003E0D5C">
        <w:rPr>
          <w:rFonts w:ascii="Arial" w:hAnsi="Arial" w:cs="Arial"/>
          <w:iCs/>
          <w:sz w:val="20"/>
          <w:szCs w:val="22"/>
          <w:lang w:eastAsia="de-DE"/>
        </w:rPr>
        <w:instrText xml:space="preserve"> REF REF_SC_DIL \h  \* MERGEFORMAT </w:instrText>
      </w:r>
      <w:r w:rsidRPr="003E0D5C">
        <w:rPr>
          <w:rFonts w:ascii="Arial" w:hAnsi="Arial" w:cs="Arial"/>
          <w:iCs/>
          <w:sz w:val="20"/>
          <w:szCs w:val="22"/>
          <w:lang w:eastAsia="de-DE"/>
        </w:rPr>
      </w:r>
      <w:r w:rsidRPr="003E0D5C">
        <w:rPr>
          <w:rFonts w:ascii="Arial" w:hAnsi="Arial" w:cs="Arial"/>
          <w:iCs/>
          <w:sz w:val="20"/>
          <w:szCs w:val="22"/>
          <w:lang w:eastAsia="de-DE"/>
        </w:rPr>
        <w:fldChar w:fldCharType="separate"/>
      </w:r>
      <w:r w:rsidRPr="003E0D5C">
        <w:rPr>
          <w:rFonts w:ascii="Arial" w:hAnsi="Arial" w:cs="Arial"/>
          <w:iCs/>
          <w:sz w:val="20"/>
          <w:szCs w:val="22"/>
          <w:lang w:eastAsia="de-DE"/>
        </w:rPr>
        <w:t>[SC DIL]</w:t>
      </w:r>
      <w:r w:rsidRPr="003E0D5C">
        <w:rPr>
          <w:rFonts w:ascii="Arial" w:hAnsi="Arial" w:cs="Arial"/>
          <w:iCs/>
          <w:sz w:val="20"/>
          <w:szCs w:val="22"/>
          <w:lang w:eastAsia="de-DE"/>
        </w:rPr>
        <w:fldChar w:fldCharType="end"/>
      </w:r>
      <w:r w:rsidRPr="003E0D5C">
        <w:rPr>
          <w:rFonts w:ascii="Arial" w:hAnsi="Arial" w:cs="Arial"/>
          <w:iCs/>
          <w:sz w:val="20"/>
          <w:szCs w:val="22"/>
          <w:lang w:eastAsia="de-DE"/>
        </w:rPr>
        <w:t>, beschrieben und werden für das technische Projekt DFE entsprechend angewendet.</w:t>
      </w:r>
    </w:p>
    <w:p w14:paraId="0771283B" w14:textId="77777777" w:rsidR="003E0D5C" w:rsidRPr="003E0D5C" w:rsidRDefault="003E0D5C" w:rsidP="003E0D5C">
      <w:pPr>
        <w:spacing w:line="300" w:lineRule="atLeast"/>
        <w:rPr>
          <w:rFonts w:ascii="Arial" w:hAnsi="Arial" w:cs="Arial"/>
          <w:iCs/>
          <w:sz w:val="20"/>
          <w:szCs w:val="22"/>
          <w:lang w:eastAsia="de-DE"/>
        </w:rPr>
      </w:pPr>
    </w:p>
    <w:p w14:paraId="10ADFFE6" w14:textId="77777777" w:rsid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Software-Tools, die bei der Entwicklung, Verifikation, Validierung oder Sicherheitsnachweisführung der DFE-Subsysteme eingesetzt werden, sind hinsichtlich ihres möglichen Einflusses auf die Sicherheit des jeweiligen DFE-Subsystems zu bewerten.</w:t>
      </w:r>
    </w:p>
    <w:p w14:paraId="5F0D443F" w14:textId="77777777" w:rsidR="003E0D5C" w:rsidRPr="003E0D5C" w:rsidRDefault="003E0D5C" w:rsidP="003E0D5C">
      <w:pPr>
        <w:spacing w:line="300" w:lineRule="atLeast"/>
        <w:rPr>
          <w:rFonts w:ascii="Arial" w:hAnsi="Arial" w:cs="Arial"/>
          <w:iCs/>
          <w:sz w:val="20"/>
          <w:szCs w:val="22"/>
          <w:lang w:eastAsia="de-DE"/>
        </w:rPr>
      </w:pPr>
    </w:p>
    <w:p w14:paraId="7E3EE5DB" w14:textId="62F13089"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 xml:space="preserve">Die Klassifizierung der eingesetzten Software-Tools erfolgt gemäß dem Dokument Tool Classification </w:t>
      </w:r>
      <w:r w:rsidRPr="003E0D5C">
        <w:rPr>
          <w:rFonts w:ascii="Arial" w:hAnsi="Arial" w:cs="Arial"/>
          <w:iCs/>
          <w:sz w:val="20"/>
          <w:szCs w:val="22"/>
          <w:lang w:eastAsia="de-DE"/>
        </w:rPr>
        <w:fldChar w:fldCharType="begin"/>
      </w:r>
      <w:r w:rsidRPr="003E0D5C">
        <w:rPr>
          <w:rFonts w:ascii="Arial" w:hAnsi="Arial" w:cs="Arial"/>
          <w:iCs/>
          <w:sz w:val="20"/>
          <w:szCs w:val="22"/>
          <w:lang w:eastAsia="de-DE"/>
        </w:rPr>
        <w:instrText xml:space="preserve"> REF REF_TOOL_CLASS \h </w:instrText>
      </w:r>
      <w:r>
        <w:rPr>
          <w:rFonts w:ascii="Arial" w:hAnsi="Arial" w:cs="Arial"/>
          <w:iCs/>
          <w:sz w:val="20"/>
          <w:szCs w:val="22"/>
          <w:lang w:eastAsia="de-DE"/>
        </w:rPr>
        <w:instrText xml:space="preserve"> \* MERGEFORMAT </w:instrText>
      </w:r>
      <w:r w:rsidRPr="003E0D5C">
        <w:rPr>
          <w:rFonts w:ascii="Arial" w:hAnsi="Arial" w:cs="Arial"/>
          <w:iCs/>
          <w:sz w:val="20"/>
          <w:szCs w:val="22"/>
          <w:lang w:eastAsia="de-DE"/>
        </w:rPr>
      </w:r>
      <w:r w:rsidRPr="003E0D5C">
        <w:rPr>
          <w:rFonts w:ascii="Arial" w:hAnsi="Arial" w:cs="Arial"/>
          <w:iCs/>
          <w:sz w:val="20"/>
          <w:szCs w:val="22"/>
          <w:lang w:eastAsia="de-DE"/>
        </w:rPr>
        <w:fldChar w:fldCharType="separate"/>
      </w:r>
      <w:r w:rsidRPr="003E0D5C">
        <w:rPr>
          <w:rFonts w:ascii="Arial" w:hAnsi="Arial" w:cs="Arial"/>
          <w:iCs/>
          <w:sz w:val="20"/>
          <w:szCs w:val="22"/>
          <w:lang w:eastAsia="de-DE"/>
        </w:rPr>
        <w:t>[TOOL_CLASS]</w:t>
      </w:r>
      <w:r w:rsidRPr="003E0D5C">
        <w:rPr>
          <w:rFonts w:ascii="Arial" w:hAnsi="Arial" w:cs="Arial"/>
          <w:iCs/>
          <w:sz w:val="20"/>
          <w:szCs w:val="22"/>
          <w:lang w:eastAsia="de-DE"/>
        </w:rPr>
        <w:fldChar w:fldCharType="end"/>
      </w:r>
      <w:r w:rsidRPr="003E0D5C">
        <w:rPr>
          <w:rFonts w:ascii="Arial" w:hAnsi="Arial" w:cs="Arial"/>
          <w:iCs/>
          <w:sz w:val="20"/>
          <w:szCs w:val="22"/>
          <w:lang w:eastAsia="de-DE"/>
        </w:rPr>
        <w:t>. Dabei werden insbesondere die möglichen Auswirkungen von Toolfehlern auf Entwicklungs- und Verifikationsaktivitäten sowie die Möglichkeiten zur Erkennung solcher Fehler betrachtet.</w:t>
      </w:r>
    </w:p>
    <w:p w14:paraId="4E04F174" w14:textId="77777777"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Für die durch Lieferorganisationen bereitgestellten DFE-Subsysteme IFC-LCSI, OC-DCA3 und OC-AzLM erfolgt die Tool-Klassifizierung im Rahmen der jeweiligen Supplier-Prozesse und Sicherheitsnachweise.</w:t>
      </w:r>
    </w:p>
    <w:p w14:paraId="2EAFC263" w14:textId="59DFE384" w:rsid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 xml:space="preserve">Für die durch das DFE-Projekt entwickelten Interface Converter IFC-ZG62 und IFC-Sbl60A wird die Tool-Klassifizierung entsprechend den Anforderungen der [EN 50716] und den Vorgaben der Tool Classification </w:t>
      </w:r>
      <w:r w:rsidRPr="003E0D5C">
        <w:rPr>
          <w:rFonts w:ascii="Arial" w:hAnsi="Arial" w:cs="Arial"/>
          <w:iCs/>
          <w:sz w:val="20"/>
          <w:szCs w:val="22"/>
          <w:lang w:eastAsia="de-DE"/>
        </w:rPr>
        <w:fldChar w:fldCharType="begin"/>
      </w:r>
      <w:r w:rsidRPr="003E0D5C">
        <w:rPr>
          <w:rFonts w:ascii="Arial" w:hAnsi="Arial" w:cs="Arial"/>
          <w:iCs/>
          <w:sz w:val="20"/>
          <w:szCs w:val="22"/>
          <w:lang w:eastAsia="de-DE"/>
        </w:rPr>
        <w:instrText xml:space="preserve"> REF REF_TOOL_CLASS \h </w:instrText>
      </w:r>
      <w:r>
        <w:rPr>
          <w:rFonts w:ascii="Arial" w:hAnsi="Arial" w:cs="Arial"/>
          <w:iCs/>
          <w:sz w:val="20"/>
          <w:szCs w:val="22"/>
          <w:lang w:eastAsia="de-DE"/>
        </w:rPr>
        <w:instrText xml:space="preserve"> \* MERGEFORMAT </w:instrText>
      </w:r>
      <w:r w:rsidRPr="003E0D5C">
        <w:rPr>
          <w:rFonts w:ascii="Arial" w:hAnsi="Arial" w:cs="Arial"/>
          <w:iCs/>
          <w:sz w:val="20"/>
          <w:szCs w:val="22"/>
          <w:lang w:eastAsia="de-DE"/>
        </w:rPr>
      </w:r>
      <w:r w:rsidRPr="003E0D5C">
        <w:rPr>
          <w:rFonts w:ascii="Arial" w:hAnsi="Arial" w:cs="Arial"/>
          <w:iCs/>
          <w:sz w:val="20"/>
          <w:szCs w:val="22"/>
          <w:lang w:eastAsia="de-DE"/>
        </w:rPr>
        <w:fldChar w:fldCharType="separate"/>
      </w:r>
      <w:r w:rsidRPr="003E0D5C">
        <w:rPr>
          <w:rFonts w:ascii="Arial" w:hAnsi="Arial" w:cs="Arial"/>
          <w:iCs/>
          <w:sz w:val="20"/>
          <w:szCs w:val="22"/>
          <w:lang w:eastAsia="de-DE"/>
        </w:rPr>
        <w:t>[TOOL_CLASS]</w:t>
      </w:r>
      <w:r w:rsidRPr="003E0D5C">
        <w:rPr>
          <w:rFonts w:ascii="Arial" w:hAnsi="Arial" w:cs="Arial"/>
          <w:iCs/>
          <w:sz w:val="20"/>
          <w:szCs w:val="22"/>
          <w:lang w:eastAsia="de-DE"/>
        </w:rPr>
        <w:fldChar w:fldCharType="end"/>
      </w:r>
      <w:r w:rsidRPr="003E0D5C">
        <w:rPr>
          <w:rFonts w:ascii="Arial" w:hAnsi="Arial" w:cs="Arial"/>
          <w:iCs/>
          <w:sz w:val="20"/>
          <w:szCs w:val="22"/>
          <w:lang w:eastAsia="de-DE"/>
        </w:rPr>
        <w:t xml:space="preserve"> durchgeführt.</w:t>
      </w:r>
    </w:p>
    <w:p w14:paraId="6B68A565" w14:textId="77777777" w:rsidR="003E0D5C" w:rsidRPr="003E0D5C" w:rsidRDefault="003E0D5C" w:rsidP="003E0D5C">
      <w:pPr>
        <w:spacing w:line="300" w:lineRule="atLeast"/>
        <w:rPr>
          <w:rFonts w:ascii="Arial" w:hAnsi="Arial" w:cs="Arial"/>
          <w:iCs/>
          <w:sz w:val="20"/>
          <w:szCs w:val="22"/>
          <w:lang w:eastAsia="de-DE"/>
        </w:rPr>
      </w:pPr>
    </w:p>
    <w:p w14:paraId="27C1223D" w14:textId="77777777"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Abhängig von der jeweiligen Tool-Klassifizierung werden geeignete Maßnahmen zur Beherrschung möglicher Toolfehler festgelegt. Hierzu können insbesondere ergänzende Verifikationsmaßnahmen, organisatorische Maßnahmen, Tool-Qualifizierungen oder andere geeignete Nachweise gehören.</w:t>
      </w:r>
    </w:p>
    <w:p w14:paraId="374B4292" w14:textId="77777777" w:rsidR="003E0D5C" w:rsidRPr="003E0D5C" w:rsidRDefault="003E0D5C" w:rsidP="003E0D5C">
      <w:pPr>
        <w:spacing w:line="300" w:lineRule="atLeast"/>
        <w:rPr>
          <w:rFonts w:ascii="Arial" w:hAnsi="Arial" w:cs="Arial"/>
          <w:iCs/>
          <w:sz w:val="20"/>
          <w:szCs w:val="22"/>
          <w:lang w:eastAsia="de-DE"/>
        </w:rPr>
      </w:pPr>
      <w:r w:rsidRPr="003E0D5C">
        <w:rPr>
          <w:rFonts w:ascii="Arial" w:hAnsi="Arial" w:cs="Arial"/>
          <w:iCs/>
          <w:sz w:val="20"/>
          <w:szCs w:val="22"/>
          <w:lang w:eastAsia="de-DE"/>
        </w:rPr>
        <w:t>Die Ergebnisse der Tool-Klassifizierung sowie die Begründung der eingesetzten Maßnahmen werden in den jeweiligen Entwicklungs-, Verifikations- und Sicherheitsnachweisen der DFE-Subsysteme dokumentiert.</w:t>
      </w:r>
    </w:p>
    <w:p w14:paraId="061525E9" w14:textId="77777777" w:rsidR="00EC1932" w:rsidRPr="002A6A8C" w:rsidRDefault="00EC1932" w:rsidP="00181FA8">
      <w:pPr>
        <w:pStyle w:val="Paragraph"/>
        <w:rPr>
          <w:lang w:val="de-AT"/>
        </w:rPr>
      </w:pPr>
    </w:p>
    <w:p w14:paraId="279441B3" w14:textId="3F952A90" w:rsidR="002F4B7D" w:rsidRPr="002A6A8C" w:rsidRDefault="0072035B" w:rsidP="002F4B7D">
      <w:pPr>
        <w:pStyle w:val="Heading4"/>
        <w:rPr>
          <w:lang w:val="de-AT"/>
        </w:rPr>
      </w:pPr>
      <w:r w:rsidRPr="002A6A8C">
        <w:rPr>
          <w:lang w:val="de-AT"/>
        </w:rPr>
        <w:t>Grundlagen der Sicherheit der Projektierung und Verifikation von Anwendungsdaten</w:t>
      </w:r>
    </w:p>
    <w:p w14:paraId="593B203A" w14:textId="22B82B30"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 xml:space="preserve">Die allgemeinen Grundsätze zur Projektierung und Verifikation von Anwendungsdaten sind im Safety Concept Generic Application Digital Interlocking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3E0D5C">
        <w:rPr>
          <w:rFonts w:ascii="Arial" w:hAnsi="Arial" w:cs="Arial"/>
          <w:iCs/>
          <w:sz w:val="20"/>
          <w:szCs w:val="22"/>
          <w:lang w:eastAsia="de-DE"/>
        </w:rPr>
        <w:t>[SC DIL]</w:t>
      </w:r>
      <w:r>
        <w:rPr>
          <w:rFonts w:ascii="Arial" w:hAnsi="Arial" w:cs="Arial"/>
          <w:iCs/>
          <w:sz w:val="20"/>
          <w:szCs w:val="22"/>
          <w:lang w:eastAsia="de-DE"/>
        </w:rPr>
        <w:fldChar w:fldCharType="end"/>
      </w:r>
      <w:r w:rsidRPr="003E0D5C">
        <w:rPr>
          <w:rFonts w:ascii="Arial" w:hAnsi="Arial" w:cs="Arial"/>
          <w:iCs/>
          <w:sz w:val="20"/>
          <w:szCs w:val="22"/>
          <w:lang w:eastAsia="de-DE"/>
        </w:rPr>
        <w:t xml:space="preserve"> beschrieben und werden für das technische Projekt DFE entsprechend angewendet.</w:t>
      </w:r>
    </w:p>
    <w:p w14:paraId="3E901005"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Anwendungsdaten umfassen alle projekt- und anwendungsspezifischen Daten, Parameter und Konfigurationen, welche das Verhalten eines DFE-Subsystems beeinflussen oder festlegen. Hierzu gehören insbesondere Konfigurationsdaten, Schnittstellenparameter sowie projektspezifische Zuordnungen von Feldsystemen und DFE-Subsystemen.</w:t>
      </w:r>
    </w:p>
    <w:p w14:paraId="5C0742BD"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Zwischen generischen Komponenten und projektspezifischen Anwendungsdaten ist eine eindeutige Trennung sicherzustellen. Änderungen an Anwendungsdaten dürfen die Integrität der zugrunde liegenden Software, Hardware oder Sicherheitsnachweise nicht beeinträchtigen.</w:t>
      </w:r>
    </w:p>
    <w:p w14:paraId="75765B37"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 xml:space="preserve">Für die durch Lieferorganisationen bereitgestellten DFE-Subsysteme IFC-LCSI, OC-DCA3 und OC-AzLM erfolgt die Projektierung und Verifikation von Anwendungsdaten gemäß den jeweiligen Lieferantenprozessen </w:t>
      </w:r>
      <w:r w:rsidRPr="003E0D5C">
        <w:rPr>
          <w:rFonts w:ascii="Arial" w:hAnsi="Arial" w:cs="Arial"/>
          <w:iCs/>
          <w:sz w:val="20"/>
          <w:szCs w:val="22"/>
          <w:lang w:eastAsia="de-DE"/>
        </w:rPr>
        <w:lastRenderedPageBreak/>
        <w:t>und den zugehörigen Sicherheitsnachweisen. Die Verantwortung für die Nachweisführung verbleibt bei den jeweiligen Lieferorganisationen.</w:t>
      </w:r>
    </w:p>
    <w:p w14:paraId="172D6C11" w14:textId="36F02C45"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 xml:space="preserve">Für die durch das DFE-Projekt entwickelten Interface Converter IFC-ZG62 und IFC-Sbl60A erfolgt die Erstellung, Verifikation und Freigabe der Anwendungsdaten entsprechend den geltenden Projektprozessen sowie den Anforderungen der </w:t>
      </w:r>
      <w:r>
        <w:rPr>
          <w:rFonts w:ascii="Arial" w:hAnsi="Arial" w:cs="Arial"/>
          <w:iCs/>
          <w:sz w:val="20"/>
          <w:szCs w:val="22"/>
          <w:lang w:eastAsia="de-DE"/>
        </w:rPr>
        <w:fldChar w:fldCharType="begin"/>
      </w:r>
      <w:r>
        <w:rPr>
          <w:rFonts w:ascii="Arial" w:hAnsi="Arial" w:cs="Arial"/>
          <w:iCs/>
          <w:sz w:val="20"/>
          <w:szCs w:val="22"/>
          <w:lang w:eastAsia="de-DE"/>
        </w:rPr>
        <w:instrText xml:space="preserve"> REF Cen_50716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3E0D5C">
        <w:rPr>
          <w:rFonts w:ascii="Arial" w:hAnsi="Arial" w:cs="Arial"/>
          <w:iCs/>
          <w:sz w:val="20"/>
          <w:szCs w:val="22"/>
          <w:lang w:eastAsia="de-DE"/>
        </w:rPr>
        <w:t>[EN 50716]</w:t>
      </w:r>
      <w:r>
        <w:rPr>
          <w:rFonts w:ascii="Arial" w:hAnsi="Arial" w:cs="Arial"/>
          <w:iCs/>
          <w:sz w:val="20"/>
          <w:szCs w:val="22"/>
          <w:lang w:eastAsia="de-DE"/>
        </w:rPr>
        <w:fldChar w:fldCharType="end"/>
      </w:r>
      <w:r w:rsidRPr="003E0D5C">
        <w:rPr>
          <w:rFonts w:ascii="Arial" w:hAnsi="Arial" w:cs="Arial"/>
          <w:iCs/>
          <w:sz w:val="20"/>
          <w:szCs w:val="22"/>
          <w:lang w:eastAsia="de-DE"/>
        </w:rPr>
        <w:t>.</w:t>
      </w:r>
    </w:p>
    <w:p w14:paraId="0626FC89"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Für Anwendungsdaten sind geeignete Verfahren zur Erstellung, Verifikation, Freigabe und Konfigurationsverwaltung anzuwenden. Die Verfahren müssen sicherstellen, dass fehlerhafte, unvollständige oder inkonsistente Anwendungsdaten erkannt werden und nicht zu einer Gefährdung des sicheren Betriebs führen können.</w:t>
      </w:r>
    </w:p>
    <w:p w14:paraId="080DD0FB"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Verifikation der Anwendungsdaten erfolgt unter Berücksichtigung der jeweiligen Sicherheitsanforderungen, Schnittstellenbedingungen, Safety Related Application Conditions (SRACs) sowie der vorgesehenen Systemkonfigurationen.</w:t>
      </w:r>
    </w:p>
    <w:p w14:paraId="0147B8DB" w14:textId="2B2294A5" w:rsidR="00EC1932" w:rsidRPr="00EC1932"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Ergebnisse der Projektierung und Verifikation von Anwendungsdaten bilden eine Grundlage für die Integrationsbewertungen sowie die Definition zulässiger Konfigurationsvarianten innerhalb der DFE-Architektur und der Generic Application Digital Interlocking (GA DIL-ÖBB)</w:t>
      </w:r>
    </w:p>
    <w:p w14:paraId="3A4D391D" w14:textId="41E6FB35" w:rsidR="005F5972" w:rsidRPr="00EC1932" w:rsidRDefault="005F5972" w:rsidP="00EC1932">
      <w:pPr>
        <w:pStyle w:val="ULbullet1"/>
        <w:numPr>
          <w:ilvl w:val="0"/>
          <w:numId w:val="0"/>
        </w:numPr>
        <w:ind w:left="425"/>
        <w:rPr>
          <w:lang w:val="de-AT"/>
        </w:rPr>
      </w:pPr>
    </w:p>
    <w:p w14:paraId="59DAFFB9" w14:textId="3A579A20" w:rsidR="002F4B7D" w:rsidRPr="00EC1932" w:rsidRDefault="00901A38" w:rsidP="002F4B7D">
      <w:pPr>
        <w:pStyle w:val="Heading4"/>
        <w:rPr>
          <w:lang w:val="de-AT"/>
        </w:rPr>
      </w:pPr>
      <w:bookmarkStart w:id="125" w:name="_Toc222738077"/>
      <w:r w:rsidRPr="00EC1932">
        <w:rPr>
          <w:lang w:val="de-AT"/>
        </w:rPr>
        <w:t>Grundlagen</w:t>
      </w:r>
      <w:r w:rsidR="00E27EF7" w:rsidRPr="00EC1932">
        <w:rPr>
          <w:lang w:val="de-AT"/>
        </w:rPr>
        <w:t xml:space="preserve"> für die Integration von Systemen</w:t>
      </w:r>
      <w:bookmarkEnd w:id="125"/>
    </w:p>
    <w:p w14:paraId="64F0B002" w14:textId="7C17EAD2"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 xml:space="preserve">Die allgemeinen Grundsätze für die Integration von Systemen sind im Safety Concept der Generic Application Digital Interlocking (GA DIL), </w:t>
      </w:r>
      <w:r>
        <w:rPr>
          <w:rFonts w:ascii="Arial" w:hAnsi="Arial" w:cs="Arial"/>
          <w:iCs/>
          <w:sz w:val="20"/>
          <w:szCs w:val="22"/>
          <w:lang w:eastAsia="de-DE"/>
        </w:rPr>
        <w:fldChar w:fldCharType="begin"/>
      </w:r>
      <w:r>
        <w:rPr>
          <w:rFonts w:ascii="Arial" w:hAnsi="Arial" w:cs="Arial"/>
          <w:iCs/>
          <w:sz w:val="20"/>
          <w:szCs w:val="22"/>
          <w:lang w:eastAsia="de-DE"/>
        </w:rPr>
        <w:instrText xml:space="preserve"> REF REF_SC_DIL \h  \* MERGEFORMAT </w:instrText>
      </w:r>
      <w:r>
        <w:rPr>
          <w:rFonts w:ascii="Arial" w:hAnsi="Arial" w:cs="Arial"/>
          <w:iCs/>
          <w:sz w:val="20"/>
          <w:szCs w:val="22"/>
          <w:lang w:eastAsia="de-DE"/>
        </w:rPr>
      </w:r>
      <w:r>
        <w:rPr>
          <w:rFonts w:ascii="Arial" w:hAnsi="Arial" w:cs="Arial"/>
          <w:iCs/>
          <w:sz w:val="20"/>
          <w:szCs w:val="22"/>
          <w:lang w:eastAsia="de-DE"/>
        </w:rPr>
        <w:fldChar w:fldCharType="separate"/>
      </w:r>
      <w:r w:rsidRPr="003E0D5C">
        <w:rPr>
          <w:rFonts w:ascii="Arial" w:hAnsi="Arial" w:cs="Arial"/>
          <w:iCs/>
          <w:sz w:val="20"/>
          <w:szCs w:val="22"/>
          <w:lang w:eastAsia="de-DE"/>
        </w:rPr>
        <w:t>[SC DIL]</w:t>
      </w:r>
      <w:r>
        <w:rPr>
          <w:rFonts w:ascii="Arial" w:hAnsi="Arial" w:cs="Arial"/>
          <w:iCs/>
          <w:sz w:val="20"/>
          <w:szCs w:val="22"/>
          <w:lang w:eastAsia="de-DE"/>
        </w:rPr>
        <w:fldChar w:fldCharType="end"/>
      </w:r>
      <w:r w:rsidRPr="003E0D5C">
        <w:rPr>
          <w:rFonts w:ascii="Arial" w:hAnsi="Arial" w:cs="Arial"/>
          <w:iCs/>
          <w:sz w:val="20"/>
          <w:szCs w:val="22"/>
          <w:lang w:eastAsia="de-DE"/>
        </w:rPr>
        <w:t>, beschrieben und werden für das technische Projekt DFE entsprechend angewendet.</w:t>
      </w:r>
    </w:p>
    <w:p w14:paraId="009D3A03"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DFE-Architektur besteht aus mehreren DFE-Subsystemen sowie extern bereitgestellten Systemen, welche gemeinsam die für den Betrieb der Generic Application Digital Interlocking (GA DIL) erforderlichen Funktionen bereitstellen. Die sichere Integration dieser Systeme stellt einen wesentlichen Bestandteil der Sicherheitsnachweisführung dar.</w:t>
      </w:r>
    </w:p>
    <w:p w14:paraId="2AC72D2E"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Grundlage der Integration sind die jeweiligen Sicherheitsnachweise der DFE-Subsysteme, die zugehörigen Hazard Logs, Safety Related Application Conditions (SRACs), Schnittstellenspezifikationen sowie die bereitgestellten Lieferantennachweise.</w:t>
      </w:r>
    </w:p>
    <w:p w14:paraId="361CF802"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Für die durch Lieferorganisationen bereitgestellten DFE-Subsysteme IFC-LCSI, OC-DCA3 und OC-AzLM erfolgt die Nachweisführung der Produktsicherheit durch die jeweiligen Supplier Safety Cases. Die Verantwortung für Entwicklung, Verifikation, Validierung und Produktsicherheitsnachweis verbleibt bei den jeweiligen Lieferorganisationen.</w:t>
      </w:r>
    </w:p>
    <w:p w14:paraId="10632FD8"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Verantwortung des technischen Projekts DFE umfasst die Bewertung der Integrationsvoraussetzungen sowie den Nachweis der sicheren Integration der DFE-Subsysteme innerhalb der DFE-Architektur. Hierzu gehören insbesondere:</w:t>
      </w:r>
    </w:p>
    <w:p w14:paraId="482F3BCC" w14:textId="77777777" w:rsidR="003E0D5C" w:rsidRPr="003E0D5C" w:rsidRDefault="003E0D5C" w:rsidP="00362C69">
      <w:pPr>
        <w:numPr>
          <w:ilvl w:val="0"/>
          <w:numId w:val="36"/>
        </w:num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lastRenderedPageBreak/>
        <w:t>die Bewertung von Schnittstellen zwischen den DFE-Subsystemen,</w:t>
      </w:r>
    </w:p>
    <w:p w14:paraId="5715E224" w14:textId="77777777" w:rsidR="003E0D5C" w:rsidRPr="003E0D5C" w:rsidRDefault="003E0D5C" w:rsidP="00362C69">
      <w:pPr>
        <w:numPr>
          <w:ilvl w:val="0"/>
          <w:numId w:val="36"/>
        </w:num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Berücksichtigung der jeweiligen Sicherheitsannahmen und SRACs,</w:t>
      </w:r>
    </w:p>
    <w:p w14:paraId="7D916188" w14:textId="77777777" w:rsidR="003E0D5C" w:rsidRPr="003E0D5C" w:rsidRDefault="003E0D5C" w:rsidP="00362C69">
      <w:pPr>
        <w:numPr>
          <w:ilvl w:val="0"/>
          <w:numId w:val="36"/>
        </w:num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Bewertung der Hardware-, Infrastruktur- und Umgebungsanforderungen,</w:t>
      </w:r>
    </w:p>
    <w:p w14:paraId="4D57922C" w14:textId="77777777" w:rsidR="003E0D5C" w:rsidRPr="003E0D5C" w:rsidRDefault="003E0D5C" w:rsidP="00362C69">
      <w:pPr>
        <w:numPr>
          <w:ilvl w:val="0"/>
          <w:numId w:val="36"/>
        </w:num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Bewertung der Kommunikations- und Integrationsschnittstellen,</w:t>
      </w:r>
    </w:p>
    <w:p w14:paraId="338F6DE3" w14:textId="77777777" w:rsidR="003E0D5C" w:rsidRPr="003E0D5C" w:rsidRDefault="003E0D5C" w:rsidP="00362C69">
      <w:pPr>
        <w:numPr>
          <w:ilvl w:val="0"/>
          <w:numId w:val="36"/>
        </w:num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sowie die Durchführung von Integrations-, Verifikations- und Qualifikationsaktivitäten.</w:t>
      </w:r>
    </w:p>
    <w:p w14:paraId="20777762" w14:textId="39A3DC94"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 xml:space="preserve">Die Field Element Stations (FES) stellen die für den Betrieb der DFE-Subsysteme erforderliche Infrastruktur bereit. Im Rahmen der Integration ist nachzuweisen, dass die Hardware-, Infrastruktur- und Umgebungsanforderungen der jeweiligen DFE-Subsysteme erfüllt werden. Diese Integrationsbeziehungen sind in </w:t>
      </w:r>
      <w:r w:rsidR="005659DB">
        <w:rPr>
          <w:rFonts w:ascii="Arial" w:hAnsi="Arial" w:cs="Arial"/>
          <w:iCs/>
          <w:sz w:val="20"/>
          <w:szCs w:val="22"/>
          <w:lang w:eastAsia="de-DE"/>
        </w:rPr>
        <w:fldChar w:fldCharType="begin"/>
      </w:r>
      <w:r w:rsidR="005659DB">
        <w:rPr>
          <w:rFonts w:ascii="Arial" w:hAnsi="Arial" w:cs="Arial"/>
          <w:iCs/>
          <w:sz w:val="20"/>
          <w:szCs w:val="22"/>
          <w:lang w:eastAsia="de-DE"/>
        </w:rPr>
        <w:instrText xml:space="preserve"> REF _Ref237613863 \h  \* MERGEFORMAT </w:instrText>
      </w:r>
      <w:r w:rsidR="005659DB">
        <w:rPr>
          <w:rFonts w:ascii="Arial" w:hAnsi="Arial" w:cs="Arial"/>
          <w:iCs/>
          <w:sz w:val="20"/>
          <w:szCs w:val="22"/>
          <w:lang w:eastAsia="de-DE"/>
        </w:rPr>
      </w:r>
      <w:r w:rsidR="005659DB">
        <w:rPr>
          <w:rFonts w:ascii="Arial" w:hAnsi="Arial" w:cs="Arial"/>
          <w:iCs/>
          <w:sz w:val="20"/>
          <w:szCs w:val="22"/>
          <w:lang w:eastAsia="de-DE"/>
        </w:rPr>
        <w:fldChar w:fldCharType="separate"/>
      </w:r>
      <w:r w:rsidR="005659DB" w:rsidRPr="005659DB">
        <w:rPr>
          <w:rFonts w:ascii="Arial" w:hAnsi="Arial" w:cs="Arial"/>
          <w:iCs/>
          <w:sz w:val="20"/>
          <w:szCs w:val="22"/>
          <w:lang w:eastAsia="de-DE"/>
        </w:rPr>
        <w:t>Abbildung 1</w:t>
      </w:r>
      <w:r w:rsidR="005659DB">
        <w:rPr>
          <w:rFonts w:ascii="Arial" w:hAnsi="Arial" w:cs="Arial"/>
          <w:iCs/>
          <w:sz w:val="20"/>
          <w:szCs w:val="22"/>
          <w:lang w:eastAsia="de-DE"/>
        </w:rPr>
        <w:fldChar w:fldCharType="end"/>
      </w:r>
      <w:r w:rsidR="005659DB">
        <w:rPr>
          <w:rFonts w:ascii="Arial" w:hAnsi="Arial" w:cs="Arial"/>
          <w:iCs/>
          <w:sz w:val="20"/>
          <w:szCs w:val="22"/>
          <w:lang w:eastAsia="de-DE"/>
        </w:rPr>
        <w:t xml:space="preserve"> </w:t>
      </w:r>
      <w:r w:rsidRPr="003E0D5C">
        <w:rPr>
          <w:rFonts w:ascii="Arial" w:hAnsi="Arial" w:cs="Arial"/>
          <w:iCs/>
          <w:sz w:val="20"/>
          <w:szCs w:val="22"/>
          <w:lang w:eastAsia="de-DE"/>
        </w:rPr>
        <w:t>durch die Beziehungen „Fulfillment of HW Requirements“ dargestellt.</w:t>
      </w:r>
    </w:p>
    <w:p w14:paraId="222B9CE1" w14:textId="77777777" w:rsidR="003E0D5C" w:rsidRPr="003E0D5C" w:rsidRDefault="003E0D5C" w:rsidP="003E0D5C">
      <w:pPr>
        <w:spacing w:before="100" w:beforeAutospacing="1" w:after="100" w:afterAutospacing="1" w:line="300" w:lineRule="atLeast"/>
        <w:rPr>
          <w:rFonts w:ascii="Arial" w:hAnsi="Arial" w:cs="Arial"/>
          <w:iCs/>
          <w:sz w:val="20"/>
          <w:szCs w:val="22"/>
          <w:lang w:eastAsia="de-DE"/>
        </w:rPr>
      </w:pPr>
      <w:r w:rsidRPr="003E0D5C">
        <w:rPr>
          <w:rFonts w:ascii="Arial" w:hAnsi="Arial" w:cs="Arial"/>
          <w:iCs/>
          <w:sz w:val="20"/>
          <w:szCs w:val="22"/>
          <w:lang w:eastAsia="de-DE"/>
        </w:rPr>
        <w:t>Die Ergebnisse der Integrationsbewertungen bilden gemeinsam mit den Sicherheitsnachweisen der DFE-Subsysteme und den Lieferantennachweisen die Grundlage für die Definition und Bewertung zulässiger Konfigurationsvarianten innerhalb der DFE-Architektur sowie der Generic Application Digital Interlocking (GA DIL-ÖBB).</w:t>
      </w:r>
    </w:p>
    <w:p w14:paraId="5B77305A" w14:textId="27FBA9DF" w:rsidR="00D3696D" w:rsidRPr="002415B5" w:rsidRDefault="00310469">
      <w:pPr>
        <w:pStyle w:val="Heading3"/>
        <w:keepLines w:val="0"/>
        <w:tabs>
          <w:tab w:val="left" w:pos="885"/>
          <w:tab w:val="num" w:pos="1080"/>
        </w:tabs>
        <w:spacing w:before="360" w:after="120" w:line="240" w:lineRule="auto"/>
        <w:ind w:left="0" w:firstLine="0"/>
      </w:pPr>
      <w:bookmarkStart w:id="126" w:name="_Ref530110117"/>
      <w:bookmarkStart w:id="127" w:name="_Toc242167536"/>
      <w:r w:rsidRPr="002415B5">
        <w:lastRenderedPageBreak/>
        <w:t xml:space="preserve">Beherrschung von </w:t>
      </w:r>
      <w:r w:rsidR="0083585D" w:rsidRPr="002415B5">
        <w:t>Gefährdung</w:t>
      </w:r>
      <w:bookmarkEnd w:id="126"/>
      <w:r w:rsidRPr="002415B5">
        <w:t>en</w:t>
      </w:r>
      <w:bookmarkEnd w:id="127"/>
    </w:p>
    <w:p w14:paraId="51F68949" w14:textId="77777777" w:rsidR="00161ED9" w:rsidRPr="00161ED9" w:rsidRDefault="00161ED9" w:rsidP="00161ED9">
      <w:pPr>
        <w:pStyle w:val="Text"/>
        <w:keepNext/>
        <w:ind w:left="0"/>
        <w:rPr>
          <w:rFonts w:cs="Arial"/>
          <w:iCs/>
          <w:sz w:val="20"/>
          <w:szCs w:val="22"/>
          <w:lang w:val="de-AT" w:eastAsia="de-DE"/>
        </w:rPr>
      </w:pPr>
      <w:r w:rsidRPr="00161ED9">
        <w:rPr>
          <w:rFonts w:cs="Arial"/>
          <w:iCs/>
          <w:sz w:val="20"/>
          <w:szCs w:val="22"/>
          <w:lang w:val="de-AT" w:eastAsia="de-DE"/>
        </w:rPr>
        <w:t>Die allgemeinen Grundsätze zur Beherrschung von Gefährdungen sind im Safety Concept der Generic Application Digital Interlocking (GA DIL), [SC DIL], beschrieben und werden für das technische Projekt DFE entsprechend angewendet.</w:t>
      </w:r>
    </w:p>
    <w:p w14:paraId="11F29142" w14:textId="77777777" w:rsidR="00161ED9" w:rsidRPr="00161ED9" w:rsidRDefault="00161ED9" w:rsidP="00161ED9">
      <w:pPr>
        <w:pStyle w:val="Text"/>
        <w:keepNext/>
        <w:ind w:left="0"/>
        <w:rPr>
          <w:rFonts w:cs="Arial"/>
          <w:iCs/>
          <w:sz w:val="20"/>
          <w:szCs w:val="22"/>
          <w:lang w:val="de-AT" w:eastAsia="de-DE"/>
        </w:rPr>
      </w:pPr>
      <w:r w:rsidRPr="00161ED9">
        <w:rPr>
          <w:rFonts w:cs="Arial"/>
          <w:iCs/>
          <w:sz w:val="20"/>
          <w:szCs w:val="22"/>
          <w:lang w:val="de-AT" w:eastAsia="de-DE"/>
        </w:rPr>
        <w:t>Die Beherrschung von Gefährdungen erfolgt grundsätzlich auf der Ebene desjenigen DFE-Subsystems, in welchem die jeweilige Gefährdung entsteht oder erkannt werden kann. Die zugehörigen Sicherheitsmaßnahmen und Sicherheitsnachweise werden im jeweiligen Sicherheitsnachweis des betroffenen DFE-Subsystems beschrieben.</w:t>
      </w:r>
    </w:p>
    <w:p w14:paraId="2871A57D" w14:textId="77777777" w:rsidR="00161ED9" w:rsidRPr="00161ED9" w:rsidRDefault="00161ED9" w:rsidP="00161ED9">
      <w:pPr>
        <w:pStyle w:val="Text"/>
        <w:keepNext/>
        <w:ind w:left="0"/>
        <w:rPr>
          <w:rFonts w:cs="Arial"/>
          <w:iCs/>
          <w:sz w:val="20"/>
          <w:szCs w:val="22"/>
          <w:lang w:val="de-AT" w:eastAsia="de-DE"/>
        </w:rPr>
      </w:pPr>
      <w:r w:rsidRPr="00161ED9">
        <w:rPr>
          <w:rFonts w:cs="Arial"/>
          <w:iCs/>
          <w:sz w:val="20"/>
          <w:szCs w:val="22"/>
          <w:lang w:val="de-AT" w:eastAsia="de-DE"/>
        </w:rPr>
        <w:t>Für die durch Lieferorganisationen bereitgestellten DFE-Subsysteme IFC-LCSI, OC-DCA3 und OC-AzLM erfolgt die Identifikation, Bewertung und Beherrschung von Gefährdungen im Rahmen der jeweiligen Supplier Safety Cases, Hazard Logs und zugehörigen Sicherheitsnachweise. Die Verantwortung für die Beherrschung produktspezifischer Gefährdungen verbleibt bei den jeweiligen Lieferorganisationen.</w:t>
      </w:r>
    </w:p>
    <w:p w14:paraId="6349D584" w14:textId="3E886D2C" w:rsidR="00161ED9" w:rsidRPr="00161ED9" w:rsidRDefault="00161ED9" w:rsidP="00161ED9">
      <w:pPr>
        <w:pStyle w:val="Text"/>
        <w:keepNext/>
        <w:ind w:left="0"/>
        <w:rPr>
          <w:rFonts w:cs="Arial"/>
          <w:iCs/>
          <w:sz w:val="20"/>
          <w:szCs w:val="22"/>
          <w:lang w:val="de-AT" w:eastAsia="de-DE"/>
        </w:rPr>
      </w:pPr>
      <w:r w:rsidRPr="00161ED9">
        <w:rPr>
          <w:rFonts w:cs="Arial"/>
          <w:iCs/>
          <w:sz w:val="20"/>
          <w:szCs w:val="22"/>
          <w:lang w:val="de-AT" w:eastAsia="de-DE"/>
        </w:rPr>
        <w:t xml:space="preserve">Für die durch das DFE-Projekt entwickelten Interface Converter IFC-ZG62 und IFC-Sbl60A erfolgt die Identifikation, Bewertung und Beherrschung von Gefährdungen im Rahmen der jeweiligen Subsystem-Sicherheitsnachweise. Die eingesetzten Sicherheitsmaßnahmen werden entsprechend den Anforderungen der </w:t>
      </w:r>
      <w:r>
        <w:rPr>
          <w:rFonts w:cs="Arial"/>
          <w:iCs/>
          <w:sz w:val="20"/>
          <w:szCs w:val="22"/>
          <w:lang w:val="de-AT" w:eastAsia="de-DE"/>
        </w:rPr>
        <w:fldChar w:fldCharType="begin"/>
      </w:r>
      <w:r>
        <w:rPr>
          <w:rFonts w:cs="Arial"/>
          <w:iCs/>
          <w:sz w:val="20"/>
          <w:szCs w:val="22"/>
          <w:lang w:val="de-AT" w:eastAsia="de-DE"/>
        </w:rPr>
        <w:instrText xml:space="preserve"> REF Cen_50129 \h  \* MERGEFORMAT </w:instrText>
      </w:r>
      <w:r>
        <w:rPr>
          <w:rFonts w:cs="Arial"/>
          <w:iCs/>
          <w:sz w:val="20"/>
          <w:szCs w:val="22"/>
          <w:lang w:val="de-AT" w:eastAsia="de-DE"/>
        </w:rPr>
      </w:r>
      <w:r>
        <w:rPr>
          <w:rFonts w:cs="Arial"/>
          <w:iCs/>
          <w:sz w:val="20"/>
          <w:szCs w:val="22"/>
          <w:lang w:val="de-AT" w:eastAsia="de-DE"/>
        </w:rPr>
        <w:fldChar w:fldCharType="separate"/>
      </w:r>
      <w:r w:rsidRPr="00161ED9">
        <w:rPr>
          <w:rFonts w:cs="Arial"/>
          <w:iCs/>
          <w:sz w:val="20"/>
          <w:szCs w:val="22"/>
          <w:lang w:val="de-AT" w:eastAsia="de-DE"/>
        </w:rPr>
        <w:t>[EN 50129]</w:t>
      </w:r>
      <w:r>
        <w:rPr>
          <w:rFonts w:cs="Arial"/>
          <w:iCs/>
          <w:sz w:val="20"/>
          <w:szCs w:val="22"/>
          <w:lang w:val="de-AT" w:eastAsia="de-DE"/>
        </w:rPr>
        <w:fldChar w:fldCharType="end"/>
      </w:r>
      <w:r w:rsidRPr="00161ED9">
        <w:rPr>
          <w:rFonts w:cs="Arial"/>
          <w:iCs/>
          <w:sz w:val="20"/>
          <w:szCs w:val="22"/>
          <w:lang w:val="de-AT" w:eastAsia="de-DE"/>
        </w:rPr>
        <w:t xml:space="preserve"> und </w:t>
      </w:r>
      <w:r>
        <w:rPr>
          <w:rFonts w:cs="Arial"/>
          <w:iCs/>
          <w:sz w:val="20"/>
          <w:szCs w:val="22"/>
          <w:lang w:val="de-AT" w:eastAsia="de-DE"/>
        </w:rPr>
        <w:fldChar w:fldCharType="begin"/>
      </w:r>
      <w:r>
        <w:rPr>
          <w:rFonts w:cs="Arial"/>
          <w:iCs/>
          <w:sz w:val="20"/>
          <w:szCs w:val="22"/>
          <w:lang w:val="de-AT" w:eastAsia="de-DE"/>
        </w:rPr>
        <w:instrText xml:space="preserve"> REF Cen_50716 \h  \* MERGEFORMAT </w:instrText>
      </w:r>
      <w:r>
        <w:rPr>
          <w:rFonts w:cs="Arial"/>
          <w:iCs/>
          <w:sz w:val="20"/>
          <w:szCs w:val="22"/>
          <w:lang w:val="de-AT" w:eastAsia="de-DE"/>
        </w:rPr>
      </w:r>
      <w:r>
        <w:rPr>
          <w:rFonts w:cs="Arial"/>
          <w:iCs/>
          <w:sz w:val="20"/>
          <w:szCs w:val="22"/>
          <w:lang w:val="de-AT" w:eastAsia="de-DE"/>
        </w:rPr>
        <w:fldChar w:fldCharType="separate"/>
      </w:r>
      <w:r w:rsidRPr="00161ED9">
        <w:rPr>
          <w:rFonts w:cs="Arial"/>
          <w:iCs/>
          <w:sz w:val="20"/>
          <w:szCs w:val="22"/>
          <w:lang w:val="de-AT" w:eastAsia="de-DE"/>
        </w:rPr>
        <w:t>[EN 50716]</w:t>
      </w:r>
      <w:r>
        <w:rPr>
          <w:rFonts w:cs="Arial"/>
          <w:iCs/>
          <w:sz w:val="20"/>
          <w:szCs w:val="22"/>
          <w:lang w:val="de-AT" w:eastAsia="de-DE"/>
        </w:rPr>
        <w:fldChar w:fldCharType="end"/>
      </w:r>
      <w:r w:rsidRPr="00161ED9">
        <w:rPr>
          <w:rFonts w:cs="Arial"/>
          <w:iCs/>
          <w:sz w:val="20"/>
          <w:szCs w:val="22"/>
          <w:lang w:val="de-AT" w:eastAsia="de-DE"/>
        </w:rPr>
        <w:t xml:space="preserve"> ausgewählt und begründet.</w:t>
      </w:r>
    </w:p>
    <w:p w14:paraId="300838B6" w14:textId="77777777" w:rsidR="00161ED9" w:rsidRPr="00161ED9" w:rsidRDefault="00161ED9" w:rsidP="00161ED9">
      <w:pPr>
        <w:pStyle w:val="Text"/>
        <w:keepNext/>
        <w:ind w:left="0"/>
        <w:rPr>
          <w:rFonts w:cs="Arial"/>
          <w:iCs/>
          <w:sz w:val="20"/>
          <w:szCs w:val="22"/>
          <w:lang w:val="de-AT" w:eastAsia="de-DE"/>
        </w:rPr>
      </w:pPr>
      <w:r w:rsidRPr="00161ED9">
        <w:rPr>
          <w:rFonts w:cs="Arial"/>
          <w:iCs/>
          <w:sz w:val="20"/>
          <w:szCs w:val="22"/>
          <w:lang w:val="de-AT" w:eastAsia="de-DE"/>
        </w:rPr>
        <w:t>Zusätzlich sind Gefährdungen zu betrachten, die sich aus der Integration mehrerer DFE-Subsysteme oder aus deren Schnittstellen ergeben können. Hierzu gehören insbesondere:</w:t>
      </w:r>
    </w:p>
    <w:p w14:paraId="7D86BF89" w14:textId="77777777" w:rsidR="00161ED9" w:rsidRPr="00161ED9" w:rsidRDefault="00161ED9" w:rsidP="00362C69">
      <w:pPr>
        <w:pStyle w:val="Text"/>
        <w:keepNext/>
        <w:numPr>
          <w:ilvl w:val="0"/>
          <w:numId w:val="37"/>
        </w:numPr>
        <w:rPr>
          <w:rFonts w:cs="Arial"/>
          <w:iCs/>
          <w:sz w:val="20"/>
          <w:szCs w:val="22"/>
          <w:lang w:val="de-AT" w:eastAsia="de-DE"/>
        </w:rPr>
      </w:pPr>
      <w:r w:rsidRPr="00161ED9">
        <w:rPr>
          <w:rFonts w:cs="Arial"/>
          <w:iCs/>
          <w:sz w:val="20"/>
          <w:szCs w:val="22"/>
          <w:lang w:val="de-AT" w:eastAsia="de-DE"/>
        </w:rPr>
        <w:t>fehlerhafte Schnittstellenimplementierungen,</w:t>
      </w:r>
    </w:p>
    <w:p w14:paraId="356ED9BD" w14:textId="77777777" w:rsidR="00161ED9" w:rsidRPr="00161ED9" w:rsidRDefault="00161ED9" w:rsidP="00362C69">
      <w:pPr>
        <w:pStyle w:val="Text"/>
        <w:keepNext/>
        <w:numPr>
          <w:ilvl w:val="0"/>
          <w:numId w:val="37"/>
        </w:numPr>
        <w:rPr>
          <w:rFonts w:cs="Arial"/>
          <w:iCs/>
          <w:sz w:val="20"/>
          <w:szCs w:val="22"/>
          <w:lang w:val="de-AT" w:eastAsia="de-DE"/>
        </w:rPr>
      </w:pPr>
      <w:r w:rsidRPr="00161ED9">
        <w:rPr>
          <w:rFonts w:cs="Arial"/>
          <w:iCs/>
          <w:sz w:val="20"/>
          <w:szCs w:val="22"/>
          <w:lang w:val="de-AT" w:eastAsia="de-DE"/>
        </w:rPr>
        <w:t>nicht erfüllte Hardware-, Infrastruktur- oder Umgebungsanforderungen,</w:t>
      </w:r>
    </w:p>
    <w:p w14:paraId="78A401F2" w14:textId="77777777" w:rsidR="00161ED9" w:rsidRPr="00161ED9" w:rsidRDefault="00161ED9" w:rsidP="00362C69">
      <w:pPr>
        <w:pStyle w:val="Text"/>
        <w:keepNext/>
        <w:numPr>
          <w:ilvl w:val="0"/>
          <w:numId w:val="37"/>
        </w:numPr>
        <w:rPr>
          <w:rFonts w:cs="Arial"/>
          <w:iCs/>
          <w:sz w:val="20"/>
          <w:szCs w:val="22"/>
          <w:lang w:val="de-AT" w:eastAsia="de-DE"/>
        </w:rPr>
      </w:pPr>
      <w:r w:rsidRPr="00161ED9">
        <w:rPr>
          <w:rFonts w:cs="Arial"/>
          <w:iCs/>
          <w:sz w:val="20"/>
          <w:szCs w:val="22"/>
          <w:lang w:val="de-AT" w:eastAsia="de-DE"/>
        </w:rPr>
        <w:t>inkonsistente Konfigurationen,</w:t>
      </w:r>
    </w:p>
    <w:p w14:paraId="46EB9C65" w14:textId="77777777" w:rsidR="00161ED9" w:rsidRPr="00161ED9" w:rsidRDefault="00161ED9" w:rsidP="00362C69">
      <w:pPr>
        <w:pStyle w:val="Text"/>
        <w:keepNext/>
        <w:numPr>
          <w:ilvl w:val="0"/>
          <w:numId w:val="37"/>
        </w:numPr>
        <w:rPr>
          <w:rFonts w:cs="Arial"/>
          <w:iCs/>
          <w:sz w:val="20"/>
          <w:szCs w:val="22"/>
          <w:lang w:val="de-AT" w:eastAsia="de-DE"/>
        </w:rPr>
      </w:pPr>
      <w:r w:rsidRPr="00161ED9">
        <w:rPr>
          <w:rFonts w:cs="Arial"/>
          <w:iCs/>
          <w:sz w:val="20"/>
          <w:szCs w:val="22"/>
          <w:lang w:val="de-AT" w:eastAsia="de-DE"/>
        </w:rPr>
        <w:t>nicht berücksichtigte Sicherheitsannahmen,</w:t>
      </w:r>
    </w:p>
    <w:p w14:paraId="57DBB5B7" w14:textId="77777777" w:rsidR="00161ED9" w:rsidRPr="00161ED9" w:rsidRDefault="00161ED9" w:rsidP="00362C69">
      <w:pPr>
        <w:pStyle w:val="Text"/>
        <w:keepNext/>
        <w:numPr>
          <w:ilvl w:val="0"/>
          <w:numId w:val="37"/>
        </w:numPr>
        <w:rPr>
          <w:rFonts w:cs="Arial"/>
          <w:iCs/>
          <w:sz w:val="20"/>
          <w:szCs w:val="22"/>
          <w:lang w:val="en-US" w:eastAsia="de-DE"/>
        </w:rPr>
      </w:pPr>
      <w:r w:rsidRPr="00161ED9">
        <w:rPr>
          <w:rFonts w:cs="Arial"/>
          <w:iCs/>
          <w:sz w:val="20"/>
          <w:szCs w:val="22"/>
          <w:lang w:val="en-US" w:eastAsia="de-DE"/>
        </w:rPr>
        <w:t>nicht erfüllte Safety Related Application Conditions (SRACs),</w:t>
      </w:r>
    </w:p>
    <w:p w14:paraId="22D72452" w14:textId="77777777" w:rsidR="00161ED9" w:rsidRPr="00161ED9" w:rsidRDefault="00161ED9" w:rsidP="00362C69">
      <w:pPr>
        <w:pStyle w:val="Text"/>
        <w:keepNext/>
        <w:numPr>
          <w:ilvl w:val="0"/>
          <w:numId w:val="37"/>
        </w:numPr>
        <w:rPr>
          <w:rFonts w:cs="Arial"/>
          <w:iCs/>
          <w:sz w:val="20"/>
          <w:szCs w:val="22"/>
          <w:lang w:val="de-AT" w:eastAsia="de-DE"/>
        </w:rPr>
      </w:pPr>
      <w:r w:rsidRPr="00161ED9">
        <w:rPr>
          <w:rFonts w:cs="Arial"/>
          <w:iCs/>
          <w:sz w:val="20"/>
          <w:szCs w:val="22"/>
          <w:lang w:val="de-AT" w:eastAsia="de-DE"/>
        </w:rPr>
        <w:t>sowie Wechselwirkungen zwischen mehreren DFE-Subsystemen.</w:t>
      </w:r>
    </w:p>
    <w:p w14:paraId="35B0E9F2" w14:textId="77777777" w:rsidR="00161ED9" w:rsidRPr="00161ED9" w:rsidRDefault="00161ED9" w:rsidP="00161ED9">
      <w:pPr>
        <w:pStyle w:val="Text"/>
        <w:keepNext/>
        <w:ind w:left="0"/>
        <w:rPr>
          <w:rFonts w:cs="Arial"/>
          <w:iCs/>
          <w:sz w:val="20"/>
          <w:szCs w:val="22"/>
          <w:lang w:val="de-AT" w:eastAsia="de-DE"/>
        </w:rPr>
      </w:pPr>
      <w:r w:rsidRPr="00161ED9">
        <w:rPr>
          <w:rFonts w:cs="Arial"/>
          <w:iCs/>
          <w:sz w:val="20"/>
          <w:szCs w:val="22"/>
          <w:lang w:val="de-AT" w:eastAsia="de-DE"/>
        </w:rPr>
        <w:t>Die Bewertung dieser Gefährdungen erfolgt im Rahmen der Integrationsbewertungen. Die hierfür erforderlichen Integrationsvoraussetzungen sowie die Nachweise zur Erfüllung der Hardware- und Infrastrukturanforderungen werden innerhalb des technischen Projekts DFE erbracht.</w:t>
      </w:r>
    </w:p>
    <w:p w14:paraId="5E38DA71" w14:textId="77777777" w:rsidR="00161ED9" w:rsidRDefault="00161ED9" w:rsidP="00161ED9">
      <w:pPr>
        <w:pStyle w:val="Text"/>
        <w:keepNext/>
        <w:ind w:left="0"/>
        <w:rPr>
          <w:rFonts w:cs="Arial"/>
          <w:iCs/>
          <w:sz w:val="20"/>
          <w:szCs w:val="22"/>
          <w:lang w:val="de-AT" w:eastAsia="de-DE"/>
        </w:rPr>
      </w:pPr>
      <w:r w:rsidRPr="00161ED9">
        <w:rPr>
          <w:rFonts w:cs="Arial"/>
          <w:iCs/>
          <w:sz w:val="20"/>
          <w:szCs w:val="22"/>
          <w:lang w:val="de-AT" w:eastAsia="de-DE"/>
        </w:rPr>
        <w:t>Die Field Element Stations (FES) führen keine eigenständigen Sicherheitsfunktionen aus. Ihre Rolle bei der Beherrschung von Gefährdungen besteht in der Bereitstellung einer geeigneten Infrastruktur für die DFE-Subsysteme. Hierzu sind die Anforderungen der integrierten DFE-Subsysteme an Energieversorgung, Infrastruktur, Umweltbedingungen und Integration einzuhalten.</w:t>
      </w:r>
    </w:p>
    <w:p w14:paraId="42488AFA" w14:textId="7EBDDB06" w:rsidR="00D3696D" w:rsidRPr="009733D6" w:rsidRDefault="00161ED9" w:rsidP="00161ED9">
      <w:pPr>
        <w:pStyle w:val="Text"/>
        <w:keepNext/>
        <w:ind w:left="0"/>
        <w:rPr>
          <w:highlight w:val="yellow"/>
          <w:lang w:val="de-AT"/>
        </w:rPr>
      </w:pPr>
      <w:r w:rsidRPr="00161ED9">
        <w:rPr>
          <w:rFonts w:cs="Arial"/>
          <w:iCs/>
          <w:sz w:val="20"/>
          <w:szCs w:val="22"/>
          <w:lang w:val="de-AT" w:eastAsia="de-DE"/>
        </w:rPr>
        <w:lastRenderedPageBreak/>
        <w:t>Die Ergebnisse der Gefährdungsanalysen, Sicherheitsnachweise und Integrationsbewertungen bilden die Grundlage für die Definition und Bewertung zulässiger Konfigurationsvarianten innerhalb der DFE-Architektur und der Generic Application Digital Interlocking (GA DIL-ÖBB).</w:t>
      </w:r>
    </w:p>
    <w:p w14:paraId="74086758" w14:textId="77777777" w:rsidR="00D3696D" w:rsidRPr="00092B10" w:rsidRDefault="0083585D">
      <w:pPr>
        <w:pStyle w:val="Heading1"/>
      </w:pPr>
      <w:bookmarkStart w:id="128" w:name="_Quality_Management_Report"/>
      <w:bookmarkStart w:id="129" w:name="_Ref224127090"/>
      <w:bookmarkStart w:id="130" w:name="_Toc242167537"/>
      <w:bookmarkEnd w:id="128"/>
      <w:commentRangeStart w:id="131"/>
      <w:commentRangeStart w:id="132"/>
      <w:commentRangeStart w:id="133"/>
      <w:commentRangeStart w:id="134"/>
      <w:commentRangeStart w:id="135"/>
      <w:commentRangeStart w:id="136"/>
      <w:commentRangeStart w:id="137"/>
      <w:r w:rsidRPr="00092B10">
        <w:lastRenderedPageBreak/>
        <w:t>SICHERHEITSSTRATEGIE</w:t>
      </w:r>
      <w:bookmarkEnd w:id="129"/>
      <w:bookmarkEnd w:id="130"/>
      <w:commentRangeEnd w:id="137"/>
      <w:r w:rsidR="00ED251A" w:rsidRPr="00092B10">
        <w:rPr>
          <w:rStyle w:val="CommentReference"/>
          <w:sz w:val="28"/>
        </w:rPr>
        <w:commentReference w:id="137"/>
      </w:r>
      <w:commentRangeEnd w:id="136"/>
      <w:r w:rsidR="007453E9" w:rsidRPr="00092B10">
        <w:rPr>
          <w:rStyle w:val="CommentReference"/>
          <w:sz w:val="28"/>
        </w:rPr>
        <w:commentReference w:id="136"/>
      </w:r>
      <w:commentRangeEnd w:id="131"/>
      <w:r w:rsidR="0011396A" w:rsidRPr="00092B10">
        <w:rPr>
          <w:rStyle w:val="CommentReference"/>
          <w:sz w:val="28"/>
        </w:rPr>
        <w:commentReference w:id="131"/>
      </w:r>
      <w:commentRangeEnd w:id="132"/>
      <w:r w:rsidR="0011396A" w:rsidRPr="00092B10">
        <w:rPr>
          <w:rStyle w:val="CommentReference"/>
          <w:sz w:val="28"/>
        </w:rPr>
        <w:commentReference w:id="132"/>
      </w:r>
      <w:commentRangeEnd w:id="133"/>
      <w:r w:rsidR="0011396A" w:rsidRPr="00092B10">
        <w:rPr>
          <w:rStyle w:val="CommentReference"/>
          <w:sz w:val="28"/>
        </w:rPr>
        <w:commentReference w:id="133"/>
      </w:r>
      <w:commentRangeEnd w:id="134"/>
      <w:r w:rsidR="0011396A" w:rsidRPr="00092B10">
        <w:rPr>
          <w:rStyle w:val="CommentReference"/>
          <w:sz w:val="28"/>
        </w:rPr>
        <w:commentReference w:id="134"/>
      </w:r>
      <w:commentRangeEnd w:id="135"/>
      <w:r w:rsidR="0011396A" w:rsidRPr="00092B10">
        <w:rPr>
          <w:rStyle w:val="CommentReference"/>
          <w:sz w:val="28"/>
        </w:rPr>
        <w:commentReference w:id="135"/>
      </w:r>
    </w:p>
    <w:p w14:paraId="75A0FD84" w14:textId="29A60A62" w:rsidR="00A935F7" w:rsidRPr="00A935F7" w:rsidRDefault="00A935F7" w:rsidP="00A935F7">
      <w:pPr>
        <w:spacing w:before="100" w:beforeAutospacing="1" w:after="100" w:afterAutospacing="1" w:line="300" w:lineRule="atLeast"/>
        <w:rPr>
          <w:rFonts w:ascii="Arial" w:hAnsi="Arial" w:cs="Arial"/>
          <w:iCs/>
          <w:sz w:val="20"/>
          <w:szCs w:val="22"/>
          <w:lang w:eastAsia="de-DE"/>
        </w:rPr>
      </w:pPr>
      <w:r w:rsidRPr="00A935F7">
        <w:rPr>
          <w:rFonts w:ascii="Arial" w:hAnsi="Arial" w:cs="Arial"/>
          <w:iCs/>
          <w:sz w:val="20"/>
          <w:szCs w:val="22"/>
          <w:lang w:eastAsia="de-DE"/>
        </w:rPr>
        <w:t xml:space="preserve">Die Sicherheitsstrategie des DFE-Projekts beschreibt die grundlegenden Prinzipien zur Erreichung der in Kapitel </w:t>
      </w:r>
      <w:r>
        <w:rPr>
          <w:rFonts w:ascii="Arial" w:hAnsi="Arial" w:cs="Arial"/>
          <w:iCs/>
          <w:sz w:val="20"/>
          <w:szCs w:val="22"/>
          <w:lang w:eastAsia="de-DE"/>
        </w:rPr>
        <w:fldChar w:fldCharType="begin"/>
      </w:r>
      <w:r>
        <w:rPr>
          <w:rFonts w:ascii="Arial" w:hAnsi="Arial" w:cs="Arial"/>
          <w:iCs/>
          <w:sz w:val="20"/>
          <w:szCs w:val="22"/>
          <w:lang w:eastAsia="de-DE"/>
        </w:rPr>
        <w:instrText xml:space="preserve"> REF _Ref242357248 \r \h  \* MERGEFORMAT </w:instrText>
      </w:r>
      <w:r>
        <w:rPr>
          <w:rFonts w:ascii="Arial" w:hAnsi="Arial" w:cs="Arial"/>
          <w:iCs/>
          <w:sz w:val="20"/>
          <w:szCs w:val="22"/>
          <w:lang w:eastAsia="de-DE"/>
        </w:rPr>
      </w:r>
      <w:r>
        <w:rPr>
          <w:rFonts w:ascii="Arial" w:hAnsi="Arial" w:cs="Arial"/>
          <w:iCs/>
          <w:sz w:val="20"/>
          <w:szCs w:val="22"/>
          <w:lang w:eastAsia="de-DE"/>
        </w:rPr>
        <w:fldChar w:fldCharType="separate"/>
      </w:r>
      <w:r>
        <w:rPr>
          <w:rFonts w:ascii="Arial" w:hAnsi="Arial" w:cs="Arial"/>
          <w:iCs/>
          <w:sz w:val="20"/>
          <w:szCs w:val="22"/>
          <w:lang w:eastAsia="de-DE"/>
        </w:rPr>
        <w:t>3.6</w:t>
      </w:r>
      <w:r>
        <w:rPr>
          <w:rFonts w:ascii="Arial" w:hAnsi="Arial" w:cs="Arial"/>
          <w:iCs/>
          <w:sz w:val="20"/>
          <w:szCs w:val="22"/>
          <w:lang w:eastAsia="de-DE"/>
        </w:rPr>
        <w:fldChar w:fldCharType="end"/>
      </w:r>
      <w:r w:rsidRPr="00A935F7">
        <w:rPr>
          <w:rFonts w:ascii="Arial" w:hAnsi="Arial" w:cs="Arial"/>
          <w:iCs/>
          <w:sz w:val="20"/>
          <w:szCs w:val="22"/>
          <w:lang w:eastAsia="de-DE"/>
        </w:rPr>
        <w:t xml:space="preserve"> definierten Sicherheitsziele. Sie legt fest, wie die Sicherheitsanforderungen auf die einzelnen DFE-Subsysteme angewendet, nachgewiesen und durch geeignete organisatorische und technische Maßnahmen umgesetzt werden.</w:t>
      </w:r>
    </w:p>
    <w:p w14:paraId="49F29EB3" w14:textId="77777777" w:rsidR="00A935F7" w:rsidRPr="00A935F7" w:rsidRDefault="00A935F7" w:rsidP="00A935F7">
      <w:pPr>
        <w:spacing w:before="100" w:beforeAutospacing="1" w:after="100" w:afterAutospacing="1" w:line="300" w:lineRule="atLeast"/>
        <w:rPr>
          <w:rFonts w:ascii="Arial" w:hAnsi="Arial" w:cs="Arial"/>
          <w:iCs/>
          <w:sz w:val="20"/>
          <w:szCs w:val="22"/>
          <w:lang w:eastAsia="de-DE"/>
        </w:rPr>
      </w:pPr>
      <w:r w:rsidRPr="00A935F7">
        <w:rPr>
          <w:rFonts w:ascii="Arial" w:hAnsi="Arial" w:cs="Arial"/>
          <w:iCs/>
          <w:sz w:val="20"/>
          <w:szCs w:val="22"/>
          <w:lang w:eastAsia="de-DE"/>
        </w:rPr>
        <w:t>Die Sicherheitsnachweisführung basiert auf eigenständigen Sicherheitsnachweisen für die DFE-Subsysteme sowie auf der Wiederverwendung vorhandener Sicherheitsnachweise für qualifizierte Komponenten und zugelieferte Systeme. Die jeweiligen Sicherheitsnachweise beschreiben die Sicherheitsfunktionen, Sicherheitsanforderungen, Sicherheitsmaßnahmen und Nachweise der betrachteten DFE-Subsysteme.</w:t>
      </w:r>
    </w:p>
    <w:p w14:paraId="6B2CCCDD" w14:textId="77777777" w:rsidR="00A935F7" w:rsidRPr="00A935F7" w:rsidRDefault="00A935F7" w:rsidP="00A935F7">
      <w:pPr>
        <w:spacing w:before="100" w:beforeAutospacing="1" w:after="100" w:afterAutospacing="1" w:line="300" w:lineRule="atLeast"/>
        <w:rPr>
          <w:rFonts w:ascii="Arial" w:hAnsi="Arial" w:cs="Arial"/>
          <w:iCs/>
          <w:sz w:val="20"/>
          <w:szCs w:val="22"/>
          <w:lang w:eastAsia="de-DE"/>
        </w:rPr>
      </w:pPr>
      <w:r w:rsidRPr="00A935F7">
        <w:rPr>
          <w:rFonts w:ascii="Arial" w:hAnsi="Arial" w:cs="Arial"/>
          <w:iCs/>
          <w:sz w:val="20"/>
          <w:szCs w:val="22"/>
          <w:lang w:eastAsia="de-DE"/>
        </w:rPr>
        <w:t>Für zugelieferte Systeme werden die durch die jeweiligen Lieferorganisationen bereitgestellten Sicherheitsnachweise als Grundlage verwendet. Hierzu gehören insbesondere Safety Cases, Hazard Logs, Safety Related Application Conditions (SRACs) sowie unabhängige Gutachten. Die Verantwortung für die Produktsicherheit dieser Systeme verbleibt bei den jeweiligen Lieferorganisationen.</w:t>
      </w:r>
    </w:p>
    <w:p w14:paraId="3CB88637" w14:textId="77777777" w:rsidR="00A935F7" w:rsidRPr="00A935F7" w:rsidRDefault="00A935F7" w:rsidP="00A935F7">
      <w:pPr>
        <w:spacing w:before="100" w:beforeAutospacing="1" w:after="100" w:afterAutospacing="1" w:line="300" w:lineRule="atLeast"/>
        <w:rPr>
          <w:rFonts w:ascii="Arial" w:hAnsi="Arial" w:cs="Arial"/>
          <w:iCs/>
          <w:sz w:val="20"/>
          <w:szCs w:val="22"/>
          <w:lang w:eastAsia="de-DE"/>
        </w:rPr>
      </w:pPr>
      <w:r w:rsidRPr="00A935F7">
        <w:rPr>
          <w:rFonts w:ascii="Arial" w:hAnsi="Arial" w:cs="Arial"/>
          <w:iCs/>
          <w:sz w:val="20"/>
          <w:szCs w:val="22"/>
          <w:lang w:eastAsia="de-DE"/>
        </w:rPr>
        <w:t>Die sichere Integration der DFE-Subsysteme erfolgt unter Berücksichtigung der jeweiligen Systemgrenzen, Schnittstellen, Sicherheitsannahmen und SRACs. Hierzu werden Integrationsbewertungen, Verifikationsaktivitäten sowie Integrations- und Systemtests durchgeführt.</w:t>
      </w:r>
    </w:p>
    <w:p w14:paraId="13D46F4D" w14:textId="72D2D4B2" w:rsidR="00AF5422" w:rsidRPr="00AF5422" w:rsidRDefault="00A935F7" w:rsidP="00A935F7">
      <w:pPr>
        <w:spacing w:before="100" w:beforeAutospacing="1" w:after="100" w:afterAutospacing="1" w:line="300" w:lineRule="atLeast"/>
        <w:rPr>
          <w:rFonts w:ascii="Arial" w:hAnsi="Arial" w:cs="Arial"/>
          <w:iCs/>
          <w:sz w:val="20"/>
          <w:szCs w:val="22"/>
          <w:lang w:eastAsia="de-DE"/>
        </w:rPr>
      </w:pPr>
      <w:r w:rsidRPr="00A935F7">
        <w:rPr>
          <w:rFonts w:ascii="Arial" w:hAnsi="Arial" w:cs="Arial"/>
          <w:iCs/>
          <w:sz w:val="20"/>
          <w:szCs w:val="22"/>
          <w:lang w:eastAsia="de-DE"/>
        </w:rPr>
        <w:t>Die Ergebnisse der Sicherheitsnachweise, Lieferantennachweise und Integrationsbewertungen bilden die Grundlage für die Definition und Bewertung zulässiger Konfigurationsvarianten innerhalb der Generic Application Digital Interlocking (GA DIL). Die Zusammenführung dieser Informationen erfolgt auf Ebene der Generic Application Digital Interlocking (GA DIL-ÖBB) und dient als Grundlage für die Bewertung und Freigabe der jeweiligen Systemkonfigurationen.</w:t>
      </w:r>
    </w:p>
    <w:p w14:paraId="5D933F03" w14:textId="4922D552" w:rsidR="00D3696D" w:rsidRPr="00115FBF" w:rsidRDefault="0083585D">
      <w:pPr>
        <w:pStyle w:val="Heading2"/>
        <w:keepLines w:val="0"/>
        <w:tabs>
          <w:tab w:val="clear" w:pos="1080"/>
          <w:tab w:val="num" w:pos="720"/>
        </w:tabs>
        <w:spacing w:before="480" w:after="120" w:line="240" w:lineRule="auto"/>
        <w:ind w:left="0" w:firstLine="0"/>
      </w:pPr>
      <w:bookmarkStart w:id="138" w:name="_Toc242167538"/>
      <w:r w:rsidRPr="00115FBF">
        <w:t>Allgemein</w:t>
      </w:r>
      <w:r w:rsidR="00AF5422" w:rsidRPr="00115FBF">
        <w:t>e Sicherheitsstrategie</w:t>
      </w:r>
      <w:bookmarkEnd w:id="138"/>
    </w:p>
    <w:p w14:paraId="50C3C7DD" w14:textId="3CFCF3E9" w:rsidR="00307D33" w:rsidRPr="00307D33" w:rsidRDefault="00307D33" w:rsidP="00307D33">
      <w:pPr>
        <w:spacing w:before="100" w:beforeAutospacing="1" w:after="100" w:afterAutospacing="1" w:line="300" w:lineRule="atLeast"/>
        <w:rPr>
          <w:rFonts w:ascii="Arial" w:hAnsi="Arial" w:cs="Arial"/>
          <w:iCs/>
          <w:sz w:val="20"/>
          <w:szCs w:val="22"/>
          <w:lang w:eastAsia="de-DE"/>
        </w:rPr>
      </w:pPr>
      <w:r w:rsidRPr="00307D33">
        <w:rPr>
          <w:rFonts w:ascii="Arial" w:hAnsi="Arial" w:cs="Arial"/>
          <w:iCs/>
          <w:sz w:val="20"/>
          <w:szCs w:val="22"/>
          <w:lang w:eastAsia="de-DE"/>
        </w:rPr>
        <w:t xml:space="preserve">Die Sicherheitsstrategie des DFE-Projekts basiert auf der Anwendung der im Safety Concept der Generic Application Digital Interlocking (GA DIL) beschriebenen Sicherheitsgrundsätze sowie auf den Anforderungen der </w:t>
      </w:r>
      <w:r w:rsidR="00115FBF">
        <w:rPr>
          <w:rFonts w:ascii="Arial" w:hAnsi="Arial" w:cs="Arial"/>
          <w:iCs/>
          <w:sz w:val="20"/>
          <w:szCs w:val="22"/>
          <w:lang w:eastAsia="de-DE"/>
        </w:rPr>
        <w:fldChar w:fldCharType="begin"/>
      </w:r>
      <w:r w:rsidR="00115FBF">
        <w:rPr>
          <w:rFonts w:ascii="Arial" w:hAnsi="Arial" w:cs="Arial"/>
          <w:iCs/>
          <w:sz w:val="20"/>
          <w:szCs w:val="22"/>
          <w:lang w:eastAsia="de-DE"/>
        </w:rPr>
        <w:instrText xml:space="preserve"> REF CEN_50126_2 \h  \* MERGEFORMAT </w:instrText>
      </w:r>
      <w:r w:rsidR="00115FBF">
        <w:rPr>
          <w:rFonts w:ascii="Arial" w:hAnsi="Arial" w:cs="Arial"/>
          <w:iCs/>
          <w:sz w:val="20"/>
          <w:szCs w:val="22"/>
          <w:lang w:eastAsia="de-DE"/>
        </w:rPr>
      </w:r>
      <w:r w:rsidR="00115FBF">
        <w:rPr>
          <w:rFonts w:ascii="Arial" w:hAnsi="Arial" w:cs="Arial"/>
          <w:iCs/>
          <w:sz w:val="20"/>
          <w:szCs w:val="22"/>
          <w:lang w:eastAsia="de-DE"/>
        </w:rPr>
        <w:fldChar w:fldCharType="separate"/>
      </w:r>
      <w:r w:rsidR="00115FBF" w:rsidRPr="00115FBF">
        <w:rPr>
          <w:rFonts w:ascii="Arial" w:hAnsi="Arial" w:cs="Arial"/>
          <w:iCs/>
          <w:sz w:val="20"/>
          <w:szCs w:val="22"/>
          <w:lang w:eastAsia="de-DE"/>
        </w:rPr>
        <w:t>[EN 50126-2]</w:t>
      </w:r>
      <w:r w:rsidR="00115FBF">
        <w:rPr>
          <w:rFonts w:ascii="Arial" w:hAnsi="Arial" w:cs="Arial"/>
          <w:iCs/>
          <w:sz w:val="20"/>
          <w:szCs w:val="22"/>
          <w:lang w:eastAsia="de-DE"/>
        </w:rPr>
        <w:fldChar w:fldCharType="end"/>
      </w:r>
      <w:r w:rsidRPr="00307D33">
        <w:rPr>
          <w:rFonts w:ascii="Arial" w:hAnsi="Arial" w:cs="Arial"/>
          <w:iCs/>
          <w:sz w:val="20"/>
          <w:szCs w:val="22"/>
          <w:lang w:eastAsia="de-DE"/>
        </w:rPr>
        <w:t xml:space="preserve">, </w:t>
      </w:r>
      <w:r w:rsidR="00115FBF">
        <w:rPr>
          <w:rFonts w:ascii="Arial" w:hAnsi="Arial" w:cs="Arial"/>
          <w:iCs/>
          <w:sz w:val="20"/>
          <w:szCs w:val="22"/>
          <w:lang w:eastAsia="de-DE"/>
        </w:rPr>
        <w:fldChar w:fldCharType="begin"/>
      </w:r>
      <w:r w:rsidR="00115FBF">
        <w:rPr>
          <w:rFonts w:ascii="Arial" w:hAnsi="Arial" w:cs="Arial"/>
          <w:iCs/>
          <w:sz w:val="20"/>
          <w:szCs w:val="22"/>
          <w:lang w:eastAsia="de-DE"/>
        </w:rPr>
        <w:instrText xml:space="preserve"> REF Cen_50129 \h  \* MERGEFORMAT </w:instrText>
      </w:r>
      <w:r w:rsidR="00115FBF">
        <w:rPr>
          <w:rFonts w:ascii="Arial" w:hAnsi="Arial" w:cs="Arial"/>
          <w:iCs/>
          <w:sz w:val="20"/>
          <w:szCs w:val="22"/>
          <w:lang w:eastAsia="de-DE"/>
        </w:rPr>
      </w:r>
      <w:r w:rsidR="00115FBF">
        <w:rPr>
          <w:rFonts w:ascii="Arial" w:hAnsi="Arial" w:cs="Arial"/>
          <w:iCs/>
          <w:sz w:val="20"/>
          <w:szCs w:val="22"/>
          <w:lang w:eastAsia="de-DE"/>
        </w:rPr>
        <w:fldChar w:fldCharType="separate"/>
      </w:r>
      <w:r w:rsidR="00115FBF" w:rsidRPr="00115FBF">
        <w:rPr>
          <w:rFonts w:ascii="Arial" w:hAnsi="Arial" w:cs="Arial"/>
          <w:iCs/>
          <w:sz w:val="20"/>
          <w:szCs w:val="22"/>
          <w:lang w:eastAsia="de-DE"/>
        </w:rPr>
        <w:t>[EN 50129]</w:t>
      </w:r>
      <w:r w:rsidR="00115FBF">
        <w:rPr>
          <w:rFonts w:ascii="Arial" w:hAnsi="Arial" w:cs="Arial"/>
          <w:iCs/>
          <w:sz w:val="20"/>
          <w:szCs w:val="22"/>
          <w:lang w:eastAsia="de-DE"/>
        </w:rPr>
        <w:fldChar w:fldCharType="end"/>
      </w:r>
      <w:r w:rsidRPr="00307D33">
        <w:rPr>
          <w:rFonts w:ascii="Arial" w:hAnsi="Arial" w:cs="Arial"/>
          <w:iCs/>
          <w:sz w:val="20"/>
          <w:szCs w:val="22"/>
          <w:lang w:eastAsia="de-DE"/>
        </w:rPr>
        <w:t xml:space="preserve">, </w:t>
      </w:r>
      <w:r w:rsidR="00115FBF">
        <w:rPr>
          <w:rFonts w:ascii="Arial" w:hAnsi="Arial" w:cs="Arial"/>
          <w:iCs/>
          <w:sz w:val="20"/>
          <w:szCs w:val="22"/>
          <w:lang w:eastAsia="de-DE"/>
        </w:rPr>
        <w:fldChar w:fldCharType="begin"/>
      </w:r>
      <w:r w:rsidR="00115FBF">
        <w:rPr>
          <w:rFonts w:ascii="Arial" w:hAnsi="Arial" w:cs="Arial"/>
          <w:iCs/>
          <w:sz w:val="20"/>
          <w:szCs w:val="22"/>
          <w:lang w:eastAsia="de-DE"/>
        </w:rPr>
        <w:instrText xml:space="preserve"> REF Cen_50716 \h  \* MERGEFORMAT </w:instrText>
      </w:r>
      <w:r w:rsidR="00115FBF">
        <w:rPr>
          <w:rFonts w:ascii="Arial" w:hAnsi="Arial" w:cs="Arial"/>
          <w:iCs/>
          <w:sz w:val="20"/>
          <w:szCs w:val="22"/>
          <w:lang w:eastAsia="de-DE"/>
        </w:rPr>
      </w:r>
      <w:r w:rsidR="00115FBF">
        <w:rPr>
          <w:rFonts w:ascii="Arial" w:hAnsi="Arial" w:cs="Arial"/>
          <w:iCs/>
          <w:sz w:val="20"/>
          <w:szCs w:val="22"/>
          <w:lang w:eastAsia="de-DE"/>
        </w:rPr>
        <w:fldChar w:fldCharType="separate"/>
      </w:r>
      <w:r w:rsidR="00115FBF" w:rsidRPr="00115FBF">
        <w:rPr>
          <w:rFonts w:ascii="Arial" w:hAnsi="Arial" w:cs="Arial"/>
          <w:iCs/>
          <w:sz w:val="20"/>
          <w:szCs w:val="22"/>
          <w:lang w:eastAsia="de-DE"/>
        </w:rPr>
        <w:t>[EN 50716]</w:t>
      </w:r>
      <w:r w:rsidR="00115FBF">
        <w:rPr>
          <w:rFonts w:ascii="Arial" w:hAnsi="Arial" w:cs="Arial"/>
          <w:iCs/>
          <w:sz w:val="20"/>
          <w:szCs w:val="22"/>
          <w:lang w:eastAsia="de-DE"/>
        </w:rPr>
        <w:fldChar w:fldCharType="end"/>
      </w:r>
      <w:r w:rsidRPr="00307D33">
        <w:rPr>
          <w:rFonts w:ascii="Arial" w:hAnsi="Arial" w:cs="Arial"/>
          <w:iCs/>
          <w:sz w:val="20"/>
          <w:szCs w:val="22"/>
          <w:lang w:eastAsia="de-DE"/>
        </w:rPr>
        <w:t xml:space="preserve"> und </w:t>
      </w:r>
      <w:r w:rsidR="00115FBF">
        <w:rPr>
          <w:rFonts w:ascii="Arial" w:hAnsi="Arial" w:cs="Arial"/>
          <w:iCs/>
          <w:sz w:val="20"/>
          <w:szCs w:val="22"/>
          <w:lang w:eastAsia="de-DE"/>
        </w:rPr>
        <w:fldChar w:fldCharType="begin"/>
      </w:r>
      <w:r w:rsidR="00115FBF">
        <w:rPr>
          <w:rFonts w:ascii="Arial" w:hAnsi="Arial" w:cs="Arial"/>
          <w:iCs/>
          <w:sz w:val="20"/>
          <w:szCs w:val="22"/>
          <w:lang w:eastAsia="de-DE"/>
        </w:rPr>
        <w:instrText xml:space="preserve"> REF Cen_50159 \h  \* MERGEFORMAT </w:instrText>
      </w:r>
      <w:r w:rsidR="00115FBF">
        <w:rPr>
          <w:rFonts w:ascii="Arial" w:hAnsi="Arial" w:cs="Arial"/>
          <w:iCs/>
          <w:sz w:val="20"/>
          <w:szCs w:val="22"/>
          <w:lang w:eastAsia="de-DE"/>
        </w:rPr>
      </w:r>
      <w:r w:rsidR="00115FBF">
        <w:rPr>
          <w:rFonts w:ascii="Arial" w:hAnsi="Arial" w:cs="Arial"/>
          <w:iCs/>
          <w:sz w:val="20"/>
          <w:szCs w:val="22"/>
          <w:lang w:eastAsia="de-DE"/>
        </w:rPr>
        <w:fldChar w:fldCharType="separate"/>
      </w:r>
      <w:r w:rsidR="00115FBF" w:rsidRPr="00115FBF">
        <w:rPr>
          <w:rFonts w:ascii="Arial" w:hAnsi="Arial" w:cs="Arial"/>
          <w:iCs/>
          <w:sz w:val="20"/>
          <w:szCs w:val="22"/>
          <w:lang w:eastAsia="de-DE"/>
        </w:rPr>
        <w:t>[EN 50159]</w:t>
      </w:r>
      <w:r w:rsidR="00115FBF">
        <w:rPr>
          <w:rFonts w:ascii="Arial" w:hAnsi="Arial" w:cs="Arial"/>
          <w:iCs/>
          <w:sz w:val="20"/>
          <w:szCs w:val="22"/>
          <w:lang w:eastAsia="de-DE"/>
        </w:rPr>
        <w:fldChar w:fldCharType="end"/>
      </w:r>
      <w:r w:rsidRPr="00307D33">
        <w:rPr>
          <w:rFonts w:ascii="Arial" w:hAnsi="Arial" w:cs="Arial"/>
          <w:iCs/>
          <w:sz w:val="20"/>
          <w:szCs w:val="22"/>
          <w:lang w:eastAsia="de-DE"/>
        </w:rPr>
        <w:t>.</w:t>
      </w:r>
    </w:p>
    <w:p w14:paraId="3890674F" w14:textId="77777777" w:rsidR="00307D33" w:rsidRPr="00307D33" w:rsidRDefault="00307D33" w:rsidP="00307D33">
      <w:pPr>
        <w:spacing w:before="100" w:beforeAutospacing="1" w:after="100" w:afterAutospacing="1" w:line="300" w:lineRule="atLeast"/>
        <w:rPr>
          <w:rFonts w:ascii="Arial" w:hAnsi="Arial" w:cs="Arial"/>
          <w:iCs/>
          <w:sz w:val="20"/>
          <w:szCs w:val="22"/>
          <w:lang w:eastAsia="de-DE"/>
        </w:rPr>
      </w:pPr>
      <w:r w:rsidRPr="00307D33">
        <w:rPr>
          <w:rFonts w:ascii="Arial" w:hAnsi="Arial" w:cs="Arial"/>
          <w:iCs/>
          <w:sz w:val="20"/>
          <w:szCs w:val="22"/>
          <w:lang w:eastAsia="de-DE"/>
        </w:rPr>
        <w:t>Die Sicherheitsstrategie des DFE-Projekts beruht auf folgenden Grundsätzen:</w:t>
      </w:r>
    </w:p>
    <w:p w14:paraId="7A60946B" w14:textId="03457232" w:rsidR="00307D33" w:rsidRPr="00115FBF" w:rsidRDefault="00307D33" w:rsidP="00362C69">
      <w:pPr>
        <w:pStyle w:val="ListParagraph"/>
        <w:numPr>
          <w:ilvl w:val="0"/>
          <w:numId w:val="38"/>
        </w:numPr>
        <w:spacing w:before="100" w:beforeAutospacing="1" w:after="100" w:afterAutospacing="1" w:line="300" w:lineRule="atLeast"/>
        <w:rPr>
          <w:rFonts w:ascii="Arial" w:hAnsi="Arial" w:cs="Arial"/>
          <w:iCs/>
          <w:sz w:val="20"/>
          <w:szCs w:val="22"/>
          <w:lang w:eastAsia="de-DE"/>
        </w:rPr>
      </w:pPr>
      <w:r w:rsidRPr="00115FBF">
        <w:rPr>
          <w:rFonts w:ascii="Arial" w:hAnsi="Arial" w:cs="Arial"/>
          <w:iCs/>
          <w:sz w:val="20"/>
          <w:szCs w:val="22"/>
          <w:lang w:eastAsia="de-DE"/>
        </w:rPr>
        <w:t>Sicherheitsnachweisführung auf Ebene der einzelnen DFE-Subsysteme,</w:t>
      </w:r>
    </w:p>
    <w:p w14:paraId="431367C7" w14:textId="77777777" w:rsidR="00115FBF" w:rsidRDefault="00307D33" w:rsidP="00362C69">
      <w:pPr>
        <w:pStyle w:val="ListParagraph"/>
        <w:numPr>
          <w:ilvl w:val="0"/>
          <w:numId w:val="38"/>
        </w:numPr>
        <w:spacing w:before="100" w:beforeAutospacing="1" w:after="100" w:afterAutospacing="1" w:line="300" w:lineRule="atLeast"/>
        <w:rPr>
          <w:rFonts w:ascii="Arial" w:hAnsi="Arial" w:cs="Arial"/>
          <w:iCs/>
          <w:sz w:val="20"/>
          <w:szCs w:val="22"/>
          <w:lang w:eastAsia="de-DE"/>
        </w:rPr>
      </w:pPr>
      <w:r w:rsidRPr="00115FBF">
        <w:rPr>
          <w:rFonts w:ascii="Arial" w:hAnsi="Arial" w:cs="Arial"/>
          <w:iCs/>
          <w:sz w:val="20"/>
          <w:szCs w:val="22"/>
          <w:lang w:eastAsia="de-DE"/>
        </w:rPr>
        <w:t>Wiederverwendung vorhandener qualifizierter Sicherheitsnachweise,</w:t>
      </w:r>
    </w:p>
    <w:p w14:paraId="500ACE5E" w14:textId="77777777" w:rsidR="00115FBF" w:rsidRDefault="00307D33" w:rsidP="00362C69">
      <w:pPr>
        <w:pStyle w:val="ListParagraph"/>
        <w:numPr>
          <w:ilvl w:val="0"/>
          <w:numId w:val="38"/>
        </w:numPr>
        <w:spacing w:before="100" w:beforeAutospacing="1" w:after="100" w:afterAutospacing="1" w:line="300" w:lineRule="atLeast"/>
        <w:rPr>
          <w:rFonts w:ascii="Arial" w:hAnsi="Arial" w:cs="Arial"/>
          <w:iCs/>
          <w:sz w:val="20"/>
          <w:szCs w:val="22"/>
          <w:lang w:eastAsia="de-DE"/>
        </w:rPr>
      </w:pPr>
      <w:r w:rsidRPr="00115FBF">
        <w:rPr>
          <w:rFonts w:ascii="Arial" w:hAnsi="Arial" w:cs="Arial"/>
          <w:iCs/>
          <w:sz w:val="20"/>
          <w:szCs w:val="22"/>
          <w:lang w:eastAsia="de-DE"/>
        </w:rPr>
        <w:t>Berücksichtigung der jeweiligen Safety Related Application Conditions (SRACs),</w:t>
      </w:r>
    </w:p>
    <w:p w14:paraId="50988557" w14:textId="77777777" w:rsidR="00115FBF" w:rsidRDefault="00307D33" w:rsidP="00362C69">
      <w:pPr>
        <w:pStyle w:val="ListParagraph"/>
        <w:numPr>
          <w:ilvl w:val="0"/>
          <w:numId w:val="38"/>
        </w:numPr>
        <w:spacing w:before="100" w:beforeAutospacing="1" w:after="100" w:afterAutospacing="1" w:line="300" w:lineRule="atLeast"/>
        <w:rPr>
          <w:rFonts w:ascii="Arial" w:hAnsi="Arial" w:cs="Arial"/>
          <w:iCs/>
          <w:sz w:val="20"/>
          <w:szCs w:val="22"/>
          <w:lang w:eastAsia="de-DE"/>
        </w:rPr>
      </w:pPr>
      <w:r w:rsidRPr="00115FBF">
        <w:rPr>
          <w:rFonts w:ascii="Arial" w:hAnsi="Arial" w:cs="Arial"/>
          <w:iCs/>
          <w:sz w:val="20"/>
          <w:szCs w:val="22"/>
          <w:lang w:eastAsia="de-DE"/>
        </w:rPr>
        <w:t>Nachweis der sicheren Integration der DFE-Subsysteme innerhalb der DFE-Architektur,</w:t>
      </w:r>
    </w:p>
    <w:p w14:paraId="0CA3AAB2" w14:textId="77777777" w:rsidR="00115FBF" w:rsidRDefault="00307D33" w:rsidP="00362C69">
      <w:pPr>
        <w:pStyle w:val="ListParagraph"/>
        <w:numPr>
          <w:ilvl w:val="0"/>
          <w:numId w:val="38"/>
        </w:numPr>
        <w:spacing w:before="100" w:beforeAutospacing="1" w:after="100" w:afterAutospacing="1" w:line="300" w:lineRule="atLeast"/>
        <w:rPr>
          <w:rFonts w:ascii="Arial" w:hAnsi="Arial" w:cs="Arial"/>
          <w:iCs/>
          <w:sz w:val="20"/>
          <w:szCs w:val="22"/>
          <w:lang w:eastAsia="de-DE"/>
        </w:rPr>
      </w:pPr>
      <w:r w:rsidRPr="00115FBF">
        <w:rPr>
          <w:rFonts w:ascii="Arial" w:hAnsi="Arial" w:cs="Arial"/>
          <w:iCs/>
          <w:sz w:val="20"/>
          <w:szCs w:val="22"/>
          <w:lang w:eastAsia="de-DE"/>
        </w:rPr>
        <w:t>Berücksichtigung von Hardware-, Infrastruktur- und Umgebungsanforderungen,</w:t>
      </w:r>
    </w:p>
    <w:p w14:paraId="0D093D9F" w14:textId="77777777" w:rsidR="00115FBF" w:rsidRDefault="00307D33" w:rsidP="00362C69">
      <w:pPr>
        <w:pStyle w:val="ListParagraph"/>
        <w:numPr>
          <w:ilvl w:val="0"/>
          <w:numId w:val="38"/>
        </w:numPr>
        <w:spacing w:before="100" w:beforeAutospacing="1" w:after="100" w:afterAutospacing="1" w:line="300" w:lineRule="atLeast"/>
        <w:rPr>
          <w:rFonts w:ascii="Arial" w:hAnsi="Arial" w:cs="Arial"/>
          <w:iCs/>
          <w:sz w:val="20"/>
          <w:szCs w:val="22"/>
          <w:lang w:eastAsia="de-DE"/>
        </w:rPr>
      </w:pPr>
      <w:r w:rsidRPr="00115FBF">
        <w:rPr>
          <w:rFonts w:ascii="Arial" w:hAnsi="Arial" w:cs="Arial"/>
          <w:iCs/>
          <w:sz w:val="20"/>
          <w:szCs w:val="22"/>
          <w:lang w:eastAsia="de-DE"/>
        </w:rPr>
        <w:t>Durchführung von Verifikations-, Validierungs- und Integrationsaktivitäten,</w:t>
      </w:r>
    </w:p>
    <w:p w14:paraId="47C1F834" w14:textId="2F669259" w:rsidR="00307D33" w:rsidRPr="00115FBF" w:rsidRDefault="00307D33" w:rsidP="00362C69">
      <w:pPr>
        <w:pStyle w:val="ListParagraph"/>
        <w:numPr>
          <w:ilvl w:val="0"/>
          <w:numId w:val="38"/>
        </w:numPr>
        <w:spacing w:before="100" w:beforeAutospacing="1" w:after="100" w:afterAutospacing="1" w:line="300" w:lineRule="atLeast"/>
        <w:rPr>
          <w:rFonts w:ascii="Arial" w:hAnsi="Arial" w:cs="Arial"/>
          <w:iCs/>
          <w:sz w:val="20"/>
          <w:szCs w:val="22"/>
          <w:lang w:eastAsia="de-DE"/>
        </w:rPr>
      </w:pPr>
      <w:r w:rsidRPr="00115FBF">
        <w:rPr>
          <w:rFonts w:ascii="Arial" w:hAnsi="Arial" w:cs="Arial"/>
          <w:iCs/>
          <w:sz w:val="20"/>
          <w:szCs w:val="22"/>
          <w:lang w:eastAsia="de-DE"/>
        </w:rPr>
        <w:t>Definition und Bewertung zulässiger Konfigurationsvarianten.</w:t>
      </w:r>
    </w:p>
    <w:p w14:paraId="775BB95B" w14:textId="77777777" w:rsidR="00307D33" w:rsidRPr="00307D33" w:rsidRDefault="00307D33" w:rsidP="00307D33">
      <w:pPr>
        <w:spacing w:before="100" w:beforeAutospacing="1" w:after="100" w:afterAutospacing="1" w:line="300" w:lineRule="atLeast"/>
        <w:rPr>
          <w:rFonts w:ascii="Arial" w:hAnsi="Arial" w:cs="Arial"/>
          <w:iCs/>
          <w:sz w:val="20"/>
          <w:szCs w:val="22"/>
          <w:lang w:eastAsia="de-DE"/>
        </w:rPr>
      </w:pPr>
    </w:p>
    <w:p w14:paraId="14E2C96E" w14:textId="77777777" w:rsidR="00307D33" w:rsidRPr="00307D33" w:rsidRDefault="00307D33" w:rsidP="00307D33">
      <w:pPr>
        <w:spacing w:before="100" w:beforeAutospacing="1" w:after="100" w:afterAutospacing="1" w:line="300" w:lineRule="atLeast"/>
        <w:rPr>
          <w:rFonts w:ascii="Arial" w:hAnsi="Arial" w:cs="Arial"/>
          <w:iCs/>
          <w:sz w:val="20"/>
          <w:szCs w:val="22"/>
          <w:lang w:eastAsia="de-DE"/>
        </w:rPr>
      </w:pPr>
      <w:r w:rsidRPr="00307D33">
        <w:rPr>
          <w:rFonts w:ascii="Arial" w:hAnsi="Arial" w:cs="Arial"/>
          <w:iCs/>
          <w:sz w:val="20"/>
          <w:szCs w:val="22"/>
          <w:lang w:eastAsia="de-DE"/>
        </w:rPr>
        <w:lastRenderedPageBreak/>
        <w:t>Für die durch das DFE-Projekt entwickelten Interface Converter IFC-ZG62 und IFC-Sbl60A erfolgt die Auswahl und Begründung der eingesetzten Sicherheitsmaßnahmen auf Grundlage der jeweiligen Systemarchitektur und der zugewiesenen Sicherheitsanforderungen.</w:t>
      </w:r>
    </w:p>
    <w:p w14:paraId="21AB719E" w14:textId="1423CA00" w:rsidR="00AE33DA" w:rsidRPr="0011396A" w:rsidRDefault="00307D33" w:rsidP="00307D33">
      <w:pPr>
        <w:spacing w:before="100" w:beforeAutospacing="1" w:after="100" w:afterAutospacing="1" w:line="300" w:lineRule="atLeast"/>
        <w:rPr>
          <w:rFonts w:ascii="Arial" w:hAnsi="Arial" w:cs="Arial"/>
          <w:iCs/>
          <w:sz w:val="20"/>
          <w:szCs w:val="22"/>
          <w:lang w:eastAsia="de-DE"/>
        </w:rPr>
      </w:pPr>
      <w:r w:rsidRPr="00307D33">
        <w:rPr>
          <w:rFonts w:ascii="Arial" w:hAnsi="Arial" w:cs="Arial"/>
          <w:iCs/>
          <w:sz w:val="20"/>
          <w:szCs w:val="22"/>
          <w:lang w:eastAsia="de-DE"/>
        </w:rPr>
        <w:t xml:space="preserve">Die konkrete Beschreibung der Sicherheitsmechanismen einzelner DFE-Subsysteme erfolgt in den jeweiligen Sicherheitsnachweisen der Subsysteme. Das vorliegende Safety Concept beschreibt die </w:t>
      </w:r>
      <w:r w:rsidRPr="0011396A">
        <w:rPr>
          <w:rFonts w:ascii="Arial" w:hAnsi="Arial" w:cs="Arial"/>
          <w:iCs/>
          <w:sz w:val="20"/>
          <w:szCs w:val="22"/>
          <w:lang w:eastAsia="de-DE"/>
        </w:rPr>
        <w:t>übergeordneten Sicherheitsprinzipien und Sicherheitsstrategien des technischen Projekts DFE.</w:t>
      </w:r>
    </w:p>
    <w:p w14:paraId="3D2CC4FF" w14:textId="10B5D9E0" w:rsidR="00AF5422" w:rsidRPr="0011396A" w:rsidRDefault="00AF5422" w:rsidP="00AF5422">
      <w:pPr>
        <w:pStyle w:val="Heading2"/>
      </w:pPr>
      <w:bookmarkStart w:id="139" w:name="_Toc242167539"/>
      <w:r w:rsidRPr="0011396A">
        <w:t>Sicherheitsstrategie der DFE-Subsysteme</w:t>
      </w:r>
      <w:bookmarkEnd w:id="139"/>
    </w:p>
    <w:p w14:paraId="736DBF4B" w14:textId="77777777" w:rsidR="000361EE" w:rsidRPr="000361EE"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Die Sicherheitsnachweisführung erfolgt grundsätzlich auf Ebene der einzelnen DFE-Subsysteme. Die jeweiligen Sicherheitsnachweise beschreiben die Sicherheitsanforderungen, Sicherheitsmaßnahmen, Verifikations- und Validierungsaktivitäten sowie die zugehörigen Sicherheitsargumentationen.</w:t>
      </w:r>
    </w:p>
    <w:p w14:paraId="54508EC4" w14:textId="77777777" w:rsidR="000361EE" w:rsidRPr="000361EE"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Für die durch das DFE-Projekt entwickelten Interface Converter IFC</w:t>
      </w:r>
      <w:r w:rsidRPr="000361EE">
        <w:rPr>
          <w:rFonts w:cs="Arial"/>
          <w:iCs/>
          <w:sz w:val="20"/>
          <w:szCs w:val="22"/>
          <w:lang w:val="de-AT" w:eastAsia="de-DE"/>
        </w:rPr>
        <w:noBreakHyphen/>
        <w:t>ZG62 und IFC</w:t>
      </w:r>
      <w:r w:rsidRPr="000361EE">
        <w:rPr>
          <w:rFonts w:cs="Arial"/>
          <w:iCs/>
          <w:sz w:val="20"/>
          <w:szCs w:val="22"/>
          <w:lang w:val="de-AT" w:eastAsia="de-DE"/>
        </w:rPr>
        <w:noBreakHyphen/>
        <w:t>Sbl60A erfolgt die Sicherheitsnachweisführung im Rahmen der jeweiligen Subsystem-Sicherheitsnachweise. Die Auswahl und Begründung der eingesetzten Sicherheitsmaßnahmen erfolgt auf Grundlage der jeweiligen Systemarchitektur und der zugewiesenen Sicherheitsanforderungen.</w:t>
      </w:r>
    </w:p>
    <w:p w14:paraId="3181CC0C" w14:textId="77777777" w:rsidR="000361EE" w:rsidRPr="000361EE"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Für die durch Lieferorganisationen bereitgestellten DFE-Subsysteme IFC</w:t>
      </w:r>
      <w:r w:rsidRPr="000361EE">
        <w:rPr>
          <w:rFonts w:cs="Arial"/>
          <w:iCs/>
          <w:sz w:val="20"/>
          <w:szCs w:val="22"/>
          <w:lang w:val="de-AT" w:eastAsia="de-DE"/>
        </w:rPr>
        <w:noBreakHyphen/>
        <w:t>LCSI, OC</w:t>
      </w:r>
      <w:r w:rsidRPr="000361EE">
        <w:rPr>
          <w:rFonts w:cs="Arial"/>
          <w:iCs/>
          <w:sz w:val="20"/>
          <w:szCs w:val="22"/>
          <w:lang w:val="de-AT" w:eastAsia="de-DE"/>
        </w:rPr>
        <w:noBreakHyphen/>
        <w:t>DCA3 und OC</w:t>
      </w:r>
      <w:r w:rsidRPr="000361EE">
        <w:rPr>
          <w:rFonts w:cs="Arial"/>
          <w:iCs/>
          <w:sz w:val="20"/>
          <w:szCs w:val="22"/>
          <w:lang w:val="de-AT" w:eastAsia="de-DE"/>
        </w:rPr>
        <w:noBreakHyphen/>
        <w:t>AzLM erfolgt die Entwicklung, Verifikation, Validierung und Sicherheitsnachweisführung durch die jeweiligen Lieferorganisationen. Hierzu werden insbesondere Safety Cases, Hazard Logs, Safety Related Application Conditions (SRACs), unabhängige Gutachten sowie weitere sicherheitsrelevante Nachweisdokumente bereitgestellt.</w:t>
      </w:r>
    </w:p>
    <w:p w14:paraId="6DDE97C7" w14:textId="789FAEE0" w:rsidR="000A76F6"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Die Field Element Stations FES</w:t>
      </w:r>
      <w:r w:rsidRPr="000361EE">
        <w:rPr>
          <w:rFonts w:cs="Arial"/>
          <w:iCs/>
          <w:sz w:val="20"/>
          <w:szCs w:val="22"/>
          <w:lang w:val="de-AT" w:eastAsia="de-DE"/>
        </w:rPr>
        <w:noBreakHyphen/>
        <w:t>S, FES</w:t>
      </w:r>
      <w:r w:rsidRPr="000361EE">
        <w:rPr>
          <w:rFonts w:cs="Arial"/>
          <w:iCs/>
          <w:sz w:val="20"/>
          <w:szCs w:val="22"/>
          <w:lang w:val="de-AT" w:eastAsia="de-DE"/>
        </w:rPr>
        <w:noBreakHyphen/>
        <w:t>M und FES</w:t>
      </w:r>
      <w:r w:rsidRPr="000361EE">
        <w:rPr>
          <w:rFonts w:cs="Arial"/>
          <w:iCs/>
          <w:sz w:val="20"/>
          <w:szCs w:val="22"/>
          <w:lang w:val="de-AT" w:eastAsia="de-DE"/>
        </w:rPr>
        <w:noBreakHyphen/>
        <w:t>L</w:t>
      </w:r>
      <w:r w:rsidRPr="000361EE">
        <w:rPr>
          <w:rFonts w:cs="Arial"/>
          <w:iCs/>
          <w:sz w:val="20"/>
          <w:szCs w:val="22"/>
          <w:lang w:val="de-AT" w:eastAsia="de-DE"/>
        </w:rPr>
        <w:noBreakHyphen/>
        <w:t>XXL stellen die für den Betrieb der DFE-Subsysteme erforderliche Infrastruktur bereit. Sie führen keine eigenständigen Sicherheitsfunktionen aus und besitzen keine eigenständigen Anforderungen an die Sicherheitsintegrität. Für die FES werden Nachweise geführt, welche die Erfüllung der Hardware-, Infrastruktur-, Umwelt- und Integrationsanforderungen der integrierten DFE-Subsysteme dokumentieren.</w:t>
      </w:r>
    </w:p>
    <w:p w14:paraId="5FA4F037" w14:textId="77777777" w:rsidR="000361EE" w:rsidRPr="00272319" w:rsidRDefault="000361EE" w:rsidP="000361EE">
      <w:pPr>
        <w:pStyle w:val="Text"/>
        <w:spacing w:after="120"/>
        <w:ind w:left="0"/>
        <w:rPr>
          <w:rFonts w:cs="Arial"/>
          <w:iCs/>
          <w:sz w:val="20"/>
          <w:szCs w:val="22"/>
          <w:lang w:val="de-AT" w:eastAsia="de-DE"/>
        </w:rPr>
      </w:pPr>
    </w:p>
    <w:p w14:paraId="2F7DC5BE" w14:textId="09AC6B21" w:rsidR="000A76F6" w:rsidRPr="0011396A" w:rsidRDefault="000A76F6" w:rsidP="000A76F6">
      <w:pPr>
        <w:pStyle w:val="Heading2"/>
      </w:pPr>
      <w:bookmarkStart w:id="140" w:name="_Toc242167540"/>
      <w:r w:rsidRPr="0011396A">
        <w:t>Wiederverwendung vorhandener Sicherheitsnachweise</w:t>
      </w:r>
      <w:bookmarkEnd w:id="140"/>
    </w:p>
    <w:p w14:paraId="2CC92A6D" w14:textId="77777777" w:rsidR="000361EE" w:rsidRPr="000361EE"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Die Sicherheitsstrategie des technischen Projekts DFE sieht die Wiederverwendung vorhandener Sicherheitsnachweise vor, sofern deren Eignung für den vorgesehenen Anwendungsfall nachgewiesen werden kann.</w:t>
      </w:r>
    </w:p>
    <w:p w14:paraId="4CB71218" w14:textId="77777777" w:rsidR="000361EE" w:rsidRPr="000361EE"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Hierzu können Sicherheitsnachweise von Hardware- und Softwarekomponenten, qualifizierten Basissystemen, DFE-Subsystemen sowie durch Lieferorganisationen bereitgestellten Systemen verwendet werden.</w:t>
      </w:r>
    </w:p>
    <w:p w14:paraId="3281F1F6" w14:textId="77777777" w:rsidR="000361EE" w:rsidRPr="000361EE"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Für die DFE-Subsysteme IFC-LCSI, OC-DCA3 und OC-AzLM werden die jeweiligen Lieferantennachweise als Grundlage für die Sicherheitsnachweisführung und Integrationsbewertungen herangezogen. Die Verantwortung für die Entwicklung, Verifikation, Validierung und Produktsicherheitsnachweisführung verbleibt bei den jeweiligen Lieferorganisationen.</w:t>
      </w:r>
    </w:p>
    <w:p w14:paraId="3EF48875" w14:textId="77777777" w:rsidR="000361EE" w:rsidRPr="000361EE"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lastRenderedPageBreak/>
        <w:t>Werden qualifizierte Basissysteme oder Produkte mit eigenständigen Sicherheitsnachweisen eingesetzt, sind die zugehörigen Voraussetzungen, Einschränkungen und Safety Related Application Conditions (SRACs) zu berücksichtigen. Dies betrifft insbesondere die Verwendung der TAS Platform.</w:t>
      </w:r>
    </w:p>
    <w:p w14:paraId="7E87211B" w14:textId="66D6FAF9" w:rsidR="000A76F6" w:rsidRPr="00304F72" w:rsidRDefault="000361EE" w:rsidP="000361EE">
      <w:pPr>
        <w:pStyle w:val="Text"/>
        <w:spacing w:after="120"/>
        <w:ind w:left="0"/>
        <w:rPr>
          <w:rFonts w:cs="Arial"/>
          <w:iCs/>
          <w:sz w:val="20"/>
          <w:szCs w:val="22"/>
          <w:lang w:val="de-AT" w:eastAsia="de-DE"/>
        </w:rPr>
      </w:pPr>
      <w:r w:rsidRPr="000361EE">
        <w:rPr>
          <w:rFonts w:cs="Arial"/>
          <w:iCs/>
          <w:sz w:val="20"/>
          <w:szCs w:val="22"/>
          <w:lang w:val="de-AT" w:eastAsia="de-DE"/>
        </w:rPr>
        <w:t xml:space="preserve">Die Wiederverwendung vorhandener Sicherheitsnachweise entbindet nicht von der Verpflichtung, die sichere </w:t>
      </w:r>
      <w:r w:rsidRPr="00304F72">
        <w:rPr>
          <w:rFonts w:cs="Arial"/>
          <w:iCs/>
          <w:sz w:val="20"/>
          <w:szCs w:val="22"/>
          <w:lang w:val="de-AT" w:eastAsia="de-DE"/>
        </w:rPr>
        <w:t>Integration der jeweiligen DFE-Subsysteme innerhalb der DFE-Architektur nachzuweisen.</w:t>
      </w:r>
    </w:p>
    <w:p w14:paraId="190350CB" w14:textId="56FE6B62" w:rsidR="000A76F6" w:rsidRPr="00304F72" w:rsidRDefault="000A76F6" w:rsidP="000A76F6">
      <w:pPr>
        <w:pStyle w:val="Heading2"/>
        <w:spacing w:before="240"/>
        <w:ind w:left="1077" w:hanging="1077"/>
      </w:pPr>
      <w:bookmarkStart w:id="141" w:name="_Toc242167541"/>
      <w:r w:rsidRPr="00304F72">
        <w:t>Sicherheitsstrategie für die Systemintegration</w:t>
      </w:r>
      <w:bookmarkEnd w:id="141"/>
    </w:p>
    <w:p w14:paraId="44EA8DFC" w14:textId="77777777" w:rsidR="0011396A" w:rsidRPr="0011396A" w:rsidRDefault="0011396A" w:rsidP="0011396A">
      <w:pPr>
        <w:pStyle w:val="Paragraph"/>
        <w:rPr>
          <w:lang w:val="de-AT"/>
        </w:rPr>
      </w:pPr>
      <w:r w:rsidRPr="0011396A">
        <w:rPr>
          <w:lang w:val="de-AT"/>
        </w:rPr>
        <w:t>Die sichere Integration der DFE-Subsysteme stellt einen wesentlichen Bestandteil der Sicherheitsstrategie des technischen Projekts DFE dar. Ziel der Integrationsstrategie ist der Nachweis, dass die einzelnen DFE-Subsysteme unter Berücksichtigung ihrer jeweiligen Sicherheitsannahmen, Sicherheitsanforderungen und Safety Related Application Conditions (SRACs) gemeinsam betrieben werden können.</w:t>
      </w:r>
    </w:p>
    <w:p w14:paraId="7555CC45" w14:textId="77777777" w:rsidR="0011396A" w:rsidRPr="0011396A" w:rsidRDefault="0011396A" w:rsidP="0011396A">
      <w:pPr>
        <w:pStyle w:val="Paragraph"/>
        <w:rPr>
          <w:lang w:val="de-AT"/>
        </w:rPr>
      </w:pPr>
      <w:r w:rsidRPr="0011396A">
        <w:rPr>
          <w:lang w:val="de-AT"/>
        </w:rPr>
        <w:t>Die Integrationsstrategie basiert auf den im Safety Concept der Generic Application Digital Interlocking (GA DIL) beschriebenen Grundsätzen zur Integration von Systemen und wird für das technische Projekt DFE entsprechend angewendet.</w:t>
      </w:r>
    </w:p>
    <w:p w14:paraId="778A5718" w14:textId="77777777" w:rsidR="0011396A" w:rsidRPr="0011396A" w:rsidRDefault="0011396A" w:rsidP="0011396A">
      <w:pPr>
        <w:pStyle w:val="Paragraph"/>
        <w:rPr>
          <w:lang w:val="de-AT"/>
        </w:rPr>
      </w:pPr>
      <w:r w:rsidRPr="0011396A">
        <w:rPr>
          <w:lang w:val="de-AT"/>
        </w:rPr>
        <w:t>Grundlage der Integrationsbewertungen bilden insbesondere:</w:t>
      </w:r>
    </w:p>
    <w:p w14:paraId="113C2071" w14:textId="77777777" w:rsidR="0011396A" w:rsidRPr="0011396A" w:rsidRDefault="0011396A" w:rsidP="00362C69">
      <w:pPr>
        <w:pStyle w:val="Paragraph"/>
        <w:numPr>
          <w:ilvl w:val="0"/>
          <w:numId w:val="39"/>
        </w:numPr>
        <w:rPr>
          <w:lang w:val="de-AT"/>
        </w:rPr>
      </w:pPr>
      <w:r w:rsidRPr="0011396A">
        <w:rPr>
          <w:lang w:val="de-AT"/>
        </w:rPr>
        <w:t>die Sicherheitsnachweise der DFE-Subsysteme,</w:t>
      </w:r>
    </w:p>
    <w:p w14:paraId="4AB5581B" w14:textId="77777777" w:rsidR="0011396A" w:rsidRPr="0011396A" w:rsidRDefault="0011396A" w:rsidP="00362C69">
      <w:pPr>
        <w:pStyle w:val="Paragraph"/>
        <w:numPr>
          <w:ilvl w:val="0"/>
          <w:numId w:val="39"/>
        </w:numPr>
        <w:rPr>
          <w:lang w:val="de-AT"/>
        </w:rPr>
      </w:pPr>
      <w:r w:rsidRPr="0011396A">
        <w:rPr>
          <w:lang w:val="de-AT"/>
        </w:rPr>
        <w:t>die Supplier Safety Cases,</w:t>
      </w:r>
    </w:p>
    <w:p w14:paraId="2A01E178" w14:textId="77777777" w:rsidR="0011396A" w:rsidRPr="0011396A" w:rsidRDefault="0011396A" w:rsidP="00362C69">
      <w:pPr>
        <w:pStyle w:val="Paragraph"/>
        <w:numPr>
          <w:ilvl w:val="0"/>
          <w:numId w:val="39"/>
        </w:numPr>
        <w:rPr>
          <w:lang w:val="de-AT"/>
        </w:rPr>
      </w:pPr>
      <w:r w:rsidRPr="0011396A">
        <w:rPr>
          <w:lang w:val="de-AT"/>
        </w:rPr>
        <w:t>die zugehörigen Hazard Logs,</w:t>
      </w:r>
    </w:p>
    <w:p w14:paraId="25339462" w14:textId="77777777" w:rsidR="0011396A" w:rsidRPr="0011396A" w:rsidRDefault="0011396A" w:rsidP="00362C69">
      <w:pPr>
        <w:pStyle w:val="Paragraph"/>
        <w:numPr>
          <w:ilvl w:val="0"/>
          <w:numId w:val="39"/>
        </w:numPr>
        <w:rPr>
          <w:lang w:val="en-US"/>
        </w:rPr>
      </w:pPr>
      <w:r w:rsidRPr="0011396A">
        <w:rPr>
          <w:lang w:val="en-US"/>
        </w:rPr>
        <w:t>die Safety Related Application Conditions (SRACs),</w:t>
      </w:r>
    </w:p>
    <w:p w14:paraId="46D03AA2" w14:textId="77777777" w:rsidR="0011396A" w:rsidRPr="0011396A" w:rsidRDefault="0011396A" w:rsidP="00362C69">
      <w:pPr>
        <w:pStyle w:val="Paragraph"/>
        <w:numPr>
          <w:ilvl w:val="0"/>
          <w:numId w:val="39"/>
        </w:numPr>
        <w:rPr>
          <w:lang w:val="de-AT"/>
        </w:rPr>
      </w:pPr>
      <w:r w:rsidRPr="0011396A">
        <w:rPr>
          <w:lang w:val="de-AT"/>
        </w:rPr>
        <w:t>die Schnittstellenspezifikationen,</w:t>
      </w:r>
    </w:p>
    <w:p w14:paraId="3D663A2F" w14:textId="77777777" w:rsidR="0011396A" w:rsidRPr="0011396A" w:rsidRDefault="0011396A" w:rsidP="00362C69">
      <w:pPr>
        <w:pStyle w:val="Paragraph"/>
        <w:numPr>
          <w:ilvl w:val="0"/>
          <w:numId w:val="39"/>
        </w:numPr>
        <w:rPr>
          <w:lang w:val="de-AT"/>
        </w:rPr>
      </w:pPr>
      <w:r w:rsidRPr="0011396A">
        <w:rPr>
          <w:lang w:val="de-AT"/>
        </w:rPr>
        <w:t>sowie die jeweiligen Hardware-, Infrastruktur- und Umgebungsanforderungen.</w:t>
      </w:r>
    </w:p>
    <w:p w14:paraId="15D2F50B" w14:textId="77777777" w:rsidR="0011396A" w:rsidRPr="0011396A" w:rsidRDefault="0011396A" w:rsidP="0011396A">
      <w:pPr>
        <w:pStyle w:val="Paragraph"/>
        <w:rPr>
          <w:lang w:val="de-AT"/>
        </w:rPr>
      </w:pPr>
      <w:r w:rsidRPr="0011396A">
        <w:rPr>
          <w:lang w:val="de-AT"/>
        </w:rPr>
        <w:t>Für die durch Lieferorganisationen bereitgestellten DFE-Subsysteme IFC-LCSI, OC-DCA3 und OC-AzLM erfolgt die Nachweisführung der Produktsicherheit durch die jeweiligen Supplier Safety Cases. Die Verantwortung für die Produktsicherheit dieser Systeme verbleibt bei den jeweiligen Lieferorganisationen.</w:t>
      </w:r>
    </w:p>
    <w:p w14:paraId="590F63E9" w14:textId="77777777" w:rsidR="0011396A" w:rsidRPr="0011396A" w:rsidRDefault="0011396A" w:rsidP="0011396A">
      <w:pPr>
        <w:pStyle w:val="Paragraph"/>
        <w:rPr>
          <w:lang w:val="de-AT"/>
        </w:rPr>
      </w:pPr>
      <w:r w:rsidRPr="0011396A">
        <w:rPr>
          <w:lang w:val="de-AT"/>
        </w:rPr>
        <w:t>Die Verantwortung des technischen Projekts DFE umfasst die Bewertung der Integrationsvoraussetzungen sowie den Nachweis der sicheren Integration der DFE-Subsysteme innerhalb der DFE-Architektur. Hierzu gehören insbesondere:</w:t>
      </w:r>
    </w:p>
    <w:p w14:paraId="3E78D556" w14:textId="77777777" w:rsidR="0011396A" w:rsidRPr="0011396A" w:rsidRDefault="0011396A" w:rsidP="00362C69">
      <w:pPr>
        <w:pStyle w:val="Paragraph"/>
        <w:numPr>
          <w:ilvl w:val="0"/>
          <w:numId w:val="40"/>
        </w:numPr>
        <w:rPr>
          <w:lang w:val="de-AT"/>
        </w:rPr>
      </w:pPr>
      <w:r w:rsidRPr="0011396A">
        <w:rPr>
          <w:lang w:val="de-AT"/>
        </w:rPr>
        <w:t>die Bewertung der Schnittstellen zwischen den DFE-Subsystemen,</w:t>
      </w:r>
    </w:p>
    <w:p w14:paraId="3C9D091A" w14:textId="77777777" w:rsidR="0011396A" w:rsidRPr="0011396A" w:rsidRDefault="0011396A" w:rsidP="00362C69">
      <w:pPr>
        <w:pStyle w:val="Paragraph"/>
        <w:numPr>
          <w:ilvl w:val="0"/>
          <w:numId w:val="40"/>
        </w:numPr>
        <w:rPr>
          <w:lang w:val="de-AT"/>
        </w:rPr>
      </w:pPr>
      <w:r w:rsidRPr="0011396A">
        <w:rPr>
          <w:lang w:val="de-AT"/>
        </w:rPr>
        <w:t>die Berücksichtigung der jeweiligen Sicherheitsannahmen und SRACs,</w:t>
      </w:r>
    </w:p>
    <w:p w14:paraId="6F730182" w14:textId="77777777" w:rsidR="0011396A" w:rsidRPr="0011396A" w:rsidRDefault="0011396A" w:rsidP="00362C69">
      <w:pPr>
        <w:pStyle w:val="Paragraph"/>
        <w:numPr>
          <w:ilvl w:val="0"/>
          <w:numId w:val="40"/>
        </w:numPr>
        <w:rPr>
          <w:lang w:val="de-AT"/>
        </w:rPr>
      </w:pPr>
      <w:r w:rsidRPr="0011396A">
        <w:rPr>
          <w:lang w:val="de-AT"/>
        </w:rPr>
        <w:t>die Bewertung von Kommunikations- und Integrationsschnittstellen,</w:t>
      </w:r>
    </w:p>
    <w:p w14:paraId="2A0DDAFA" w14:textId="77777777" w:rsidR="0011396A" w:rsidRPr="0011396A" w:rsidRDefault="0011396A" w:rsidP="00362C69">
      <w:pPr>
        <w:pStyle w:val="Paragraph"/>
        <w:numPr>
          <w:ilvl w:val="0"/>
          <w:numId w:val="40"/>
        </w:numPr>
        <w:rPr>
          <w:lang w:val="de-AT"/>
        </w:rPr>
      </w:pPr>
      <w:r w:rsidRPr="0011396A">
        <w:rPr>
          <w:lang w:val="de-AT"/>
        </w:rPr>
        <w:t>die Bewertung von Hardware-, Infrastruktur- und Umgebungsanforderungen,</w:t>
      </w:r>
    </w:p>
    <w:p w14:paraId="7096814F" w14:textId="77777777" w:rsidR="0011396A" w:rsidRPr="0011396A" w:rsidRDefault="0011396A" w:rsidP="00362C69">
      <w:pPr>
        <w:pStyle w:val="Paragraph"/>
        <w:numPr>
          <w:ilvl w:val="0"/>
          <w:numId w:val="40"/>
        </w:numPr>
        <w:rPr>
          <w:lang w:val="de-AT"/>
        </w:rPr>
      </w:pPr>
      <w:r w:rsidRPr="0011396A">
        <w:rPr>
          <w:lang w:val="de-AT"/>
        </w:rPr>
        <w:t>die Durchführung von Integrations-, Verifikations- und Qualifikationsaktivitäten.</w:t>
      </w:r>
    </w:p>
    <w:p w14:paraId="58EBA165" w14:textId="72E73526" w:rsidR="0011396A" w:rsidRPr="0011396A" w:rsidRDefault="0011396A" w:rsidP="0011396A">
      <w:pPr>
        <w:pStyle w:val="Paragraph"/>
        <w:rPr>
          <w:lang w:val="de-AT"/>
        </w:rPr>
      </w:pPr>
      <w:r w:rsidRPr="0011396A">
        <w:rPr>
          <w:lang w:val="de-AT"/>
        </w:rPr>
        <w:t xml:space="preserve">Die Field Element Stations (FES) stellen die für den Betrieb der DFE-Subsysteme erforderliche Infrastruktur bereit. Im Rahmen der Integrationsbewertung ist nachzuweisen, dass die Hardware-, Infrastruktur- und Umgebungsanforderungen der integrierten DFE-Subsysteme erfüllt werden. Diese Integrationsbeziehungen sind in </w:t>
      </w:r>
      <w:r>
        <w:rPr>
          <w:lang w:val="de-AT"/>
        </w:rPr>
        <w:fldChar w:fldCharType="begin"/>
      </w:r>
      <w:r>
        <w:rPr>
          <w:lang w:val="de-AT"/>
        </w:rPr>
        <w:instrText xml:space="preserve"> REF _Ref237613863 \h </w:instrText>
      </w:r>
      <w:r>
        <w:rPr>
          <w:lang w:val="de-AT"/>
        </w:rPr>
      </w:r>
      <w:r>
        <w:rPr>
          <w:lang w:val="de-AT"/>
        </w:rPr>
        <w:fldChar w:fldCharType="separate"/>
      </w:r>
      <w:r w:rsidRPr="0011396A">
        <w:rPr>
          <w:lang w:val="de-AT"/>
        </w:rPr>
        <w:t xml:space="preserve">Abbildung </w:t>
      </w:r>
      <w:r w:rsidRPr="0011396A">
        <w:rPr>
          <w:noProof/>
          <w:lang w:val="de-AT"/>
        </w:rPr>
        <w:t>1</w:t>
      </w:r>
      <w:r>
        <w:rPr>
          <w:lang w:val="de-AT"/>
        </w:rPr>
        <w:fldChar w:fldCharType="end"/>
      </w:r>
      <w:r w:rsidRPr="0011396A">
        <w:rPr>
          <w:lang w:val="de-AT"/>
        </w:rPr>
        <w:t xml:space="preserve"> durch die Beziehungen „Fulfillment of HW Requirements“ dargestellt.</w:t>
      </w:r>
    </w:p>
    <w:p w14:paraId="629B7688" w14:textId="77777777" w:rsidR="0011396A" w:rsidRPr="0011396A" w:rsidRDefault="0011396A" w:rsidP="0011396A">
      <w:pPr>
        <w:pStyle w:val="Paragraph"/>
        <w:rPr>
          <w:lang w:val="de-AT"/>
        </w:rPr>
      </w:pPr>
      <w:r w:rsidRPr="0011396A">
        <w:rPr>
          <w:lang w:val="de-AT"/>
        </w:rPr>
        <w:t xml:space="preserve">Die Ergebnisse der Integrationsbewertungen dokumentieren die Eignung der betrachteten Systemkombinationen für den vorgesehenen Anwendungsfall. Sie bilden gemeinsam mit den Sicherheitsnachweisen der DFE-Subsysteme und den Lieferantennachweisen die Grundlage für die Definition </w:t>
      </w:r>
      <w:r w:rsidRPr="0011396A">
        <w:rPr>
          <w:lang w:val="de-AT"/>
        </w:rPr>
        <w:lastRenderedPageBreak/>
        <w:t>und Bewertung zulässiger Konfigurationsvarianten innerhalb der DFE-Architektur sowie der Generic Application Digital Interlocking (GA DIL-ÖBB).</w:t>
      </w:r>
    </w:p>
    <w:p w14:paraId="23A0A121" w14:textId="36F3E024" w:rsidR="00082E4F" w:rsidRPr="00272319" w:rsidRDefault="00082E4F" w:rsidP="000A76F6">
      <w:pPr>
        <w:pStyle w:val="Paragraph"/>
        <w:rPr>
          <w:lang w:val="de-AT"/>
        </w:rPr>
      </w:pPr>
    </w:p>
    <w:p w14:paraId="4719CF76" w14:textId="3253D0D5" w:rsidR="00082E4F" w:rsidRPr="00DE5DF4" w:rsidRDefault="00082E4F" w:rsidP="00082E4F">
      <w:pPr>
        <w:pStyle w:val="Heading2"/>
        <w:rPr>
          <w:highlight w:val="yellow"/>
        </w:rPr>
      </w:pPr>
      <w:bookmarkStart w:id="142" w:name="_Toc242167542"/>
      <w:commentRangeStart w:id="143"/>
      <w:commentRangeStart w:id="144"/>
      <w:r w:rsidRPr="00DE5DF4">
        <w:rPr>
          <w:highlight w:val="yellow"/>
        </w:rPr>
        <w:t>Freigabe von Konfigurationsvarianten</w:t>
      </w:r>
      <w:bookmarkEnd w:id="142"/>
      <w:commentRangeEnd w:id="143"/>
      <w:r w:rsidR="00605B1B" w:rsidRPr="00DE5DF4">
        <w:rPr>
          <w:rStyle w:val="CommentReference"/>
          <w:sz w:val="24"/>
          <w:highlight w:val="yellow"/>
        </w:rPr>
        <w:commentReference w:id="143"/>
      </w:r>
      <w:commentRangeEnd w:id="144"/>
      <w:r w:rsidR="00933B44" w:rsidRPr="00DE5DF4">
        <w:rPr>
          <w:rStyle w:val="CommentReference"/>
          <w:sz w:val="24"/>
          <w:highlight w:val="yellow"/>
        </w:rPr>
        <w:commentReference w:id="144"/>
      </w:r>
    </w:p>
    <w:p w14:paraId="7BB237AA"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Generic Application Digital Interlocking (GA DIL-ÖBB) ermöglicht den Einsatz unterschiedlicher Subsysteme, Hardwarestände, Softwarestände sowie zugelieferter Systeme innerhalb einer gemeinsamen Systemarchitektur.</w:t>
      </w:r>
    </w:p>
    <w:p w14:paraId="7F0E7329"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Zur Sicherstellung eines sicheren und nachgewiesenen Betriebs dürfen ausschließlich freigegebene Konfigurationsvarianten verwendet werden. Diese Konfigurationsvarianten basieren auf den jeweils gültigen Sicherheitsnachweisen, Integrationsbewertungen sowie den zugehörigen Randbedingungen und Safety Related Application Conditions (SRACs).</w:t>
      </w:r>
    </w:p>
    <w:p w14:paraId="6864D637"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Grundlage für die Bewertung einer Konfigurationsvariante bilden insbesondere:</w:t>
      </w:r>
    </w:p>
    <w:p w14:paraId="7F7AF297" w14:textId="77777777" w:rsidR="003F048E" w:rsidRPr="003F048E" w:rsidRDefault="003F048E" w:rsidP="00362C69">
      <w:pPr>
        <w:numPr>
          <w:ilvl w:val="0"/>
          <w:numId w:val="41"/>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Sicherheitsnachweise der beteiligten Subsysteme,</w:t>
      </w:r>
    </w:p>
    <w:p w14:paraId="2AB9794D" w14:textId="77777777" w:rsidR="003F048E" w:rsidRPr="003F048E" w:rsidRDefault="003F048E" w:rsidP="00362C69">
      <w:pPr>
        <w:numPr>
          <w:ilvl w:val="0"/>
          <w:numId w:val="41"/>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zugehörigen Hazard Logs,</w:t>
      </w:r>
    </w:p>
    <w:p w14:paraId="286F4EEC" w14:textId="77777777" w:rsidR="003F048E" w:rsidRPr="003F048E" w:rsidRDefault="003F048E" w:rsidP="00362C69">
      <w:pPr>
        <w:numPr>
          <w:ilvl w:val="0"/>
          <w:numId w:val="41"/>
        </w:numPr>
        <w:spacing w:before="100" w:beforeAutospacing="1" w:after="100" w:afterAutospacing="1" w:line="300" w:lineRule="atLeast"/>
        <w:rPr>
          <w:rFonts w:ascii="Arial" w:hAnsi="Arial" w:cs="Arial"/>
          <w:iCs/>
          <w:sz w:val="20"/>
          <w:szCs w:val="22"/>
          <w:lang w:val="en-US" w:eastAsia="de-DE"/>
        </w:rPr>
      </w:pPr>
      <w:r w:rsidRPr="003F048E">
        <w:rPr>
          <w:rFonts w:ascii="Arial" w:hAnsi="Arial" w:cs="Arial"/>
          <w:iCs/>
          <w:sz w:val="20"/>
          <w:szCs w:val="22"/>
          <w:lang w:val="en-US" w:eastAsia="de-DE"/>
        </w:rPr>
        <w:t>die Safety Related Application Conditions (SRACs),</w:t>
      </w:r>
    </w:p>
    <w:p w14:paraId="5133864E" w14:textId="77777777" w:rsidR="003F048E" w:rsidRPr="003F048E" w:rsidRDefault="003F048E" w:rsidP="00362C69">
      <w:pPr>
        <w:numPr>
          <w:ilvl w:val="0"/>
          <w:numId w:val="41"/>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bereitgestellten Lieferantennachweise,</w:t>
      </w:r>
    </w:p>
    <w:p w14:paraId="40B43E9E" w14:textId="77777777" w:rsidR="003F048E" w:rsidRPr="003F048E" w:rsidRDefault="003F048E" w:rsidP="00362C69">
      <w:pPr>
        <w:numPr>
          <w:ilvl w:val="0"/>
          <w:numId w:val="41"/>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Ergebnisse der Integrationsbewertungen,</w:t>
      </w:r>
    </w:p>
    <w:p w14:paraId="5DD31CE5" w14:textId="77777777" w:rsidR="003F048E" w:rsidRPr="003F048E" w:rsidRDefault="003F048E" w:rsidP="00362C69">
      <w:pPr>
        <w:numPr>
          <w:ilvl w:val="0"/>
          <w:numId w:val="41"/>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zugehörigen Verifikations- und Validierungsnachweise,</w:t>
      </w:r>
    </w:p>
    <w:p w14:paraId="070873CF" w14:textId="77777777" w:rsidR="003F048E" w:rsidRPr="003F048E" w:rsidRDefault="003F048E" w:rsidP="00362C69">
      <w:pPr>
        <w:numPr>
          <w:ilvl w:val="0"/>
          <w:numId w:val="41"/>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sowie die jeweiligen Hardware-, Software- und Konfigurationsstände.</w:t>
      </w:r>
    </w:p>
    <w:p w14:paraId="6A4F6DEA"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Für jede Konfigurationsvariante ist nachzuweisen, dass die beteiligten Subsysteme innerhalb ihrer spezifizierten Einsatzgrenzen betrieben werden können und dass sämtliche Voraussetzungen, Annahmen und Randbedingungen der zugrunde liegenden Sicherheitsnachweise erfüllt werden.</w:t>
      </w:r>
    </w:p>
    <w:p w14:paraId="0438A02C"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Bewertung einer Konfigurationsvariante umfasst insbesondere:</w:t>
      </w:r>
    </w:p>
    <w:p w14:paraId="0B657C9F" w14:textId="77777777" w:rsidR="003F048E" w:rsidRPr="003F048E" w:rsidRDefault="003F048E" w:rsidP="00362C69">
      <w:pPr>
        <w:numPr>
          <w:ilvl w:val="0"/>
          <w:numId w:val="42"/>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Kompatibilität der eingesetzten Hardware- und Softwarestände,</w:t>
      </w:r>
    </w:p>
    <w:p w14:paraId="4F6AA1EC" w14:textId="77777777" w:rsidR="003F048E" w:rsidRPr="003F048E" w:rsidRDefault="003F048E" w:rsidP="00362C69">
      <w:pPr>
        <w:numPr>
          <w:ilvl w:val="0"/>
          <w:numId w:val="42"/>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Berücksichtigung der jeweiligen SRACs,</w:t>
      </w:r>
    </w:p>
    <w:p w14:paraId="48D2C37C" w14:textId="77777777" w:rsidR="003F048E" w:rsidRPr="003F048E" w:rsidRDefault="003F048E" w:rsidP="00362C69">
      <w:pPr>
        <w:numPr>
          <w:ilvl w:val="0"/>
          <w:numId w:val="42"/>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Einhaltung der definierten Schnittstellen- und Integrationsanforderungen,</w:t>
      </w:r>
    </w:p>
    <w:p w14:paraId="58A24356" w14:textId="77777777" w:rsidR="003F048E" w:rsidRPr="003F048E" w:rsidRDefault="003F048E" w:rsidP="00362C69">
      <w:pPr>
        <w:numPr>
          <w:ilvl w:val="0"/>
          <w:numId w:val="42"/>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Gültigkeit der zugrunde liegenden Sicherheitsnachweise,</w:t>
      </w:r>
    </w:p>
    <w:p w14:paraId="63FE2B88" w14:textId="77777777" w:rsidR="003F048E" w:rsidRPr="003F048E" w:rsidRDefault="003F048E" w:rsidP="00362C69">
      <w:pPr>
        <w:numPr>
          <w:ilvl w:val="0"/>
          <w:numId w:val="42"/>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Ergebnisse der Integrations-, Verifikations- und Qualifikationstests,</w:t>
      </w:r>
    </w:p>
    <w:p w14:paraId="28D8F2D3" w14:textId="77777777" w:rsidR="003F048E" w:rsidRPr="003F048E" w:rsidRDefault="003F048E" w:rsidP="00362C69">
      <w:pPr>
        <w:numPr>
          <w:ilvl w:val="0"/>
          <w:numId w:val="42"/>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sowie die Bewertung der vorgesehenen Systemkombinationen.</w:t>
      </w:r>
    </w:p>
    <w:p w14:paraId="25E84A24"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Ergebnisse der Sicherheitsnachweise und Integrationsbewertungen werden auf Ebene der Generic Application Digital Interlocking (GA DIL-ÖBB) zusammengeführt. Die zulässigen Konfigurationsvarianten sowie die zugehörigen Randbedingungen und Nachweise werden in einer Konfigurationsübersicht bzw. Kompatibilitätsmatrix dokumentiert.</w:t>
      </w:r>
    </w:p>
    <w:p w14:paraId="5B71177A"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Kompatibilitätsmatrix definiert die zulässigen Kombinationen von:</w:t>
      </w:r>
    </w:p>
    <w:p w14:paraId="1C9E7957" w14:textId="77777777" w:rsidR="003F048E" w:rsidRPr="003F048E" w:rsidRDefault="003F048E" w:rsidP="00362C69">
      <w:pPr>
        <w:numPr>
          <w:ilvl w:val="0"/>
          <w:numId w:val="43"/>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lastRenderedPageBreak/>
        <w:t>Subsystemen,</w:t>
      </w:r>
    </w:p>
    <w:p w14:paraId="06A1C62A" w14:textId="77777777" w:rsidR="003F048E" w:rsidRPr="003F048E" w:rsidRDefault="003F048E" w:rsidP="00362C69">
      <w:pPr>
        <w:numPr>
          <w:ilvl w:val="0"/>
          <w:numId w:val="43"/>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Hardwareständen,</w:t>
      </w:r>
    </w:p>
    <w:p w14:paraId="073BFEA5" w14:textId="77777777" w:rsidR="003F048E" w:rsidRPr="003F048E" w:rsidRDefault="003F048E" w:rsidP="00362C69">
      <w:pPr>
        <w:numPr>
          <w:ilvl w:val="0"/>
          <w:numId w:val="43"/>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Softwareständen,</w:t>
      </w:r>
    </w:p>
    <w:p w14:paraId="23A4BB10" w14:textId="77777777" w:rsidR="003F048E" w:rsidRPr="003F048E" w:rsidRDefault="003F048E" w:rsidP="00362C69">
      <w:pPr>
        <w:numPr>
          <w:ilvl w:val="0"/>
          <w:numId w:val="43"/>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Sicherheitsnachweisen,</w:t>
      </w:r>
    </w:p>
    <w:p w14:paraId="01A9145B" w14:textId="77777777" w:rsidR="003F048E" w:rsidRPr="003F048E" w:rsidRDefault="003F048E" w:rsidP="00362C69">
      <w:pPr>
        <w:numPr>
          <w:ilvl w:val="0"/>
          <w:numId w:val="43"/>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Lieferantennachweisen,</w:t>
      </w:r>
    </w:p>
    <w:p w14:paraId="4E7E9BBC" w14:textId="77777777" w:rsidR="003F048E" w:rsidRPr="003F048E" w:rsidRDefault="003F048E" w:rsidP="00362C69">
      <w:pPr>
        <w:numPr>
          <w:ilvl w:val="0"/>
          <w:numId w:val="43"/>
        </w:num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sowie zugehörigen Integrationsbewertungen.</w:t>
      </w:r>
    </w:p>
    <w:p w14:paraId="6A29495F" w14:textId="77777777" w:rsidR="003F048E" w:rsidRPr="003F048E" w:rsidRDefault="003F048E" w:rsidP="003F048E">
      <w:pPr>
        <w:spacing w:before="100" w:beforeAutospacing="1" w:after="100" w:afterAutospacing="1" w:line="300" w:lineRule="atLeast"/>
        <w:rPr>
          <w:rFonts w:ascii="Arial" w:hAnsi="Arial" w:cs="Arial"/>
          <w:iCs/>
          <w:sz w:val="20"/>
          <w:szCs w:val="22"/>
          <w:lang w:eastAsia="de-DE"/>
        </w:rPr>
      </w:pPr>
      <w:r w:rsidRPr="003F048E">
        <w:rPr>
          <w:rFonts w:ascii="Arial" w:hAnsi="Arial" w:cs="Arial"/>
          <w:iCs/>
          <w:sz w:val="20"/>
          <w:szCs w:val="22"/>
          <w:lang w:eastAsia="de-DE"/>
        </w:rPr>
        <w:t>Die dokumentierten Konfigurationsvarianten bilden die Grundlage für die Bewertung und Freigabe der jeweiligen Systemkonfigurationen im vorgesehenen Anwendungsbereich.</w:t>
      </w:r>
    </w:p>
    <w:p w14:paraId="25B74EDF" w14:textId="2083CF3E" w:rsidR="003F048E" w:rsidRPr="003F048E" w:rsidRDefault="003F048E" w:rsidP="003F048E">
      <w:pPr>
        <w:spacing w:before="100" w:beforeAutospacing="1" w:after="100" w:afterAutospacing="1" w:line="300" w:lineRule="atLeast"/>
        <w:rPr>
          <w:rFonts w:ascii="Arial" w:hAnsi="Arial" w:cs="Arial"/>
          <w:iCs/>
          <w:sz w:val="20"/>
          <w:szCs w:val="22"/>
          <w:lang w:eastAsia="de-DE"/>
        </w:rPr>
      </w:pPr>
    </w:p>
    <w:p w14:paraId="1A8FCE05" w14:textId="58BB4DC2" w:rsidR="00D3696D" w:rsidRPr="002415B5" w:rsidRDefault="0083585D">
      <w:pPr>
        <w:pStyle w:val="Heading1"/>
        <w:keepLines w:val="0"/>
        <w:pBdr>
          <w:bottom w:val="none" w:sz="0" w:space="0" w:color="auto"/>
        </w:pBdr>
        <w:tabs>
          <w:tab w:val="clear" w:pos="1080"/>
          <w:tab w:val="left" w:pos="578"/>
        </w:tabs>
        <w:spacing w:before="720" w:line="240" w:lineRule="auto"/>
        <w:ind w:left="578" w:hanging="578"/>
      </w:pPr>
      <w:bookmarkStart w:id="145" w:name="_Ref110494513"/>
      <w:bookmarkStart w:id="146" w:name="_Toc242167543"/>
      <w:r w:rsidRPr="002415B5">
        <w:lastRenderedPageBreak/>
        <w:t>ZUSAMMENFASSUNG</w:t>
      </w:r>
      <w:bookmarkEnd w:id="145"/>
      <w:bookmarkEnd w:id="146"/>
    </w:p>
    <w:p w14:paraId="3CE6D83D" w14:textId="77777777" w:rsidR="003F048E" w:rsidRPr="003F048E" w:rsidRDefault="003F048E" w:rsidP="003F048E">
      <w:pPr>
        <w:pStyle w:val="Text"/>
        <w:ind w:left="0"/>
        <w:jc w:val="both"/>
        <w:rPr>
          <w:rFonts w:cs="Arial"/>
          <w:iCs/>
          <w:sz w:val="20"/>
          <w:szCs w:val="22"/>
          <w:lang w:val="de-AT" w:eastAsia="de-DE"/>
        </w:rPr>
      </w:pPr>
      <w:r w:rsidRPr="003F048E">
        <w:rPr>
          <w:rFonts w:cs="Arial"/>
          <w:iCs/>
          <w:sz w:val="20"/>
          <w:szCs w:val="22"/>
          <w:lang w:val="de-AT" w:eastAsia="de-DE"/>
        </w:rPr>
        <w:t>Das vorliegende Safety Concept beschreibt die Sicherheitsstrategie des technischen Projekts DFE (Digital Field Elements) als Bestandteil der Generic Application Digital Interlocking (GA DIL).</w:t>
      </w:r>
    </w:p>
    <w:p w14:paraId="1B701B71" w14:textId="77777777" w:rsidR="003F048E" w:rsidRPr="003F048E" w:rsidRDefault="003F048E" w:rsidP="003F048E">
      <w:pPr>
        <w:pStyle w:val="Text"/>
        <w:ind w:left="0"/>
        <w:jc w:val="both"/>
        <w:rPr>
          <w:rFonts w:cs="Arial"/>
          <w:iCs/>
          <w:sz w:val="20"/>
          <w:szCs w:val="22"/>
          <w:lang w:val="de-AT" w:eastAsia="de-DE"/>
        </w:rPr>
      </w:pPr>
      <w:r w:rsidRPr="003F048E">
        <w:rPr>
          <w:rFonts w:cs="Arial"/>
          <w:iCs/>
          <w:sz w:val="20"/>
          <w:szCs w:val="22"/>
          <w:lang w:val="de-AT" w:eastAsia="de-DE"/>
        </w:rPr>
        <w:t>Die Sicherheitsziele der DFE-Subsysteme werden aus den übergeordneten Sicherheitszielen der GA DIL abgeleitet. Die Umsetzung und der Nachweis der zugewiesenen Sicherheitsanforderungen erfolgen durch eigenständige Sicherheitsnachweise der jeweiligen DFE-Subsysteme sowie durch die Berücksichtigung bereitgestellter Lieferantennachweise.</w:t>
      </w:r>
    </w:p>
    <w:p w14:paraId="534BE705" w14:textId="77777777" w:rsidR="003F048E" w:rsidRPr="003F048E" w:rsidRDefault="003F048E" w:rsidP="003F048E">
      <w:pPr>
        <w:pStyle w:val="Text"/>
        <w:ind w:left="0"/>
        <w:jc w:val="both"/>
        <w:rPr>
          <w:rFonts w:cs="Arial"/>
          <w:iCs/>
          <w:sz w:val="20"/>
          <w:szCs w:val="22"/>
          <w:lang w:val="de-AT" w:eastAsia="de-DE"/>
        </w:rPr>
      </w:pPr>
      <w:r w:rsidRPr="003F048E">
        <w:rPr>
          <w:rFonts w:cs="Arial"/>
          <w:iCs/>
          <w:sz w:val="20"/>
          <w:szCs w:val="22"/>
          <w:lang w:val="de-AT" w:eastAsia="de-DE"/>
        </w:rPr>
        <w:t>Die DFE-Architektur umfasst sowohl sicherheitsrelevante DFE-Subsysteme als auch Infrastrukturkomponenten. Die sicherheitsrelevanten Funktionen werden durch die Interface Converter sowie die Object Controller bereitgestellt. Die Field Element Stations (FES) stellen die für den Betrieb der DFE-Subsysteme erforderliche Infrastruktur bereit und werden hinsichtlich ihrer Integrations-, Hardware- und Umgebungsanforderungen betrachtet.</w:t>
      </w:r>
    </w:p>
    <w:p w14:paraId="3C3DBAB9" w14:textId="77777777" w:rsidR="003F048E" w:rsidRPr="003F048E" w:rsidRDefault="003F048E" w:rsidP="003F048E">
      <w:pPr>
        <w:pStyle w:val="Text"/>
        <w:ind w:left="0"/>
        <w:jc w:val="both"/>
        <w:rPr>
          <w:rFonts w:cs="Arial"/>
          <w:iCs/>
          <w:sz w:val="20"/>
          <w:szCs w:val="22"/>
          <w:lang w:val="de-AT" w:eastAsia="de-DE"/>
        </w:rPr>
      </w:pPr>
      <w:r w:rsidRPr="003F048E">
        <w:rPr>
          <w:rFonts w:cs="Arial"/>
          <w:iCs/>
          <w:sz w:val="20"/>
          <w:szCs w:val="22"/>
          <w:lang w:val="de-AT" w:eastAsia="de-DE"/>
        </w:rPr>
        <w:t>Für die durch Lieferorganisationen bereitgestellten DFE-Subsysteme IFC-LCSI, OC-DCA3 und OC-AzLM werden die jeweiligen Safety Cases, Hazard Logs, Safety Related Application Conditions (SRACs), Gutachten und weitere Sicherheitsnachweise als Grundlage für die Sicherheitsnachweisführung verwendet.</w:t>
      </w:r>
    </w:p>
    <w:p w14:paraId="2161A650" w14:textId="77777777" w:rsidR="003F048E" w:rsidRPr="003F048E" w:rsidRDefault="003F048E" w:rsidP="003F048E">
      <w:pPr>
        <w:pStyle w:val="Text"/>
        <w:ind w:left="0"/>
        <w:jc w:val="both"/>
        <w:rPr>
          <w:rFonts w:cs="Arial"/>
          <w:iCs/>
          <w:sz w:val="20"/>
          <w:szCs w:val="22"/>
          <w:lang w:val="de-AT" w:eastAsia="de-DE"/>
        </w:rPr>
      </w:pPr>
      <w:r w:rsidRPr="003F048E">
        <w:rPr>
          <w:rFonts w:cs="Arial"/>
          <w:iCs/>
          <w:sz w:val="20"/>
          <w:szCs w:val="22"/>
          <w:lang w:val="de-AT" w:eastAsia="de-DE"/>
        </w:rPr>
        <w:t>Ein wesentlicher Bestandteil der Sicherheitsstrategie ist die sichere Integration der DFE-Subsysteme innerhalb der DFE-Architektur. Hierzu werden insbesondere Schnittstellenbedingungen, Hardware- und Infrastrukturanforderungen, Sicherheitsannahmen sowie die jeweiligen SRACs berücksichtigt und bewertet. Die hierfür erforderlichen Nachweise werden im Rahmen von Integrationsbewertungen, Verifikationsaktivitäten sowie Integrations- und Qualifikationstests erbracht.</w:t>
      </w:r>
    </w:p>
    <w:p w14:paraId="464FF056" w14:textId="77777777" w:rsidR="003F048E" w:rsidRPr="003F048E" w:rsidRDefault="003F048E" w:rsidP="003F048E">
      <w:pPr>
        <w:pStyle w:val="Text"/>
        <w:ind w:left="0"/>
        <w:jc w:val="both"/>
        <w:rPr>
          <w:rFonts w:cs="Arial"/>
          <w:iCs/>
          <w:sz w:val="20"/>
          <w:szCs w:val="22"/>
          <w:lang w:val="de-AT" w:eastAsia="de-DE"/>
        </w:rPr>
      </w:pPr>
      <w:r w:rsidRPr="003F048E">
        <w:rPr>
          <w:rFonts w:cs="Arial"/>
          <w:iCs/>
          <w:sz w:val="20"/>
          <w:szCs w:val="22"/>
          <w:lang w:val="de-AT" w:eastAsia="de-DE"/>
        </w:rPr>
        <w:t>Die Sicherheitsnachweise der DFE-Subsysteme, die Lieferantennachweise sowie die Integrationsbewertungen bilden die Grundlage für die Definition und Bewertung zulässiger Konfigurationsvarianten. Die Zusammenführung dieser Informationen erfolgt auf Ebene der Generic Application Digital Interlocking (GA DIL-ÖBB).</w:t>
      </w:r>
    </w:p>
    <w:p w14:paraId="716218C0" w14:textId="0F5105F5" w:rsidR="00082E4F" w:rsidRPr="00082E4F" w:rsidRDefault="003F048E" w:rsidP="003F048E">
      <w:pPr>
        <w:pStyle w:val="Text"/>
        <w:ind w:left="0"/>
        <w:jc w:val="both"/>
        <w:rPr>
          <w:rFonts w:cs="Arial"/>
          <w:iCs/>
          <w:sz w:val="20"/>
          <w:szCs w:val="22"/>
          <w:lang w:val="de-AT" w:eastAsia="de-DE"/>
        </w:rPr>
      </w:pPr>
      <w:r w:rsidRPr="003F048E">
        <w:rPr>
          <w:rFonts w:cs="Arial"/>
          <w:iCs/>
          <w:sz w:val="20"/>
          <w:szCs w:val="22"/>
          <w:lang w:val="de-AT" w:eastAsia="de-DE"/>
        </w:rPr>
        <w:t>Das technische Projekt DFE stellt damit sicher, dass die betrachteten DFE-Subsysteme unter Einhaltung ihrer Sicherheitsanforderungen und Randbedingungen sicher integriert und innerhalb der Generic Application Digital Interlocking betrieben werden können.</w:t>
      </w:r>
    </w:p>
    <w:p w14:paraId="56748AD6" w14:textId="77777777" w:rsidR="00082E4F" w:rsidRPr="002415B5" w:rsidRDefault="00082E4F">
      <w:pPr>
        <w:pStyle w:val="Text"/>
        <w:ind w:left="0"/>
        <w:jc w:val="both"/>
        <w:rPr>
          <w:lang w:val="de-AT"/>
        </w:rPr>
      </w:pPr>
    </w:p>
    <w:p w14:paraId="48F40708" w14:textId="793A4783" w:rsidR="00245ED2" w:rsidRPr="002415B5" w:rsidRDefault="00245ED2" w:rsidP="00245ED2">
      <w:pPr>
        <w:pStyle w:val="AppendixHeadingLevel1"/>
      </w:pPr>
      <w:bookmarkStart w:id="147" w:name="_Toc242167544"/>
      <w:r w:rsidRPr="002415B5">
        <w:lastRenderedPageBreak/>
        <w:t>VORLÄUFIGE GEFÄHRDUNGSANALYSE</w:t>
      </w:r>
      <w:bookmarkEnd w:id="147"/>
    </w:p>
    <w:p w14:paraId="79AEFEA3" w14:textId="447D22C0" w:rsidR="00245ED2" w:rsidRPr="00245ED2" w:rsidRDefault="00AB034D" w:rsidP="00AB034D">
      <w:pPr>
        <w:pStyle w:val="ULbullet1"/>
        <w:numPr>
          <w:ilvl w:val="0"/>
          <w:numId w:val="0"/>
        </w:numPr>
        <w:ind w:left="425" w:hanging="425"/>
        <w:rPr>
          <w:highlight w:val="yellow"/>
          <w:lang w:val="de-AT"/>
        </w:rPr>
      </w:pPr>
      <w:r>
        <w:rPr>
          <w:highlight w:val="yellow"/>
          <w:lang w:val="de-AT"/>
        </w:rPr>
        <w:t>OPEN</w:t>
      </w:r>
    </w:p>
    <w:p w14:paraId="3A808F36" w14:textId="77777777" w:rsidR="00D3696D" w:rsidRDefault="00D3696D">
      <w:pPr>
        <w:pStyle w:val="Text"/>
        <w:ind w:left="0"/>
        <w:jc w:val="both"/>
        <w:rPr>
          <w:lang w:val="de-AT"/>
        </w:rPr>
      </w:pPr>
    </w:p>
    <w:p w14:paraId="7102D8B1" w14:textId="77777777" w:rsidR="00D3696D" w:rsidRDefault="0083585D">
      <w:pPr>
        <w:pStyle w:val="EndOfDocument"/>
      </w:pPr>
      <w:r>
        <w:rPr>
          <w:lang w:val="de-AT"/>
        </w:rPr>
        <w:t xml:space="preserve"> </w:t>
      </w:r>
      <w:r>
        <w:t>ENDE DES DOKUMENTS</w:t>
      </w:r>
    </w:p>
    <w:p w14:paraId="1367FBE8" w14:textId="77777777" w:rsidR="00D3696D" w:rsidRDefault="00D3696D">
      <w:pPr>
        <w:pStyle w:val="Text"/>
        <w:ind w:left="0"/>
        <w:jc w:val="both"/>
        <w:rPr>
          <w:lang w:val="de-AT"/>
        </w:rPr>
      </w:pPr>
    </w:p>
    <w:sectPr w:rsidR="00D3696D">
      <w:headerReference w:type="even" r:id="rId29"/>
      <w:headerReference w:type="default" r:id="rId30"/>
      <w:footerReference w:type="even" r:id="rId31"/>
      <w:headerReference w:type="first" r:id="rId32"/>
      <w:footerReference w:type="first" r:id="rId33"/>
      <w:pgSz w:w="11906" w:h="16838"/>
      <w:pgMar w:top="1418" w:right="1134" w:bottom="1559" w:left="1134" w:header="227" w:footer="22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2" w:author="POHL Manfred" w:date="2026-10-06T13:52:00Z" w:initials="MP">
    <w:p w14:paraId="3150257D" w14:textId="77777777" w:rsidR="001563FB" w:rsidRDefault="001563FB" w:rsidP="001563FB">
      <w:pPr>
        <w:pStyle w:val="CommentText"/>
      </w:pPr>
      <w:r>
        <w:rPr>
          <w:rStyle w:val="CommentReference"/>
        </w:rPr>
        <w:annotationRef/>
      </w:r>
      <w:r>
        <w:t>OC - Generic ist aber eine Anwendung des DCA3</w:t>
      </w:r>
    </w:p>
  </w:comment>
  <w:comment w:id="137" w:author="POHL Manfred" w:date="2026-09-18T10:25:00Z" w:initials="MP">
    <w:p w14:paraId="0B07F79C" w14:textId="77777777" w:rsidR="00ED251A" w:rsidRDefault="00ED251A" w:rsidP="00ED251A">
      <w:pPr>
        <w:pStyle w:val="CommentText"/>
      </w:pPr>
      <w:r>
        <w:rPr>
          <w:rStyle w:val="CommentReference"/>
        </w:rPr>
        <w:annotationRef/>
      </w:r>
      <w:r>
        <w:t>Abstimmen mit 200er Dokument</w:t>
      </w:r>
    </w:p>
    <w:p w14:paraId="4BB2DD9C" w14:textId="77777777" w:rsidR="00ED251A" w:rsidRDefault="00ED251A" w:rsidP="00ED251A">
      <w:pPr>
        <w:pStyle w:val="CommentText"/>
      </w:pPr>
      <w:r>
        <w:t>Danach verfeinern auf DFE Ebene, so notwendig</w:t>
      </w:r>
    </w:p>
    <w:p w14:paraId="27EC7D85" w14:textId="77777777" w:rsidR="00ED251A" w:rsidRDefault="00ED251A" w:rsidP="00ED251A">
      <w:pPr>
        <w:pStyle w:val="CommentText"/>
      </w:pPr>
      <w:r>
        <w:t>Reine HW Themen (z.B. HW Voting) gehören eigentlich hier in dieses Sicherheitskonzept</w:t>
      </w:r>
    </w:p>
    <w:p w14:paraId="7B9EC5BC" w14:textId="77777777" w:rsidR="00ED251A" w:rsidRDefault="00ED251A" w:rsidP="00ED251A">
      <w:pPr>
        <w:pStyle w:val="CommentText"/>
      </w:pPr>
      <w:r>
        <w:t>Was noch geprüft gehört ist, ob hier nicht auch der Interfacekonverter genauer durchleuchtet gehört.</w:t>
      </w:r>
    </w:p>
  </w:comment>
  <w:comment w:id="136" w:author="POHL Manfred" w:date="2026-10-08T11:22:00Z" w:initials="MP">
    <w:p w14:paraId="71307031" w14:textId="77777777" w:rsidR="007453E9" w:rsidRDefault="007453E9" w:rsidP="007453E9">
      <w:pPr>
        <w:pStyle w:val="CommentText"/>
      </w:pPr>
      <w:r>
        <w:rPr>
          <w:rStyle w:val="CommentReference"/>
        </w:rPr>
        <w:annotationRef/>
      </w:r>
      <w:r>
        <w:t>Ocs nicht unser Thema</w:t>
      </w:r>
    </w:p>
    <w:p w14:paraId="6A4D0C32" w14:textId="77777777" w:rsidR="007453E9" w:rsidRDefault="007453E9" w:rsidP="007453E9">
      <w:pPr>
        <w:pStyle w:val="CommentText"/>
      </w:pPr>
      <w:r>
        <w:t>IFC Architektur noch nicht bekannt, daher kann eine Sicherheitsstrategie nur gemeinsam mit der Entwicklung erarbeitet werden</w:t>
      </w:r>
    </w:p>
    <w:p w14:paraId="51F886E3" w14:textId="77777777" w:rsidR="007453E9" w:rsidRDefault="007453E9" w:rsidP="007453E9">
      <w:pPr>
        <w:pStyle w:val="CommentText"/>
      </w:pPr>
      <w:r>
        <w:t>FES nicht SIL daher auch keine Sicherheitsstrategie</w:t>
      </w:r>
    </w:p>
  </w:comment>
  <w:comment w:id="131" w:author="POHL Manfred" w:date="2026-10-08T14:24:00Z" w:initials="MP">
    <w:p w14:paraId="6AA57B38" w14:textId="77777777" w:rsidR="0011396A" w:rsidRDefault="0011396A" w:rsidP="0011396A">
      <w:pPr>
        <w:pStyle w:val="CommentText"/>
      </w:pPr>
      <w:r>
        <w:rPr>
          <w:rStyle w:val="CommentReference"/>
        </w:rPr>
        <w:annotationRef/>
      </w:r>
      <w:r>
        <w:t>IFC :</w:t>
      </w:r>
    </w:p>
    <w:p w14:paraId="542F62D3" w14:textId="2061676B" w:rsidR="0011396A" w:rsidRDefault="0011396A" w:rsidP="0011396A">
      <w:pPr>
        <w:pStyle w:val="CommentText"/>
      </w:pPr>
      <w:r>
        <w:rPr>
          <w:noProof/>
        </w:rPr>
        <w:drawing>
          <wp:inline distT="0" distB="0" distL="0" distR="0" wp14:anchorId="53C945FE" wp14:editId="7F1FAB6B">
            <wp:extent cx="5115639" cy="466790"/>
            <wp:effectExtent l="0" t="0" r="8890" b="9525"/>
            <wp:docPr id="197554176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41765" name="Picture 1975541765" descr="Image"/>
                    <pic:cNvPicPr/>
                  </pic:nvPicPr>
                  <pic:blipFill>
                    <a:blip r:embed="rId1"/>
                    <a:stretch>
                      <a:fillRect/>
                    </a:stretch>
                  </pic:blipFill>
                  <pic:spPr>
                    <a:xfrm>
                      <a:off x="0" y="0"/>
                      <a:ext cx="5115639" cy="466790"/>
                    </a:xfrm>
                    <a:prstGeom prst="rect">
                      <a:avLst/>
                    </a:prstGeom>
                  </pic:spPr>
                </pic:pic>
              </a:graphicData>
            </a:graphic>
          </wp:inline>
        </w:drawing>
      </w:r>
    </w:p>
  </w:comment>
  <w:comment w:id="132" w:author="POHL Manfred" w:date="2026-10-08T14:25:00Z" w:initials="MP">
    <w:p w14:paraId="39EDA86A" w14:textId="77777777" w:rsidR="0011396A" w:rsidRDefault="0011396A" w:rsidP="0011396A">
      <w:pPr>
        <w:pStyle w:val="CommentText"/>
      </w:pPr>
      <w:r>
        <w:rPr>
          <w:rStyle w:val="CommentReference"/>
        </w:rPr>
        <w:annotationRef/>
      </w:r>
      <w:r>
        <w:t>CMUX und IFC wiederum verwendet eine TAS Platform (Ausprägung „not-redundant“). Eine Beschreibung der verwendeten Mechanismen ist in Safety Concept, Two Diverse SW channels on the same HW Board [SC_2CAN1HW] enthalten.</w:t>
      </w:r>
    </w:p>
    <w:p w14:paraId="6D62B881" w14:textId="77777777" w:rsidR="0011396A" w:rsidRDefault="0011396A" w:rsidP="0011396A">
      <w:pPr>
        <w:pStyle w:val="CommentText"/>
      </w:pPr>
      <w:r>
        <w:t>TAS Platform wird mit eigenständiger Begutachtung basierend auf Safety Case - TAS Platform Core - 2.6.0 redundant [SC PLF 2.6.0] bereitgestellt.</w:t>
      </w:r>
    </w:p>
    <w:p w14:paraId="7F4D306F" w14:textId="77777777" w:rsidR="0011396A" w:rsidRDefault="0011396A" w:rsidP="0011396A">
      <w:pPr>
        <w:pStyle w:val="CommentText"/>
      </w:pPr>
      <w:r>
        <w:rPr>
          <w:u w:val="single"/>
        </w:rPr>
        <w:t>Ziel:</w:t>
      </w:r>
      <w:r>
        <w:t xml:space="preserve"> Gemeinsame Software- und Hardwarebasis für sichere Applikationen </w:t>
      </w:r>
    </w:p>
    <w:p w14:paraId="6B35259A" w14:textId="76A43612" w:rsidR="0011396A" w:rsidRDefault="0011396A" w:rsidP="0011396A">
      <w:pPr>
        <w:pStyle w:val="CommentText"/>
      </w:pPr>
      <w:r>
        <w:rPr>
          <w:noProof/>
        </w:rPr>
        <w:drawing>
          <wp:inline distT="0" distB="0" distL="0" distR="0" wp14:anchorId="14BB3CBD" wp14:editId="57D4C73F">
            <wp:extent cx="5506218" cy="4191585"/>
            <wp:effectExtent l="0" t="0" r="0" b="0"/>
            <wp:docPr id="680337107"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7107" name="Picture 680337107" descr="Image"/>
                    <pic:cNvPicPr/>
                  </pic:nvPicPr>
                  <pic:blipFill>
                    <a:blip r:embed="rId2"/>
                    <a:stretch>
                      <a:fillRect/>
                    </a:stretch>
                  </pic:blipFill>
                  <pic:spPr>
                    <a:xfrm>
                      <a:off x="0" y="0"/>
                      <a:ext cx="5506218" cy="4191585"/>
                    </a:xfrm>
                    <a:prstGeom prst="rect">
                      <a:avLst/>
                    </a:prstGeom>
                  </pic:spPr>
                </pic:pic>
              </a:graphicData>
            </a:graphic>
          </wp:inline>
        </w:drawing>
      </w:r>
    </w:p>
  </w:comment>
  <w:comment w:id="133" w:author="POHL Manfred" w:date="2026-10-08T14:26:00Z" w:initials="MP">
    <w:p w14:paraId="70CF778B" w14:textId="29FE5C55" w:rsidR="0011396A" w:rsidRDefault="0011396A" w:rsidP="0011396A">
      <w:pPr>
        <w:pStyle w:val="CommentText"/>
      </w:pPr>
      <w:r>
        <w:rPr>
          <w:rStyle w:val="CommentReference"/>
        </w:rPr>
        <w:annotationRef/>
      </w:r>
      <w:r>
        <w:rPr>
          <w:noProof/>
        </w:rPr>
        <w:drawing>
          <wp:inline distT="0" distB="0" distL="0" distR="0" wp14:anchorId="1E28F53C" wp14:editId="09D02080">
            <wp:extent cx="6120130" cy="1154430"/>
            <wp:effectExtent l="0" t="0" r="0" b="7620"/>
            <wp:docPr id="127957391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73910" name="Picture 1279573910" descr="Image"/>
                    <pic:cNvPicPr/>
                  </pic:nvPicPr>
                  <pic:blipFill>
                    <a:blip r:embed="rId3"/>
                    <a:stretch>
                      <a:fillRect/>
                    </a:stretch>
                  </pic:blipFill>
                  <pic:spPr>
                    <a:xfrm>
                      <a:off x="0" y="0"/>
                      <a:ext cx="6120130" cy="1154430"/>
                    </a:xfrm>
                    <a:prstGeom prst="rect">
                      <a:avLst/>
                    </a:prstGeom>
                  </pic:spPr>
                </pic:pic>
              </a:graphicData>
            </a:graphic>
          </wp:inline>
        </w:drawing>
      </w:r>
    </w:p>
  </w:comment>
  <w:comment w:id="134" w:author="POHL Manfred" w:date="2026-10-08T14:26:00Z" w:initials="MP">
    <w:p w14:paraId="14D25BE1" w14:textId="77777777" w:rsidR="0011396A" w:rsidRDefault="0011396A" w:rsidP="0011396A">
      <w:pPr>
        <w:pStyle w:val="CommentText"/>
      </w:pPr>
      <w:r>
        <w:rPr>
          <w:rStyle w:val="CommentReference"/>
        </w:rPr>
        <w:annotationRef/>
      </w:r>
      <w:r>
        <w:t>+J4S</w:t>
      </w:r>
    </w:p>
  </w:comment>
  <w:comment w:id="135" w:author="POHL Manfred" w:date="2026-10-08T14:26:00Z" w:initials="MP">
    <w:p w14:paraId="7006360F" w14:textId="3F0422A6" w:rsidR="0011396A" w:rsidRDefault="0011396A" w:rsidP="0011396A">
      <w:pPr>
        <w:pStyle w:val="CommentText"/>
      </w:pPr>
      <w:r>
        <w:rPr>
          <w:rStyle w:val="CommentReference"/>
        </w:rPr>
        <w:annotationRef/>
      </w:r>
      <w:r>
        <w:rPr>
          <w:noProof/>
        </w:rPr>
        <w:drawing>
          <wp:inline distT="0" distB="0" distL="0" distR="0" wp14:anchorId="1CB2145F" wp14:editId="65C878EE">
            <wp:extent cx="6120130" cy="1334135"/>
            <wp:effectExtent l="0" t="0" r="0" b="0"/>
            <wp:docPr id="1129122525"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2525" name="Picture 1129122525" descr="Image"/>
                    <pic:cNvPicPr/>
                  </pic:nvPicPr>
                  <pic:blipFill>
                    <a:blip r:embed="rId4"/>
                    <a:stretch>
                      <a:fillRect/>
                    </a:stretch>
                  </pic:blipFill>
                  <pic:spPr>
                    <a:xfrm>
                      <a:off x="0" y="0"/>
                      <a:ext cx="6120130" cy="1334135"/>
                    </a:xfrm>
                    <a:prstGeom prst="rect">
                      <a:avLst/>
                    </a:prstGeom>
                  </pic:spPr>
                </pic:pic>
              </a:graphicData>
            </a:graphic>
          </wp:inline>
        </w:drawing>
      </w:r>
    </w:p>
  </w:comment>
  <w:comment w:id="143" w:author="POHL Manfred" w:date="2026-09-22T11:37:00Z" w:initials="MP">
    <w:p w14:paraId="57750FF0" w14:textId="77777777" w:rsidR="00605B1B" w:rsidRDefault="00605B1B" w:rsidP="00605B1B">
      <w:pPr>
        <w:pStyle w:val="CommentText"/>
      </w:pPr>
      <w:r>
        <w:rPr>
          <w:rStyle w:val="CommentReference"/>
        </w:rPr>
        <w:annotationRef/>
      </w:r>
      <w:r>
        <w:t>Dieses Kapitel sollte in den 200er wandern.</w:t>
      </w:r>
    </w:p>
  </w:comment>
  <w:comment w:id="144" w:author="BUEGER Roman" w:date="2026-10-12T12:39:00Z" w:initials="RB">
    <w:p w14:paraId="38751866" w14:textId="77777777" w:rsidR="00933B44" w:rsidRDefault="00933B44" w:rsidP="00933B44">
      <w:pPr>
        <w:pStyle w:val="CommentText"/>
      </w:pPr>
      <w:r>
        <w:rPr>
          <w:rStyle w:val="CommentReference"/>
        </w:rPr>
        <w:annotationRef/>
      </w:r>
      <w:r>
        <w:t>Habe ich bereits ins 200er übernommen, kann daher hier gelöscht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0257D" w15:done="0"/>
  <w15:commentEx w15:paraId="7B9EC5BC" w15:done="0"/>
  <w15:commentEx w15:paraId="51F886E3" w15:done="0"/>
  <w15:commentEx w15:paraId="542F62D3" w15:done="0"/>
  <w15:commentEx w15:paraId="6B35259A" w15:paraIdParent="542F62D3" w15:done="0"/>
  <w15:commentEx w15:paraId="70CF778B" w15:paraIdParent="542F62D3" w15:done="0"/>
  <w15:commentEx w15:paraId="14D25BE1" w15:paraIdParent="542F62D3" w15:done="0"/>
  <w15:commentEx w15:paraId="7006360F" w15:paraIdParent="542F62D3" w15:done="0"/>
  <w15:commentEx w15:paraId="57750FF0" w15:done="0"/>
  <w15:commentEx w15:paraId="38751866" w15:paraIdParent="57750F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25574F" w16cex:dateUtc="2026-10-06T11:52:00Z"/>
  <w16cex:commentExtensible w16cex:durableId="21F1E2F6" w16cex:dateUtc="2026-09-18T08:25:00Z"/>
  <w16cex:commentExtensible w16cex:durableId="1BA3A771" w16cex:dateUtc="2026-10-08T09:22:00Z"/>
  <w16cex:commentExtensible w16cex:durableId="1AE4AE99" w16cex:dateUtc="2026-10-08T12:24:00Z"/>
  <w16cex:commentExtensible w16cex:durableId="66CD0EB3" w16cex:dateUtc="2026-10-08T12:25:00Z"/>
  <w16cex:commentExtensible w16cex:durableId="0B0C93BD" w16cex:dateUtc="2026-10-08T12:26:00Z"/>
  <w16cex:commentExtensible w16cex:durableId="6ACB06EB" w16cex:dateUtc="2026-10-08T12:26:00Z"/>
  <w16cex:commentExtensible w16cex:durableId="67991381" w16cex:dateUtc="2026-10-08T12:26:00Z"/>
  <w16cex:commentExtensible w16cex:durableId="7BBDB42C" w16cex:dateUtc="2026-09-22T09:37:00Z"/>
  <w16cex:commentExtensible w16cex:durableId="2CFBF01F" w16cex:dateUtc="2026-10-12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0257D" w16cid:durableId="3125574F"/>
  <w16cid:commentId w16cid:paraId="7B9EC5BC" w16cid:durableId="21F1E2F6"/>
  <w16cid:commentId w16cid:paraId="51F886E3" w16cid:durableId="1BA3A771"/>
  <w16cid:commentId w16cid:paraId="542F62D3" w16cid:durableId="1AE4AE99"/>
  <w16cid:commentId w16cid:paraId="6B35259A" w16cid:durableId="66CD0EB3"/>
  <w16cid:commentId w16cid:paraId="70CF778B" w16cid:durableId="0B0C93BD"/>
  <w16cid:commentId w16cid:paraId="14D25BE1" w16cid:durableId="6ACB06EB"/>
  <w16cid:commentId w16cid:paraId="7006360F" w16cid:durableId="67991381"/>
  <w16cid:commentId w16cid:paraId="57750FF0" w16cid:durableId="7BBDB42C"/>
  <w16cid:commentId w16cid:paraId="38751866" w16cid:durableId="2CFBF0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A86C" w14:textId="77777777" w:rsidR="00ED2A4A" w:rsidRDefault="00ED2A4A">
      <w:r>
        <w:separator/>
      </w:r>
    </w:p>
    <w:p w14:paraId="55C5F2A7" w14:textId="77777777" w:rsidR="00ED2A4A" w:rsidRDefault="00ED2A4A"/>
    <w:p w14:paraId="25FACC15" w14:textId="77777777" w:rsidR="00ED2A4A" w:rsidRDefault="00ED2A4A"/>
    <w:p w14:paraId="21740C2F" w14:textId="77777777" w:rsidR="00ED2A4A" w:rsidRDefault="00ED2A4A"/>
    <w:p w14:paraId="7C0436A5" w14:textId="77777777" w:rsidR="00ED2A4A" w:rsidRDefault="00ED2A4A"/>
  </w:endnote>
  <w:endnote w:type="continuationSeparator" w:id="0">
    <w:p w14:paraId="55FF9BA7" w14:textId="77777777" w:rsidR="00ED2A4A" w:rsidRDefault="00ED2A4A">
      <w:r>
        <w:continuationSeparator/>
      </w:r>
    </w:p>
    <w:p w14:paraId="4A034443" w14:textId="77777777" w:rsidR="00ED2A4A" w:rsidRDefault="00ED2A4A"/>
    <w:p w14:paraId="7A5E9C12" w14:textId="77777777" w:rsidR="00ED2A4A" w:rsidRDefault="00ED2A4A"/>
    <w:p w14:paraId="1A9667A9" w14:textId="77777777" w:rsidR="00ED2A4A" w:rsidRDefault="00ED2A4A"/>
    <w:p w14:paraId="17138175" w14:textId="77777777" w:rsidR="00ED2A4A" w:rsidRDefault="00ED2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52204E" w:rsidRPr="00942FB9" w14:paraId="61580B85" w14:textId="77777777">
      <w:trPr>
        <w:jc w:val="center"/>
      </w:trPr>
      <w:tc>
        <w:tcPr>
          <w:tcW w:w="5400" w:type="dxa"/>
          <w:gridSpan w:val="2"/>
          <w:tcBorders>
            <w:top w:val="nil"/>
            <w:left w:val="nil"/>
            <w:bottom w:val="single" w:sz="4" w:space="0" w:color="auto"/>
            <w:right w:val="nil"/>
          </w:tcBorders>
          <w:vAlign w:val="center"/>
        </w:tcPr>
        <w:p w14:paraId="195D09B8" w14:textId="4B377816" w:rsidR="0052204E" w:rsidRPr="00942FB9" w:rsidRDefault="0052204E">
          <w:pPr>
            <w:jc w:val="center"/>
            <w:rPr>
              <w:rFonts w:ascii="Arial" w:hAnsi="Arial" w:cs="Arial"/>
              <w:b/>
              <w:sz w:val="20"/>
              <w:szCs w:val="20"/>
              <w:lang w:val="en-GB"/>
            </w:rPr>
          </w:pPr>
          <w:r w:rsidRPr="00942FB9">
            <w:rPr>
              <w:rFonts w:ascii="Arial" w:hAnsi="Arial" w:cs="Arial"/>
              <w:b/>
              <w:sz w:val="20"/>
              <w:szCs w:val="20"/>
              <w:lang w:val="en-GB"/>
            </w:rPr>
            <w:t>NOT EXPORT CONTROLLED</w:t>
          </w:r>
        </w:p>
      </w:tc>
      <w:tc>
        <w:tcPr>
          <w:tcW w:w="5040" w:type="dxa"/>
          <w:gridSpan w:val="3"/>
          <w:tcBorders>
            <w:top w:val="nil"/>
            <w:left w:val="nil"/>
            <w:bottom w:val="single" w:sz="4" w:space="0" w:color="auto"/>
            <w:right w:val="nil"/>
          </w:tcBorders>
          <w:vAlign w:val="center"/>
        </w:tcPr>
        <w:p w14:paraId="18070BB0" w14:textId="1A49DCF1" w:rsidR="0052204E" w:rsidRPr="00942FB9" w:rsidRDefault="0052204E" w:rsidP="00942FB9">
          <w:pPr>
            <w:pStyle w:val="Default"/>
            <w:jc w:val="center"/>
            <w:rPr>
              <w:rFonts w:ascii="Arial" w:hAnsi="Arial" w:cs="Arial"/>
              <w:b/>
              <w:bCs/>
              <w:color w:val="76923C"/>
              <w:sz w:val="20"/>
              <w:szCs w:val="20"/>
              <w:lang w:val="en-GB"/>
            </w:rPr>
          </w:pPr>
          <w:r w:rsidRPr="00942FB9">
            <w:rPr>
              <w:rFonts w:ascii="Arial" w:hAnsi="Arial" w:cs="Arial"/>
              <w:b/>
              <w:bCs/>
              <w:color w:val="76923C"/>
              <w:sz w:val="20"/>
              <w:szCs w:val="20"/>
              <w:lang w:val="en-GB"/>
            </w:rPr>
            <w:t>Hitachi Rail – Internal</w:t>
          </w:r>
          <w:r w:rsidRPr="00942FB9">
            <w:rPr>
              <w:rFonts w:ascii="Arial" w:hAnsi="Arial" w:cs="Arial"/>
              <w:b/>
              <w:bCs/>
              <w:color w:val="00B050"/>
              <w:sz w:val="20"/>
              <w:szCs w:val="20"/>
              <w:lang w:val="en-GB"/>
            </w:rPr>
            <w:t xml:space="preserve"> </w:t>
          </w:r>
        </w:p>
      </w:tc>
    </w:tr>
    <w:tr w:rsidR="0052204E" w:rsidRPr="00942FB9" w14:paraId="12B6CDC0"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BECA15" w14:textId="77777777" w:rsidR="0052204E" w:rsidRPr="00942FB9" w:rsidRDefault="0052204E">
          <w:pPr>
            <w:spacing w:line="240" w:lineRule="atLeast"/>
            <w:ind w:hanging="221"/>
            <w:jc w:val="center"/>
            <w:rPr>
              <w:rFonts w:ascii="Arial" w:hAnsi="Arial" w:cs="Arial"/>
              <w:b/>
              <w:sz w:val="20"/>
              <w:szCs w:val="20"/>
              <w:lang w:val="en-GB"/>
            </w:rPr>
          </w:pPr>
          <w:r w:rsidRPr="00942FB9">
            <w:rPr>
              <w:rFonts w:ascii="Arial" w:hAnsi="Arial" w:cs="Arial"/>
              <w:b/>
              <w:sz w:val="20"/>
              <w:szCs w:val="20"/>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775B3628" w14:textId="77777777" w:rsidR="0052204E" w:rsidRPr="00942FB9" w:rsidRDefault="0052204E">
          <w:pPr>
            <w:spacing w:line="240" w:lineRule="atLeast"/>
            <w:jc w:val="center"/>
            <w:rPr>
              <w:rFonts w:ascii="Arial" w:hAnsi="Arial" w:cs="Arial"/>
              <w:b/>
              <w:sz w:val="20"/>
              <w:szCs w:val="20"/>
              <w:lang w:val="en-GB"/>
            </w:rPr>
          </w:pPr>
          <w:r w:rsidRPr="00942FB9">
            <w:rPr>
              <w:rFonts w:ascii="Arial" w:hAnsi="Arial" w:cs="Arial"/>
              <w:b/>
              <w:sz w:val="20"/>
              <w:szCs w:val="20"/>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01399505" w14:textId="77777777" w:rsidR="0052204E" w:rsidRPr="00942FB9" w:rsidRDefault="0052204E">
          <w:pPr>
            <w:spacing w:line="240" w:lineRule="atLeast"/>
            <w:ind w:left="371" w:hanging="354"/>
            <w:jc w:val="center"/>
            <w:rPr>
              <w:rFonts w:ascii="Arial" w:hAnsi="Arial" w:cs="Arial"/>
              <w:b/>
              <w:sz w:val="20"/>
              <w:szCs w:val="20"/>
              <w:lang w:val="en-GB"/>
            </w:rPr>
          </w:pPr>
          <w:r w:rsidRPr="00942FB9">
            <w:rPr>
              <w:rFonts w:ascii="Arial" w:hAnsi="Arial" w:cs="Arial"/>
              <w:b/>
              <w:sz w:val="20"/>
              <w:szCs w:val="20"/>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916974B" w14:textId="77777777" w:rsidR="0052204E" w:rsidRPr="00942FB9" w:rsidRDefault="0052204E">
          <w:pPr>
            <w:spacing w:line="240" w:lineRule="atLeast"/>
            <w:jc w:val="center"/>
            <w:rPr>
              <w:rFonts w:ascii="Arial" w:hAnsi="Arial" w:cs="Arial"/>
              <w:b/>
              <w:sz w:val="20"/>
              <w:szCs w:val="20"/>
              <w:lang w:val="en-GB"/>
            </w:rPr>
          </w:pPr>
          <w:r w:rsidRPr="00942FB9">
            <w:rPr>
              <w:rFonts w:ascii="Arial" w:hAnsi="Arial" w:cs="Arial"/>
              <w:b/>
              <w:sz w:val="20"/>
              <w:szCs w:val="20"/>
              <w:lang w:val="en-GB"/>
            </w:rPr>
            <w:t>Revision</w:t>
          </w:r>
        </w:p>
      </w:tc>
    </w:tr>
    <w:tr w:rsidR="0052204E" w:rsidRPr="00942FB9" w14:paraId="7B2C0CD2"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FFF1E4" w14:textId="77777777"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3AEF7D53" w14:textId="77777777"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lang w:val="en-GB"/>
            </w:rPr>
            <w:t>601</w:t>
          </w:r>
        </w:p>
      </w:tc>
      <w:tc>
        <w:tcPr>
          <w:tcW w:w="3150" w:type="dxa"/>
          <w:tcBorders>
            <w:top w:val="single" w:sz="4" w:space="0" w:color="auto"/>
            <w:left w:val="single" w:sz="4" w:space="0" w:color="auto"/>
            <w:bottom w:val="single" w:sz="4" w:space="0" w:color="auto"/>
            <w:right w:val="single" w:sz="4" w:space="0" w:color="auto"/>
          </w:tcBorders>
        </w:tcPr>
        <w:p w14:paraId="10A7B1E8" w14:textId="77777777"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rPr>
            <w:t>16282~0241</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60DDDD" w14:textId="40DFEDBA"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lang w:val="en-GB"/>
            </w:rPr>
            <w:t>01 PD 01</w:t>
          </w:r>
        </w:p>
      </w:tc>
    </w:tr>
    <w:tr w:rsidR="0052204E" w:rsidRPr="00942FB9" w14:paraId="428B9751" w14:textId="7777777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63F4D490" w14:textId="2147F6C0"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lang w:val="en-GB"/>
            </w:rPr>
            <w:t>3BU 62800 1001 DUAP</w:t>
          </w:r>
          <w:r w:rsidR="00513AEA">
            <w:rPr>
              <w:rFonts w:ascii="Arial" w:hAnsi="Arial" w:cs="Arial"/>
              <w:sz w:val="20"/>
              <w:szCs w:val="20"/>
              <w:lang w:val="en-GB"/>
            </w:rPr>
            <w:t>C</w:t>
          </w:r>
        </w:p>
      </w:tc>
    </w:tr>
  </w:tbl>
  <w:p w14:paraId="0038D3B3" w14:textId="77777777" w:rsidR="0052204E" w:rsidRPr="00942FB9" w:rsidRDefault="0052204E">
    <w:pPr>
      <w:spacing w:before="60"/>
      <w:contextualSpacing/>
      <w:rPr>
        <w:rFonts w:ascii="Arial" w:hAnsi="Arial" w:cs="Arial"/>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52204E" w:rsidRPr="00942FB9" w14:paraId="2614CFE0" w14:textId="77777777">
      <w:trPr>
        <w:trHeight w:val="311"/>
        <w:jc w:val="center"/>
      </w:trPr>
      <w:tc>
        <w:tcPr>
          <w:tcW w:w="192" w:type="dxa"/>
          <w:vMerge w:val="restart"/>
          <w:vAlign w:val="bottom"/>
        </w:tcPr>
        <w:p w14:paraId="1F1E2244" w14:textId="77777777" w:rsidR="0052204E" w:rsidRPr="00942FB9" w:rsidRDefault="0052204E">
          <w:pPr>
            <w:rPr>
              <w:rFonts w:ascii="Arial" w:eastAsia="Calibri" w:hAnsi="Arial" w:cs="Arial"/>
              <w:sz w:val="12"/>
              <w:szCs w:val="12"/>
              <w:lang w:val="en-GB"/>
            </w:rPr>
          </w:pPr>
        </w:p>
      </w:tc>
      <w:tc>
        <w:tcPr>
          <w:tcW w:w="10014" w:type="dxa"/>
          <w:gridSpan w:val="3"/>
          <w:vAlign w:val="center"/>
        </w:tcPr>
        <w:p w14:paraId="621552EF" w14:textId="77777777" w:rsidR="0052204E" w:rsidRPr="00942FB9" w:rsidRDefault="0052204E">
          <w:pPr>
            <w:tabs>
              <w:tab w:val="center" w:pos="4536"/>
              <w:tab w:val="right" w:pos="9072"/>
            </w:tabs>
            <w:jc w:val="center"/>
            <w:rPr>
              <w:rFonts w:ascii="Arial" w:eastAsia="Calibri" w:hAnsi="Arial" w:cs="Arial"/>
              <w:sz w:val="18"/>
              <w:szCs w:val="18"/>
              <w:lang w:val="en-GB"/>
            </w:rPr>
          </w:pPr>
          <w:r w:rsidRPr="00942FB9">
            <w:rPr>
              <w:rFonts w:ascii="Arial" w:hAnsi="Arial" w:cs="Arial"/>
              <w:sz w:val="14"/>
              <w:szCs w:val="14"/>
              <w:lang w:val="en-GB"/>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vAlign w:val="bottom"/>
        </w:tcPr>
        <w:p w14:paraId="671B86F2" w14:textId="77777777" w:rsidR="0052204E" w:rsidRPr="00942FB9" w:rsidRDefault="0052204E">
          <w:pPr>
            <w:jc w:val="right"/>
            <w:rPr>
              <w:rFonts w:ascii="Arial" w:eastAsia="Calibri" w:hAnsi="Arial" w:cs="Arial"/>
              <w:sz w:val="12"/>
              <w:szCs w:val="12"/>
              <w:lang w:val="en-GB"/>
            </w:rPr>
          </w:pPr>
          <w:r w:rsidRPr="00942FB9">
            <w:rPr>
              <w:rFonts w:ascii="Arial" w:hAnsi="Arial" w:cs="Arial"/>
              <w:sz w:val="14"/>
              <w:szCs w:val="14"/>
              <w:lang w:val="en-GB"/>
            </w:rPr>
            <w:t>.</w:t>
          </w:r>
        </w:p>
      </w:tc>
    </w:tr>
    <w:tr w:rsidR="0052204E" w:rsidRPr="00942FB9" w14:paraId="622206A9" w14:textId="77777777">
      <w:trPr>
        <w:trHeight w:val="311"/>
        <w:jc w:val="center"/>
      </w:trPr>
      <w:tc>
        <w:tcPr>
          <w:tcW w:w="192" w:type="dxa"/>
          <w:vMerge/>
          <w:vAlign w:val="center"/>
        </w:tcPr>
        <w:p w14:paraId="077795AD" w14:textId="77777777" w:rsidR="0052204E" w:rsidRPr="00942FB9" w:rsidRDefault="0052204E">
          <w:pPr>
            <w:rPr>
              <w:rFonts w:ascii="Arial" w:eastAsia="Calibri" w:hAnsi="Arial" w:cs="Arial"/>
              <w:sz w:val="14"/>
              <w:szCs w:val="14"/>
              <w:lang w:val="en-GB"/>
            </w:rPr>
          </w:pPr>
        </w:p>
      </w:tc>
      <w:tc>
        <w:tcPr>
          <w:tcW w:w="3338" w:type="dxa"/>
          <w:vAlign w:val="center"/>
        </w:tcPr>
        <w:p w14:paraId="11B5C466" w14:textId="74B1B35C" w:rsidR="0052204E" w:rsidRPr="00942FB9" w:rsidRDefault="0052204E">
          <w:pPr>
            <w:rPr>
              <w:rFonts w:ascii="Arial" w:hAnsi="Arial" w:cs="Arial"/>
              <w:b/>
              <w:lang w:val="en-GB"/>
            </w:rPr>
          </w:pPr>
          <w:r w:rsidRPr="00942FB9">
            <w:rPr>
              <w:rFonts w:ascii="Arial" w:eastAsia="Calibri" w:hAnsi="Arial" w:cs="Arial"/>
              <w:sz w:val="14"/>
              <w:szCs w:val="14"/>
              <w:lang w:val="en-GB"/>
            </w:rPr>
            <w:t>90000138-DOC-GRP-EN 006</w:t>
          </w:r>
        </w:p>
      </w:tc>
      <w:tc>
        <w:tcPr>
          <w:tcW w:w="3338" w:type="dxa"/>
          <w:vAlign w:val="center"/>
        </w:tcPr>
        <w:p w14:paraId="053C3987" w14:textId="77777777" w:rsidR="0052204E" w:rsidRPr="00942FB9" w:rsidRDefault="0052204E">
          <w:pPr>
            <w:jc w:val="center"/>
            <w:rPr>
              <w:rFonts w:ascii="Arial" w:hAnsi="Arial" w:cs="Arial"/>
              <w:b/>
              <w:sz w:val="20"/>
              <w:szCs w:val="20"/>
              <w:lang w:val="en-GB"/>
            </w:rPr>
          </w:pPr>
          <w:r w:rsidRPr="00942FB9">
            <w:rPr>
              <w:rFonts w:ascii="Arial" w:hAnsi="Arial" w:cs="Arial"/>
              <w:sz w:val="20"/>
              <w:szCs w:val="20"/>
              <w:lang w:val="en-GB" w:eastAsia="fr-FR"/>
            </w:rPr>
            <w:fldChar w:fldCharType="begin"/>
          </w:r>
          <w:r w:rsidRPr="00942FB9">
            <w:rPr>
              <w:rFonts w:ascii="Arial" w:hAnsi="Arial" w:cs="Arial"/>
              <w:sz w:val="20"/>
              <w:szCs w:val="20"/>
              <w:lang w:val="en-GB" w:eastAsia="fr-FR"/>
            </w:rPr>
            <w:instrText xml:space="preserve"> PAGE </w:instrText>
          </w:r>
          <w:r w:rsidRPr="00942FB9">
            <w:rPr>
              <w:rFonts w:ascii="Arial" w:hAnsi="Arial" w:cs="Arial"/>
              <w:sz w:val="20"/>
              <w:szCs w:val="20"/>
              <w:lang w:val="en-GB" w:eastAsia="fr-FR"/>
            </w:rPr>
            <w:fldChar w:fldCharType="separate"/>
          </w:r>
          <w:r w:rsidRPr="00942FB9">
            <w:rPr>
              <w:rFonts w:ascii="Arial" w:hAnsi="Arial" w:cs="Arial"/>
              <w:sz w:val="20"/>
              <w:szCs w:val="20"/>
              <w:lang w:val="en-GB" w:eastAsia="fr-FR"/>
            </w:rPr>
            <w:t>2</w:t>
          </w:r>
          <w:r w:rsidRPr="00942FB9">
            <w:rPr>
              <w:rFonts w:ascii="Arial" w:hAnsi="Arial" w:cs="Arial"/>
              <w:sz w:val="20"/>
              <w:szCs w:val="20"/>
              <w:lang w:val="en-GB" w:eastAsia="fr-FR"/>
            </w:rPr>
            <w:fldChar w:fldCharType="end"/>
          </w:r>
          <w:r w:rsidRPr="00942FB9">
            <w:rPr>
              <w:rFonts w:ascii="Arial" w:hAnsi="Arial" w:cs="Arial"/>
              <w:sz w:val="20"/>
              <w:szCs w:val="20"/>
              <w:lang w:val="en-GB" w:eastAsia="fr-FR"/>
            </w:rPr>
            <w:t xml:space="preserve"> / </w:t>
          </w:r>
          <w:r w:rsidRPr="00942FB9">
            <w:rPr>
              <w:rFonts w:ascii="Arial" w:hAnsi="Arial" w:cs="Arial"/>
              <w:sz w:val="20"/>
              <w:szCs w:val="20"/>
              <w:lang w:val="en-GB" w:eastAsia="fr-FR"/>
            </w:rPr>
            <w:fldChar w:fldCharType="begin"/>
          </w:r>
          <w:r w:rsidRPr="00942FB9">
            <w:rPr>
              <w:rFonts w:ascii="Arial" w:hAnsi="Arial" w:cs="Arial"/>
              <w:sz w:val="20"/>
              <w:szCs w:val="20"/>
              <w:lang w:val="en-GB" w:eastAsia="fr-FR"/>
            </w:rPr>
            <w:instrText xml:space="preserve"> NUMPAGES </w:instrText>
          </w:r>
          <w:r w:rsidRPr="00942FB9">
            <w:rPr>
              <w:rFonts w:ascii="Arial" w:hAnsi="Arial" w:cs="Arial"/>
              <w:sz w:val="20"/>
              <w:szCs w:val="20"/>
              <w:lang w:val="en-GB" w:eastAsia="fr-FR"/>
            </w:rPr>
            <w:fldChar w:fldCharType="separate"/>
          </w:r>
          <w:r w:rsidRPr="00942FB9">
            <w:rPr>
              <w:rFonts w:ascii="Arial" w:hAnsi="Arial" w:cs="Arial"/>
              <w:sz w:val="20"/>
              <w:szCs w:val="20"/>
              <w:lang w:val="en-GB" w:eastAsia="fr-FR"/>
            </w:rPr>
            <w:t>10</w:t>
          </w:r>
          <w:r w:rsidRPr="00942FB9">
            <w:rPr>
              <w:rFonts w:ascii="Arial" w:hAnsi="Arial" w:cs="Arial"/>
              <w:sz w:val="20"/>
              <w:szCs w:val="20"/>
              <w:lang w:val="en-GB" w:eastAsia="fr-FR"/>
            </w:rPr>
            <w:fldChar w:fldCharType="end"/>
          </w:r>
        </w:p>
      </w:tc>
      <w:tc>
        <w:tcPr>
          <w:tcW w:w="3338" w:type="dxa"/>
          <w:vAlign w:val="center"/>
        </w:tcPr>
        <w:p w14:paraId="7277938E" w14:textId="77777777" w:rsidR="0052204E" w:rsidRPr="00942FB9" w:rsidRDefault="0052204E">
          <w:pPr>
            <w:jc w:val="center"/>
            <w:rPr>
              <w:rFonts w:ascii="Arial" w:hAnsi="Arial" w:cs="Arial"/>
              <w:b/>
              <w:lang w:val="en-GB"/>
            </w:rPr>
          </w:pPr>
        </w:p>
      </w:tc>
      <w:tc>
        <w:tcPr>
          <w:tcW w:w="229" w:type="dxa"/>
          <w:vMerge/>
          <w:vAlign w:val="center"/>
        </w:tcPr>
        <w:p w14:paraId="7064B288" w14:textId="77777777" w:rsidR="0052204E" w:rsidRPr="00942FB9" w:rsidRDefault="0052204E">
          <w:pPr>
            <w:jc w:val="right"/>
            <w:rPr>
              <w:rFonts w:ascii="Arial" w:hAnsi="Arial" w:cs="Arial"/>
              <w:sz w:val="14"/>
              <w:szCs w:val="14"/>
              <w:lang w:val="en-GB"/>
            </w:rPr>
          </w:pPr>
        </w:p>
      </w:tc>
    </w:tr>
  </w:tbl>
  <w:p w14:paraId="4E6679F4" w14:textId="77777777" w:rsidR="0052204E" w:rsidRDefault="0052204E">
    <w:pPr>
      <w:tabs>
        <w:tab w:val="center" w:pos="4680"/>
        <w:tab w:val="right" w:pos="9360"/>
      </w:tabs>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9EDD" w14:textId="77777777" w:rsidR="0052204E" w:rsidRDefault="005220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E80C" w14:textId="77777777" w:rsidR="0052204E" w:rsidRDefault="00522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E70FB" w14:textId="77777777" w:rsidR="00ED2A4A" w:rsidRDefault="00ED2A4A">
      <w:r>
        <w:separator/>
      </w:r>
    </w:p>
  </w:footnote>
  <w:footnote w:type="continuationSeparator" w:id="0">
    <w:p w14:paraId="155CF981" w14:textId="77777777" w:rsidR="00ED2A4A" w:rsidRDefault="00ED2A4A">
      <w:r>
        <w:continuationSeparator/>
      </w:r>
    </w:p>
    <w:p w14:paraId="2ADC7BD8" w14:textId="77777777" w:rsidR="00ED2A4A" w:rsidRDefault="00ED2A4A"/>
    <w:p w14:paraId="6787C6DD" w14:textId="77777777" w:rsidR="00ED2A4A" w:rsidRDefault="00ED2A4A"/>
    <w:p w14:paraId="5EE4EB5E" w14:textId="77777777" w:rsidR="00ED2A4A" w:rsidRDefault="00ED2A4A"/>
    <w:p w14:paraId="0F26623F" w14:textId="77777777" w:rsidR="00ED2A4A" w:rsidRDefault="00ED2A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6639"/>
      <w:gridCol w:w="3551"/>
    </w:tblGrid>
    <w:tr w:rsidR="0052204E" w14:paraId="48BB0357" w14:textId="77777777">
      <w:tc>
        <w:tcPr>
          <w:tcW w:w="7205" w:type="dxa"/>
        </w:tcPr>
        <w:p w14:paraId="27E69DF9" w14:textId="1DE7B596" w:rsidR="0052204E" w:rsidRDefault="0052204E">
          <w:pPr>
            <w:spacing w:before="60" w:after="60" w:line="220" w:lineRule="exact"/>
            <w:rPr>
              <w:rFonts w:ascii="HelveticaNeueLT Std" w:hAnsi="HelveticaNeueLT Std"/>
              <w:sz w:val="21"/>
              <w:szCs w:val="21"/>
              <w:lang w:val="fr-FR"/>
            </w:rPr>
          </w:pPr>
          <w:r>
            <w:rPr>
              <w:rFonts w:ascii="HelveticaNeueLT Std" w:hAnsi="HelveticaNeueLT Std"/>
              <w:sz w:val="21"/>
              <w:szCs w:val="21"/>
              <w:lang w:val="fr-FR"/>
            </w:rPr>
            <w:t>Hitachi Rail Austria GmbH</w:t>
          </w:r>
        </w:p>
        <w:p w14:paraId="55472F53" w14:textId="77777777" w:rsidR="0052204E" w:rsidRDefault="0052204E">
          <w:pPr>
            <w:spacing w:before="60" w:after="60" w:line="220" w:lineRule="exact"/>
            <w:rPr>
              <w:rFonts w:ascii="HelveticaNeueLT Std" w:hAnsi="HelveticaNeueLT Std"/>
              <w:sz w:val="21"/>
              <w:szCs w:val="21"/>
              <w:lang w:val="fr-FR"/>
            </w:rPr>
          </w:pPr>
          <w:hyperlink r:id="rId1" w:history="1">
            <w:r>
              <w:rPr>
                <w:rStyle w:val="Hyperlink"/>
                <w:rFonts w:ascii="HelveticaNeueLT Std" w:hAnsi="HelveticaNeueLT Std"/>
                <w:sz w:val="21"/>
                <w:szCs w:val="21"/>
                <w:lang w:val="fr-FR"/>
              </w:rPr>
              <w:t>www.hitachirail.com</w:t>
            </w:r>
          </w:hyperlink>
        </w:p>
      </w:tc>
      <w:tc>
        <w:tcPr>
          <w:tcW w:w="2985" w:type="dxa"/>
        </w:tcPr>
        <w:p w14:paraId="26EF6323" w14:textId="77777777" w:rsidR="0052204E" w:rsidRDefault="0052204E">
          <w:pPr>
            <w:ind w:right="-364"/>
            <w:jc w:val="right"/>
            <w:rPr>
              <w:rFonts w:ascii="HelveticaNeueLT Std" w:hAnsi="HelveticaNeueLT Std"/>
              <w:sz w:val="21"/>
              <w:szCs w:val="21"/>
              <w:lang w:val="en-GB"/>
            </w:rPr>
          </w:pPr>
          <w:r>
            <w:rPr>
              <w:rFonts w:ascii="HelveticaNeueLT Std" w:hAnsi="HelveticaNeueLT Std"/>
              <w:noProof/>
              <w:sz w:val="21"/>
              <w:szCs w:val="21"/>
              <w:lang w:val="fr-FR" w:eastAsia="fr-FR"/>
            </w:rPr>
            <w:drawing>
              <wp:inline distT="0" distB="0" distL="0" distR="0" wp14:anchorId="5ADF1EC5" wp14:editId="3CAC481A">
                <wp:extent cx="2117754" cy="695746"/>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stretch>
                          <a:fillRect/>
                        </a:stretch>
                      </pic:blipFill>
                      <pic:spPr bwMode="auto">
                        <a:xfrm>
                          <a:off x="0" y="0"/>
                          <a:ext cx="2117754" cy="695746"/>
                        </a:xfrm>
                        <a:prstGeom prst="rect">
                          <a:avLst/>
                        </a:prstGeom>
                        <a:noFill/>
                        <a:ln>
                          <a:noFill/>
                        </a:ln>
                      </pic:spPr>
                    </pic:pic>
                  </a:graphicData>
                </a:graphic>
              </wp:inline>
            </w:drawing>
          </w:r>
        </w:p>
      </w:tc>
    </w:tr>
  </w:tbl>
  <w:p w14:paraId="497C0156" w14:textId="77777777" w:rsidR="0052204E" w:rsidRDefault="00522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706E" w14:textId="77777777" w:rsidR="0052204E" w:rsidRDefault="005220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52204E" w14:paraId="051536F8" w14:textId="77777777">
      <w:trPr>
        <w:trHeight w:val="851"/>
      </w:trPr>
      <w:tc>
        <w:tcPr>
          <w:tcW w:w="6984" w:type="dxa"/>
          <w:vAlign w:val="center"/>
        </w:tcPr>
        <w:p w14:paraId="1A08CE45" w14:textId="7BE7E9D5" w:rsidR="0052204E" w:rsidRDefault="00ED2A4A">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52204E">
                <w:rPr>
                  <w:rFonts w:ascii="HelveticaNeueLT Std" w:hAnsi="HelveticaNeueLT Std"/>
                  <w:sz w:val="24"/>
                  <w:szCs w:val="32"/>
                </w:rPr>
                <w:t>Sicherheitskonzept DFE</w:t>
              </w:r>
            </w:sdtContent>
          </w:sdt>
        </w:p>
      </w:tc>
      <w:tc>
        <w:tcPr>
          <w:tcW w:w="2916" w:type="dxa"/>
          <w:vAlign w:val="center"/>
        </w:tcPr>
        <w:p w14:paraId="5EDDFBE4" w14:textId="6318E0DE" w:rsidR="0052204E" w:rsidRDefault="0052204E">
          <w:pPr>
            <w:pStyle w:val="Headerbar"/>
            <w:pBdr>
              <w:bottom w:val="none" w:sz="0" w:space="0" w:color="auto"/>
            </w:pBdr>
            <w:shd w:val="clear" w:color="auto" w:fill="auto"/>
            <w:jc w:val="right"/>
          </w:pPr>
          <w:r>
            <w:rPr>
              <w:noProof/>
              <w:lang w:val="fr-FR" w:eastAsia="fr-FR"/>
            </w:rPr>
            <w:drawing>
              <wp:anchor distT="0" distB="0" distL="114300" distR="114300" simplePos="0" relativeHeight="251658240" behindDoc="0" locked="0" layoutInCell="1" allowOverlap="1" wp14:anchorId="1AE13732" wp14:editId="4D0F2BAA">
                <wp:simplePos x="0" y="0"/>
                <wp:positionH relativeFrom="column">
                  <wp:posOffset>363855</wp:posOffset>
                </wp:positionH>
                <wp:positionV relativeFrom="paragraph">
                  <wp:posOffset>38735</wp:posOffset>
                </wp:positionV>
                <wp:extent cx="1356360" cy="445135"/>
                <wp:effectExtent l="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stretch>
                          <a:fillRect/>
                        </a:stretch>
                      </pic:blipFill>
                      <pic:spPr bwMode="auto">
                        <a:xfrm>
                          <a:off x="0" y="0"/>
                          <a:ext cx="1356360" cy="445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9EA731B" w14:textId="5D2E1062" w:rsidR="0052204E" w:rsidRDefault="0052204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DE33" w14:textId="77777777" w:rsidR="0052204E" w:rsidRDefault="00522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09926A5"/>
    <w:multiLevelType w:val="multilevel"/>
    <w:tmpl w:val="A3B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1627"/>
    <w:multiLevelType w:val="hybridMultilevel"/>
    <w:tmpl w:val="FE62BEBE"/>
    <w:lvl w:ilvl="0" w:tplc="A2B8D932">
      <w:start w:val="1"/>
      <w:numFmt w:val="bullet"/>
      <w:pStyle w:val="ListBullet"/>
      <w:lvlText w:val=""/>
      <w:lvlJc w:val="left"/>
      <w:pPr>
        <w:ind w:left="1440" w:hanging="360"/>
      </w:pPr>
      <w:rPr>
        <w:rFonts w:ascii="Symbol" w:hAnsi="Symbol" w:hint="default"/>
        <w:color w:val="FF0000"/>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3"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4" w15:restartNumberingAfterBreak="0">
    <w:nsid w:val="04960E40"/>
    <w:multiLevelType w:val="hybridMultilevel"/>
    <w:tmpl w:val="DE305D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6" w15:restartNumberingAfterBreak="0">
    <w:nsid w:val="0E004F4F"/>
    <w:multiLevelType w:val="hybridMultilevel"/>
    <w:tmpl w:val="839EDA10"/>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8"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0"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1" w15:restartNumberingAfterBreak="0">
    <w:nsid w:val="18EE26E3"/>
    <w:multiLevelType w:val="multilevel"/>
    <w:tmpl w:val="FFF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3"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17" w15:restartNumberingAfterBreak="0">
    <w:nsid w:val="24C84782"/>
    <w:multiLevelType w:val="multilevel"/>
    <w:tmpl w:val="100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D46F9"/>
    <w:multiLevelType w:val="hybridMultilevel"/>
    <w:tmpl w:val="1B70FF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2C9766A4"/>
    <w:multiLevelType w:val="hybridMultilevel"/>
    <w:tmpl w:val="EFFA0AF8"/>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0"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2E1A5034"/>
    <w:multiLevelType w:val="hybridMultilevel"/>
    <w:tmpl w:val="5C8A84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3" w15:restartNumberingAfterBreak="0">
    <w:nsid w:val="370B60BB"/>
    <w:multiLevelType w:val="hybridMultilevel"/>
    <w:tmpl w:val="471A322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5" w15:restartNumberingAfterBreak="0">
    <w:nsid w:val="37FA2625"/>
    <w:multiLevelType w:val="hybridMultilevel"/>
    <w:tmpl w:val="433E12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27" w15:restartNumberingAfterBreak="0">
    <w:nsid w:val="461F4C46"/>
    <w:multiLevelType w:val="hybridMultilevel"/>
    <w:tmpl w:val="D54EB4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66A263F"/>
    <w:multiLevelType w:val="hybridMultilevel"/>
    <w:tmpl w:val="066C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3B22EA"/>
    <w:multiLevelType w:val="hybridMultilevel"/>
    <w:tmpl w:val="5D785D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4955103F"/>
    <w:multiLevelType w:val="hybridMultilevel"/>
    <w:tmpl w:val="EA649A2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2" w15:restartNumberingAfterBreak="0">
    <w:nsid w:val="4D4F1E2A"/>
    <w:multiLevelType w:val="multilevel"/>
    <w:tmpl w:val="F26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4" w15:restartNumberingAfterBreak="0">
    <w:nsid w:val="5D60074E"/>
    <w:multiLevelType w:val="hybridMultilevel"/>
    <w:tmpl w:val="CBF075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5FBC7088"/>
    <w:multiLevelType w:val="multilevel"/>
    <w:tmpl w:val="A0F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9FE723E"/>
    <w:multiLevelType w:val="hybridMultilevel"/>
    <w:tmpl w:val="EA4630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6BBE38C1"/>
    <w:multiLevelType w:val="hybridMultilevel"/>
    <w:tmpl w:val="05B653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0"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CA47D3A"/>
    <w:multiLevelType w:val="multilevel"/>
    <w:tmpl w:val="D75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86264"/>
    <w:multiLevelType w:val="multilevel"/>
    <w:tmpl w:val="A9FA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991661">
    <w:abstractNumId w:val="0"/>
  </w:num>
  <w:num w:numId="2" w16cid:durableId="921715675">
    <w:abstractNumId w:val="15"/>
  </w:num>
  <w:num w:numId="3" w16cid:durableId="592280187">
    <w:abstractNumId w:val="20"/>
  </w:num>
  <w:num w:numId="4" w16cid:durableId="1327244348">
    <w:abstractNumId w:val="40"/>
  </w:num>
  <w:num w:numId="5" w16cid:durableId="1697343987">
    <w:abstractNumId w:val="39"/>
  </w:num>
  <w:num w:numId="6" w16cid:durableId="828446917">
    <w:abstractNumId w:val="3"/>
  </w:num>
  <w:num w:numId="7" w16cid:durableId="1839953923">
    <w:abstractNumId w:val="7"/>
  </w:num>
  <w:num w:numId="8" w16cid:durableId="866678391">
    <w:abstractNumId w:val="9"/>
  </w:num>
  <w:num w:numId="9" w16cid:durableId="814416579">
    <w:abstractNumId w:val="22"/>
  </w:num>
  <w:num w:numId="10" w16cid:durableId="1850099463">
    <w:abstractNumId w:val="24"/>
  </w:num>
  <w:num w:numId="11" w16cid:durableId="915943040">
    <w:abstractNumId w:val="10"/>
  </w:num>
  <w:num w:numId="12" w16cid:durableId="655841952">
    <w:abstractNumId w:val="14"/>
  </w:num>
  <w:num w:numId="13" w16cid:durableId="2059434985">
    <w:abstractNumId w:val="33"/>
  </w:num>
  <w:num w:numId="14" w16cid:durableId="541600886">
    <w:abstractNumId w:val="26"/>
  </w:num>
  <w:num w:numId="15" w16cid:durableId="429202966">
    <w:abstractNumId w:val="5"/>
  </w:num>
  <w:num w:numId="16" w16cid:durableId="1451121145">
    <w:abstractNumId w:val="13"/>
  </w:num>
  <w:num w:numId="17" w16cid:durableId="229316306">
    <w:abstractNumId w:val="12"/>
  </w:num>
  <w:num w:numId="18" w16cid:durableId="908349204">
    <w:abstractNumId w:val="31"/>
  </w:num>
  <w:num w:numId="19" w16cid:durableId="1497378993">
    <w:abstractNumId w:val="16"/>
  </w:num>
  <w:num w:numId="20" w16cid:durableId="1506169815">
    <w:abstractNumId w:val="36"/>
  </w:num>
  <w:num w:numId="21" w16cid:durableId="725300592">
    <w:abstractNumId w:val="8"/>
  </w:num>
  <w:num w:numId="22" w16cid:durableId="1925911820">
    <w:abstractNumId w:val="2"/>
  </w:num>
  <w:num w:numId="23" w16cid:durableId="1020008173">
    <w:abstractNumId w:val="28"/>
  </w:num>
  <w:num w:numId="24" w16cid:durableId="442383208">
    <w:abstractNumId w:val="29"/>
  </w:num>
  <w:num w:numId="25" w16cid:durableId="1230770855">
    <w:abstractNumId w:val="30"/>
  </w:num>
  <w:num w:numId="26" w16cid:durableId="2133818275">
    <w:abstractNumId w:val="34"/>
  </w:num>
  <w:num w:numId="27" w16cid:durableId="1541631721">
    <w:abstractNumId w:val="32"/>
  </w:num>
  <w:num w:numId="28" w16cid:durableId="421724322">
    <w:abstractNumId w:val="42"/>
  </w:num>
  <w:num w:numId="29" w16cid:durableId="166676996">
    <w:abstractNumId w:val="21"/>
  </w:num>
  <w:num w:numId="30" w16cid:durableId="887186341">
    <w:abstractNumId w:val="6"/>
  </w:num>
  <w:num w:numId="31" w16cid:durableId="1995527598">
    <w:abstractNumId w:val="25"/>
  </w:num>
  <w:num w:numId="32" w16cid:durableId="1437478173">
    <w:abstractNumId w:val="17"/>
  </w:num>
  <w:num w:numId="33" w16cid:durableId="1472285221">
    <w:abstractNumId w:val="23"/>
  </w:num>
  <w:num w:numId="34" w16cid:durableId="1387222667">
    <w:abstractNumId w:val="38"/>
  </w:num>
  <w:num w:numId="35" w16cid:durableId="1053775678">
    <w:abstractNumId w:val="18"/>
  </w:num>
  <w:num w:numId="36" w16cid:durableId="217517429">
    <w:abstractNumId w:val="1"/>
  </w:num>
  <w:num w:numId="37" w16cid:durableId="1140195338">
    <w:abstractNumId w:val="19"/>
  </w:num>
  <w:num w:numId="38" w16cid:durableId="1670215127">
    <w:abstractNumId w:val="4"/>
  </w:num>
  <w:num w:numId="39" w16cid:durableId="1405644736">
    <w:abstractNumId w:val="37"/>
  </w:num>
  <w:num w:numId="40" w16cid:durableId="751585973">
    <w:abstractNumId w:val="27"/>
  </w:num>
  <w:num w:numId="41" w16cid:durableId="882446212">
    <w:abstractNumId w:val="11"/>
  </w:num>
  <w:num w:numId="42" w16cid:durableId="1061099807">
    <w:abstractNumId w:val="41"/>
  </w:num>
  <w:num w:numId="43" w16cid:durableId="1599870643">
    <w:abstractNumId w:val="35"/>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HL Manfred">
    <w15:presenceInfo w15:providerId="AD" w15:userId="S::manfred.pohl@gts.hitachirail.com::2604ef67-f105-4b0a-8c7e-857a3870c8fd"/>
  </w15:person>
  <w15:person w15:author="BUEGER Roman">
    <w15:presenceInfo w15:providerId="AD" w15:userId="S::T0071510@urbanandmainlines.com::c9cd4fd2-a9d0-41f4-bd96-328eb61c9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CH"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324"/>
    <w:rsid w:val="000035A1"/>
    <w:rsid w:val="00003D8F"/>
    <w:rsid w:val="00005B8F"/>
    <w:rsid w:val="00005BFC"/>
    <w:rsid w:val="00007816"/>
    <w:rsid w:val="00013548"/>
    <w:rsid w:val="0001416B"/>
    <w:rsid w:val="00014AC6"/>
    <w:rsid w:val="00017A73"/>
    <w:rsid w:val="00020946"/>
    <w:rsid w:val="00020EE5"/>
    <w:rsid w:val="00025FF7"/>
    <w:rsid w:val="00032206"/>
    <w:rsid w:val="0003269D"/>
    <w:rsid w:val="000346E5"/>
    <w:rsid w:val="00034CB7"/>
    <w:rsid w:val="00035BEB"/>
    <w:rsid w:val="000361EE"/>
    <w:rsid w:val="00037A8F"/>
    <w:rsid w:val="00042D05"/>
    <w:rsid w:val="0004435D"/>
    <w:rsid w:val="00047D6C"/>
    <w:rsid w:val="00047FA6"/>
    <w:rsid w:val="0005215C"/>
    <w:rsid w:val="00053540"/>
    <w:rsid w:val="00054F6F"/>
    <w:rsid w:val="0005516F"/>
    <w:rsid w:val="00055824"/>
    <w:rsid w:val="00056556"/>
    <w:rsid w:val="00061C76"/>
    <w:rsid w:val="00061FD0"/>
    <w:rsid w:val="00062777"/>
    <w:rsid w:val="00062DA0"/>
    <w:rsid w:val="000640E0"/>
    <w:rsid w:val="0006414F"/>
    <w:rsid w:val="00066A4E"/>
    <w:rsid w:val="000719A4"/>
    <w:rsid w:val="000739B3"/>
    <w:rsid w:val="00074CD8"/>
    <w:rsid w:val="00077152"/>
    <w:rsid w:val="000773C2"/>
    <w:rsid w:val="000821DD"/>
    <w:rsid w:val="00082354"/>
    <w:rsid w:val="00082E4F"/>
    <w:rsid w:val="000906D6"/>
    <w:rsid w:val="0009280D"/>
    <w:rsid w:val="00092B10"/>
    <w:rsid w:val="00093DC2"/>
    <w:rsid w:val="000946F4"/>
    <w:rsid w:val="00094CA3"/>
    <w:rsid w:val="00095368"/>
    <w:rsid w:val="00096FA4"/>
    <w:rsid w:val="000A030C"/>
    <w:rsid w:val="000A0614"/>
    <w:rsid w:val="000A1046"/>
    <w:rsid w:val="000A3DCD"/>
    <w:rsid w:val="000A418F"/>
    <w:rsid w:val="000A47E8"/>
    <w:rsid w:val="000A4CC9"/>
    <w:rsid w:val="000A5F19"/>
    <w:rsid w:val="000A76F6"/>
    <w:rsid w:val="000A7A99"/>
    <w:rsid w:val="000A7CE7"/>
    <w:rsid w:val="000B0472"/>
    <w:rsid w:val="000B0C45"/>
    <w:rsid w:val="000B2DD3"/>
    <w:rsid w:val="000B4789"/>
    <w:rsid w:val="000B4A2B"/>
    <w:rsid w:val="000B55C4"/>
    <w:rsid w:val="000B736A"/>
    <w:rsid w:val="000B773D"/>
    <w:rsid w:val="000B7B15"/>
    <w:rsid w:val="000C1173"/>
    <w:rsid w:val="000C18E0"/>
    <w:rsid w:val="000C4F40"/>
    <w:rsid w:val="000C70A5"/>
    <w:rsid w:val="000D6BB4"/>
    <w:rsid w:val="000D7BD7"/>
    <w:rsid w:val="000E0D76"/>
    <w:rsid w:val="000E1F53"/>
    <w:rsid w:val="000E6C50"/>
    <w:rsid w:val="000E76CC"/>
    <w:rsid w:val="000E78DC"/>
    <w:rsid w:val="000F57B4"/>
    <w:rsid w:val="00101C8F"/>
    <w:rsid w:val="0010533F"/>
    <w:rsid w:val="00105D4E"/>
    <w:rsid w:val="00111BCA"/>
    <w:rsid w:val="0011201C"/>
    <w:rsid w:val="00112987"/>
    <w:rsid w:val="0011396A"/>
    <w:rsid w:val="001148B6"/>
    <w:rsid w:val="00114C4B"/>
    <w:rsid w:val="001152F3"/>
    <w:rsid w:val="00115885"/>
    <w:rsid w:val="00115FBF"/>
    <w:rsid w:val="0012143D"/>
    <w:rsid w:val="00122B12"/>
    <w:rsid w:val="001267BF"/>
    <w:rsid w:val="0013055A"/>
    <w:rsid w:val="0013335B"/>
    <w:rsid w:val="00133D7A"/>
    <w:rsid w:val="00133E68"/>
    <w:rsid w:val="001406A0"/>
    <w:rsid w:val="00141B69"/>
    <w:rsid w:val="00143B6A"/>
    <w:rsid w:val="00147C5F"/>
    <w:rsid w:val="00150E46"/>
    <w:rsid w:val="001538EC"/>
    <w:rsid w:val="00153ED5"/>
    <w:rsid w:val="00155801"/>
    <w:rsid w:val="001561E9"/>
    <w:rsid w:val="0015630A"/>
    <w:rsid w:val="001563FB"/>
    <w:rsid w:val="00161ED9"/>
    <w:rsid w:val="00171AAA"/>
    <w:rsid w:val="00172C9A"/>
    <w:rsid w:val="001747D4"/>
    <w:rsid w:val="001762D2"/>
    <w:rsid w:val="001766CF"/>
    <w:rsid w:val="00176C25"/>
    <w:rsid w:val="00176E7C"/>
    <w:rsid w:val="00180B90"/>
    <w:rsid w:val="001818D8"/>
    <w:rsid w:val="00181D6C"/>
    <w:rsid w:val="00181FA8"/>
    <w:rsid w:val="00184419"/>
    <w:rsid w:val="00184C27"/>
    <w:rsid w:val="00184E62"/>
    <w:rsid w:val="001851E4"/>
    <w:rsid w:val="001867B5"/>
    <w:rsid w:val="0019479A"/>
    <w:rsid w:val="00197140"/>
    <w:rsid w:val="00197414"/>
    <w:rsid w:val="00197ACA"/>
    <w:rsid w:val="00197D58"/>
    <w:rsid w:val="00197ED8"/>
    <w:rsid w:val="001A3073"/>
    <w:rsid w:val="001A404C"/>
    <w:rsid w:val="001A4495"/>
    <w:rsid w:val="001A55BE"/>
    <w:rsid w:val="001A6AC5"/>
    <w:rsid w:val="001A7052"/>
    <w:rsid w:val="001A7B1E"/>
    <w:rsid w:val="001B1D00"/>
    <w:rsid w:val="001B2E2A"/>
    <w:rsid w:val="001B4F4F"/>
    <w:rsid w:val="001B628D"/>
    <w:rsid w:val="001C1E9D"/>
    <w:rsid w:val="001C2A9C"/>
    <w:rsid w:val="001C4410"/>
    <w:rsid w:val="001C648D"/>
    <w:rsid w:val="001C7461"/>
    <w:rsid w:val="001C7E56"/>
    <w:rsid w:val="001D0924"/>
    <w:rsid w:val="001D167B"/>
    <w:rsid w:val="001D1C7F"/>
    <w:rsid w:val="001D56C5"/>
    <w:rsid w:val="001E23EF"/>
    <w:rsid w:val="001E339D"/>
    <w:rsid w:val="001E6259"/>
    <w:rsid w:val="001E62B4"/>
    <w:rsid w:val="001E71FC"/>
    <w:rsid w:val="001E72E5"/>
    <w:rsid w:val="001E7B48"/>
    <w:rsid w:val="001F0219"/>
    <w:rsid w:val="001F146F"/>
    <w:rsid w:val="001F1CCB"/>
    <w:rsid w:val="00202281"/>
    <w:rsid w:val="00202B6C"/>
    <w:rsid w:val="0020312F"/>
    <w:rsid w:val="00203803"/>
    <w:rsid w:val="00203AF2"/>
    <w:rsid w:val="002063FE"/>
    <w:rsid w:val="002064C2"/>
    <w:rsid w:val="00207368"/>
    <w:rsid w:val="0020764A"/>
    <w:rsid w:val="00210B3E"/>
    <w:rsid w:val="00212393"/>
    <w:rsid w:val="002142B3"/>
    <w:rsid w:val="00215DB6"/>
    <w:rsid w:val="0021636F"/>
    <w:rsid w:val="0021661C"/>
    <w:rsid w:val="00216C17"/>
    <w:rsid w:val="002202B5"/>
    <w:rsid w:val="00222E14"/>
    <w:rsid w:val="002233AE"/>
    <w:rsid w:val="002237A8"/>
    <w:rsid w:val="0023262A"/>
    <w:rsid w:val="00232687"/>
    <w:rsid w:val="00233E26"/>
    <w:rsid w:val="00236C32"/>
    <w:rsid w:val="002415B5"/>
    <w:rsid w:val="002430C7"/>
    <w:rsid w:val="00244E28"/>
    <w:rsid w:val="00245ED2"/>
    <w:rsid w:val="00247AB5"/>
    <w:rsid w:val="00247FD5"/>
    <w:rsid w:val="00250525"/>
    <w:rsid w:val="00251D42"/>
    <w:rsid w:val="00253CE2"/>
    <w:rsid w:val="002573A2"/>
    <w:rsid w:val="002578A0"/>
    <w:rsid w:val="00260BC5"/>
    <w:rsid w:val="00260BE9"/>
    <w:rsid w:val="00262134"/>
    <w:rsid w:val="00263477"/>
    <w:rsid w:val="002653EE"/>
    <w:rsid w:val="00265CAF"/>
    <w:rsid w:val="00266BB7"/>
    <w:rsid w:val="00272319"/>
    <w:rsid w:val="00275D53"/>
    <w:rsid w:val="002765AD"/>
    <w:rsid w:val="00276C2C"/>
    <w:rsid w:val="002774B8"/>
    <w:rsid w:val="0027765E"/>
    <w:rsid w:val="00277DA7"/>
    <w:rsid w:val="00280859"/>
    <w:rsid w:val="00280B73"/>
    <w:rsid w:val="00285F80"/>
    <w:rsid w:val="002860A7"/>
    <w:rsid w:val="0029270B"/>
    <w:rsid w:val="00293532"/>
    <w:rsid w:val="00293771"/>
    <w:rsid w:val="0029503F"/>
    <w:rsid w:val="00296345"/>
    <w:rsid w:val="002A0334"/>
    <w:rsid w:val="002A1DDB"/>
    <w:rsid w:val="002A50DF"/>
    <w:rsid w:val="002A515D"/>
    <w:rsid w:val="002A5A8B"/>
    <w:rsid w:val="002A6A8C"/>
    <w:rsid w:val="002A70A7"/>
    <w:rsid w:val="002B0042"/>
    <w:rsid w:val="002B07B4"/>
    <w:rsid w:val="002B5FC4"/>
    <w:rsid w:val="002B6833"/>
    <w:rsid w:val="002B68FE"/>
    <w:rsid w:val="002B73A3"/>
    <w:rsid w:val="002C0FB5"/>
    <w:rsid w:val="002C26CF"/>
    <w:rsid w:val="002C3401"/>
    <w:rsid w:val="002C3BC6"/>
    <w:rsid w:val="002C5D59"/>
    <w:rsid w:val="002C6734"/>
    <w:rsid w:val="002D55C3"/>
    <w:rsid w:val="002D5D83"/>
    <w:rsid w:val="002D618C"/>
    <w:rsid w:val="002D687D"/>
    <w:rsid w:val="002D6CC3"/>
    <w:rsid w:val="002E0C78"/>
    <w:rsid w:val="002E183E"/>
    <w:rsid w:val="002E5186"/>
    <w:rsid w:val="002E53F3"/>
    <w:rsid w:val="002E783D"/>
    <w:rsid w:val="002E7E4B"/>
    <w:rsid w:val="002F25AF"/>
    <w:rsid w:val="002F3034"/>
    <w:rsid w:val="002F4B7D"/>
    <w:rsid w:val="002F61D3"/>
    <w:rsid w:val="00300D9A"/>
    <w:rsid w:val="0030493C"/>
    <w:rsid w:val="00304F72"/>
    <w:rsid w:val="00306392"/>
    <w:rsid w:val="00306930"/>
    <w:rsid w:val="00307D33"/>
    <w:rsid w:val="00310469"/>
    <w:rsid w:val="00313DBA"/>
    <w:rsid w:val="00314F43"/>
    <w:rsid w:val="0031627C"/>
    <w:rsid w:val="003176BC"/>
    <w:rsid w:val="00320A07"/>
    <w:rsid w:val="003216E4"/>
    <w:rsid w:val="00323AF0"/>
    <w:rsid w:val="00325B57"/>
    <w:rsid w:val="00326506"/>
    <w:rsid w:val="00327C86"/>
    <w:rsid w:val="00330A2E"/>
    <w:rsid w:val="00333AC8"/>
    <w:rsid w:val="003366C2"/>
    <w:rsid w:val="00337516"/>
    <w:rsid w:val="00337FA3"/>
    <w:rsid w:val="00342E2E"/>
    <w:rsid w:val="00343835"/>
    <w:rsid w:val="00345D4A"/>
    <w:rsid w:val="00351375"/>
    <w:rsid w:val="003538D8"/>
    <w:rsid w:val="00354747"/>
    <w:rsid w:val="00356CF1"/>
    <w:rsid w:val="00356F7F"/>
    <w:rsid w:val="0036141C"/>
    <w:rsid w:val="00362183"/>
    <w:rsid w:val="0036224F"/>
    <w:rsid w:val="00362B86"/>
    <w:rsid w:val="00362C69"/>
    <w:rsid w:val="0036303C"/>
    <w:rsid w:val="003634A9"/>
    <w:rsid w:val="003655F4"/>
    <w:rsid w:val="0036632C"/>
    <w:rsid w:val="00366FBC"/>
    <w:rsid w:val="0036752C"/>
    <w:rsid w:val="00370292"/>
    <w:rsid w:val="00370C7D"/>
    <w:rsid w:val="00371A83"/>
    <w:rsid w:val="00372658"/>
    <w:rsid w:val="00372F4C"/>
    <w:rsid w:val="00375663"/>
    <w:rsid w:val="00380725"/>
    <w:rsid w:val="00380BAD"/>
    <w:rsid w:val="00380FC5"/>
    <w:rsid w:val="00381219"/>
    <w:rsid w:val="00382B12"/>
    <w:rsid w:val="003848BB"/>
    <w:rsid w:val="00384B67"/>
    <w:rsid w:val="00384CE2"/>
    <w:rsid w:val="00385972"/>
    <w:rsid w:val="0038689F"/>
    <w:rsid w:val="00387F23"/>
    <w:rsid w:val="003901FB"/>
    <w:rsid w:val="0039178D"/>
    <w:rsid w:val="00394A7C"/>
    <w:rsid w:val="003950BF"/>
    <w:rsid w:val="00395560"/>
    <w:rsid w:val="00396260"/>
    <w:rsid w:val="003A050A"/>
    <w:rsid w:val="003A08AD"/>
    <w:rsid w:val="003A10AA"/>
    <w:rsid w:val="003A2E0C"/>
    <w:rsid w:val="003A3E3E"/>
    <w:rsid w:val="003A440E"/>
    <w:rsid w:val="003A53CB"/>
    <w:rsid w:val="003B0B0C"/>
    <w:rsid w:val="003B1269"/>
    <w:rsid w:val="003B18D8"/>
    <w:rsid w:val="003B1F71"/>
    <w:rsid w:val="003B2757"/>
    <w:rsid w:val="003B41D7"/>
    <w:rsid w:val="003B4449"/>
    <w:rsid w:val="003B77F1"/>
    <w:rsid w:val="003B78FB"/>
    <w:rsid w:val="003C1DFD"/>
    <w:rsid w:val="003C20D0"/>
    <w:rsid w:val="003C23A5"/>
    <w:rsid w:val="003C4751"/>
    <w:rsid w:val="003C5C3A"/>
    <w:rsid w:val="003D16AF"/>
    <w:rsid w:val="003D23F4"/>
    <w:rsid w:val="003D2D67"/>
    <w:rsid w:val="003D3D6A"/>
    <w:rsid w:val="003D6491"/>
    <w:rsid w:val="003D7CE9"/>
    <w:rsid w:val="003E0D5C"/>
    <w:rsid w:val="003E2107"/>
    <w:rsid w:val="003E2114"/>
    <w:rsid w:val="003E2E0A"/>
    <w:rsid w:val="003E4F6B"/>
    <w:rsid w:val="003E51A6"/>
    <w:rsid w:val="003E522E"/>
    <w:rsid w:val="003E636B"/>
    <w:rsid w:val="003E7C2A"/>
    <w:rsid w:val="003F048E"/>
    <w:rsid w:val="003F5A5F"/>
    <w:rsid w:val="003F5C37"/>
    <w:rsid w:val="003F60A5"/>
    <w:rsid w:val="0040343D"/>
    <w:rsid w:val="00403576"/>
    <w:rsid w:val="00404041"/>
    <w:rsid w:val="004056B0"/>
    <w:rsid w:val="00410503"/>
    <w:rsid w:val="00410F90"/>
    <w:rsid w:val="00412CF1"/>
    <w:rsid w:val="0041467A"/>
    <w:rsid w:val="004147C5"/>
    <w:rsid w:val="004149CC"/>
    <w:rsid w:val="00415E89"/>
    <w:rsid w:val="00416001"/>
    <w:rsid w:val="00423227"/>
    <w:rsid w:val="00424232"/>
    <w:rsid w:val="00424783"/>
    <w:rsid w:val="00424C5A"/>
    <w:rsid w:val="004254E5"/>
    <w:rsid w:val="00426471"/>
    <w:rsid w:val="0043364D"/>
    <w:rsid w:val="00435295"/>
    <w:rsid w:val="00435712"/>
    <w:rsid w:val="0043596E"/>
    <w:rsid w:val="00436F93"/>
    <w:rsid w:val="00440EB9"/>
    <w:rsid w:val="00446C6B"/>
    <w:rsid w:val="00447B95"/>
    <w:rsid w:val="004536AF"/>
    <w:rsid w:val="00453E8A"/>
    <w:rsid w:val="00454996"/>
    <w:rsid w:val="0045534F"/>
    <w:rsid w:val="00455BD5"/>
    <w:rsid w:val="00460F22"/>
    <w:rsid w:val="004611DC"/>
    <w:rsid w:val="004641CF"/>
    <w:rsid w:val="00466CD3"/>
    <w:rsid w:val="004708EA"/>
    <w:rsid w:val="004721C5"/>
    <w:rsid w:val="00474F56"/>
    <w:rsid w:val="00476176"/>
    <w:rsid w:val="004774B9"/>
    <w:rsid w:val="00477D41"/>
    <w:rsid w:val="00481E92"/>
    <w:rsid w:val="0048678A"/>
    <w:rsid w:val="004871C7"/>
    <w:rsid w:val="0049097F"/>
    <w:rsid w:val="00492CA8"/>
    <w:rsid w:val="00494FFF"/>
    <w:rsid w:val="004953CC"/>
    <w:rsid w:val="004955AB"/>
    <w:rsid w:val="00496C9F"/>
    <w:rsid w:val="004975AB"/>
    <w:rsid w:val="004A01C3"/>
    <w:rsid w:val="004A0984"/>
    <w:rsid w:val="004A0C4C"/>
    <w:rsid w:val="004A230D"/>
    <w:rsid w:val="004A3338"/>
    <w:rsid w:val="004A44FD"/>
    <w:rsid w:val="004A4B64"/>
    <w:rsid w:val="004B2572"/>
    <w:rsid w:val="004B2BC9"/>
    <w:rsid w:val="004B4276"/>
    <w:rsid w:val="004B67F9"/>
    <w:rsid w:val="004B6B83"/>
    <w:rsid w:val="004C2857"/>
    <w:rsid w:val="004C3156"/>
    <w:rsid w:val="004C63BC"/>
    <w:rsid w:val="004C7F0D"/>
    <w:rsid w:val="004D02BE"/>
    <w:rsid w:val="004D0427"/>
    <w:rsid w:val="004D1502"/>
    <w:rsid w:val="004D1CD6"/>
    <w:rsid w:val="004D23DC"/>
    <w:rsid w:val="004D311F"/>
    <w:rsid w:val="004D3A6F"/>
    <w:rsid w:val="004D3B2D"/>
    <w:rsid w:val="004D4593"/>
    <w:rsid w:val="004D4751"/>
    <w:rsid w:val="004D5987"/>
    <w:rsid w:val="004D5B92"/>
    <w:rsid w:val="004D6B21"/>
    <w:rsid w:val="004D6F71"/>
    <w:rsid w:val="004D77DB"/>
    <w:rsid w:val="004E0479"/>
    <w:rsid w:val="004E23F1"/>
    <w:rsid w:val="004E7163"/>
    <w:rsid w:val="004F1F8F"/>
    <w:rsid w:val="004F2022"/>
    <w:rsid w:val="004F2C9F"/>
    <w:rsid w:val="004F59FB"/>
    <w:rsid w:val="004F5C1D"/>
    <w:rsid w:val="005005BF"/>
    <w:rsid w:val="00501825"/>
    <w:rsid w:val="00504DBF"/>
    <w:rsid w:val="0050515C"/>
    <w:rsid w:val="005107C1"/>
    <w:rsid w:val="0051090A"/>
    <w:rsid w:val="0051115E"/>
    <w:rsid w:val="0051148E"/>
    <w:rsid w:val="00513297"/>
    <w:rsid w:val="00513AEA"/>
    <w:rsid w:val="00514BB5"/>
    <w:rsid w:val="00514CB8"/>
    <w:rsid w:val="00516949"/>
    <w:rsid w:val="00517C46"/>
    <w:rsid w:val="0052020E"/>
    <w:rsid w:val="00520C88"/>
    <w:rsid w:val="00520FF1"/>
    <w:rsid w:val="00521C6E"/>
    <w:rsid w:val="0052204E"/>
    <w:rsid w:val="005233D2"/>
    <w:rsid w:val="00523C4D"/>
    <w:rsid w:val="00527A51"/>
    <w:rsid w:val="00527F94"/>
    <w:rsid w:val="00532115"/>
    <w:rsid w:val="005322F4"/>
    <w:rsid w:val="005326D0"/>
    <w:rsid w:val="0053759C"/>
    <w:rsid w:val="00546D30"/>
    <w:rsid w:val="0054719E"/>
    <w:rsid w:val="00550397"/>
    <w:rsid w:val="005521F0"/>
    <w:rsid w:val="00554E1F"/>
    <w:rsid w:val="00556197"/>
    <w:rsid w:val="0055790D"/>
    <w:rsid w:val="005606F6"/>
    <w:rsid w:val="005609EF"/>
    <w:rsid w:val="00560A93"/>
    <w:rsid w:val="005617B5"/>
    <w:rsid w:val="00564541"/>
    <w:rsid w:val="005645D2"/>
    <w:rsid w:val="0056516C"/>
    <w:rsid w:val="005659DB"/>
    <w:rsid w:val="00567A9E"/>
    <w:rsid w:val="00571838"/>
    <w:rsid w:val="00571AC2"/>
    <w:rsid w:val="0057260C"/>
    <w:rsid w:val="00572A00"/>
    <w:rsid w:val="00574072"/>
    <w:rsid w:val="005744D6"/>
    <w:rsid w:val="00574AD1"/>
    <w:rsid w:val="00580596"/>
    <w:rsid w:val="00582F57"/>
    <w:rsid w:val="0058346A"/>
    <w:rsid w:val="00587097"/>
    <w:rsid w:val="00591147"/>
    <w:rsid w:val="00591281"/>
    <w:rsid w:val="00591DA8"/>
    <w:rsid w:val="0059318A"/>
    <w:rsid w:val="00593EDC"/>
    <w:rsid w:val="0059482F"/>
    <w:rsid w:val="00597F84"/>
    <w:rsid w:val="00597FB7"/>
    <w:rsid w:val="005A15D6"/>
    <w:rsid w:val="005A2349"/>
    <w:rsid w:val="005A3AC0"/>
    <w:rsid w:val="005A40EF"/>
    <w:rsid w:val="005A5EC1"/>
    <w:rsid w:val="005A700B"/>
    <w:rsid w:val="005A7977"/>
    <w:rsid w:val="005B08E0"/>
    <w:rsid w:val="005B1115"/>
    <w:rsid w:val="005B267B"/>
    <w:rsid w:val="005B4558"/>
    <w:rsid w:val="005B4DA9"/>
    <w:rsid w:val="005B4F67"/>
    <w:rsid w:val="005B7610"/>
    <w:rsid w:val="005B781F"/>
    <w:rsid w:val="005C0187"/>
    <w:rsid w:val="005C1C93"/>
    <w:rsid w:val="005C20EB"/>
    <w:rsid w:val="005C2CC6"/>
    <w:rsid w:val="005C2D9C"/>
    <w:rsid w:val="005D0012"/>
    <w:rsid w:val="005D128B"/>
    <w:rsid w:val="005D1C62"/>
    <w:rsid w:val="005D1CEA"/>
    <w:rsid w:val="005D34DE"/>
    <w:rsid w:val="005D4124"/>
    <w:rsid w:val="005D4397"/>
    <w:rsid w:val="005D53B9"/>
    <w:rsid w:val="005D5476"/>
    <w:rsid w:val="005D6093"/>
    <w:rsid w:val="005D6791"/>
    <w:rsid w:val="005D73E0"/>
    <w:rsid w:val="005E1807"/>
    <w:rsid w:val="005E24BA"/>
    <w:rsid w:val="005E5DD1"/>
    <w:rsid w:val="005E633D"/>
    <w:rsid w:val="005F04EA"/>
    <w:rsid w:val="005F13D0"/>
    <w:rsid w:val="005F5972"/>
    <w:rsid w:val="005F5A89"/>
    <w:rsid w:val="005F7415"/>
    <w:rsid w:val="00601573"/>
    <w:rsid w:val="006028CE"/>
    <w:rsid w:val="00603C29"/>
    <w:rsid w:val="00605B1B"/>
    <w:rsid w:val="00610E0A"/>
    <w:rsid w:val="00611335"/>
    <w:rsid w:val="00611516"/>
    <w:rsid w:val="00617284"/>
    <w:rsid w:val="00620DFD"/>
    <w:rsid w:val="00621158"/>
    <w:rsid w:val="00621561"/>
    <w:rsid w:val="00621652"/>
    <w:rsid w:val="00623A51"/>
    <w:rsid w:val="00625DFE"/>
    <w:rsid w:val="0062687B"/>
    <w:rsid w:val="006309A6"/>
    <w:rsid w:val="0063556F"/>
    <w:rsid w:val="00635C3D"/>
    <w:rsid w:val="006373ED"/>
    <w:rsid w:val="00641215"/>
    <w:rsid w:val="006427FC"/>
    <w:rsid w:val="006442F4"/>
    <w:rsid w:val="006445A2"/>
    <w:rsid w:val="00644758"/>
    <w:rsid w:val="00653847"/>
    <w:rsid w:val="00655BE5"/>
    <w:rsid w:val="0065766D"/>
    <w:rsid w:val="00657696"/>
    <w:rsid w:val="00661755"/>
    <w:rsid w:val="00661AA2"/>
    <w:rsid w:val="00661AEA"/>
    <w:rsid w:val="00661D12"/>
    <w:rsid w:val="00661D66"/>
    <w:rsid w:val="0066272C"/>
    <w:rsid w:val="006649BE"/>
    <w:rsid w:val="00664D7B"/>
    <w:rsid w:val="00664EC5"/>
    <w:rsid w:val="006656FB"/>
    <w:rsid w:val="0066712E"/>
    <w:rsid w:val="00670710"/>
    <w:rsid w:val="00676598"/>
    <w:rsid w:val="0067660D"/>
    <w:rsid w:val="00680D2A"/>
    <w:rsid w:val="00681433"/>
    <w:rsid w:val="00682BBE"/>
    <w:rsid w:val="00684E49"/>
    <w:rsid w:val="006857FC"/>
    <w:rsid w:val="0068587B"/>
    <w:rsid w:val="00687FA7"/>
    <w:rsid w:val="00691422"/>
    <w:rsid w:val="006916D2"/>
    <w:rsid w:val="00691B9E"/>
    <w:rsid w:val="006926A9"/>
    <w:rsid w:val="006933AE"/>
    <w:rsid w:val="00697527"/>
    <w:rsid w:val="00697574"/>
    <w:rsid w:val="006A0BFD"/>
    <w:rsid w:val="006A13BC"/>
    <w:rsid w:val="006A1545"/>
    <w:rsid w:val="006A19A8"/>
    <w:rsid w:val="006A1BC2"/>
    <w:rsid w:val="006A3868"/>
    <w:rsid w:val="006A50E4"/>
    <w:rsid w:val="006A6525"/>
    <w:rsid w:val="006A67BF"/>
    <w:rsid w:val="006A700B"/>
    <w:rsid w:val="006A7BEC"/>
    <w:rsid w:val="006B0E68"/>
    <w:rsid w:val="006B3AD6"/>
    <w:rsid w:val="006B7758"/>
    <w:rsid w:val="006C6BCC"/>
    <w:rsid w:val="006D3693"/>
    <w:rsid w:val="006D5F81"/>
    <w:rsid w:val="006E17AA"/>
    <w:rsid w:val="006E3ABA"/>
    <w:rsid w:val="006E559F"/>
    <w:rsid w:val="006E635F"/>
    <w:rsid w:val="006F4EDB"/>
    <w:rsid w:val="006F57CE"/>
    <w:rsid w:val="006F5C2F"/>
    <w:rsid w:val="006F720D"/>
    <w:rsid w:val="0070114B"/>
    <w:rsid w:val="00702242"/>
    <w:rsid w:val="00703A7C"/>
    <w:rsid w:val="00705571"/>
    <w:rsid w:val="007059EC"/>
    <w:rsid w:val="007077F6"/>
    <w:rsid w:val="00710460"/>
    <w:rsid w:val="00710BAB"/>
    <w:rsid w:val="00715772"/>
    <w:rsid w:val="00716EE8"/>
    <w:rsid w:val="0072035B"/>
    <w:rsid w:val="007214AD"/>
    <w:rsid w:val="00723E41"/>
    <w:rsid w:val="00726A06"/>
    <w:rsid w:val="00731D7A"/>
    <w:rsid w:val="00734889"/>
    <w:rsid w:val="00736C10"/>
    <w:rsid w:val="00737337"/>
    <w:rsid w:val="00737CE9"/>
    <w:rsid w:val="00740E4B"/>
    <w:rsid w:val="00741524"/>
    <w:rsid w:val="007435DA"/>
    <w:rsid w:val="007453E9"/>
    <w:rsid w:val="00746134"/>
    <w:rsid w:val="00746256"/>
    <w:rsid w:val="00747486"/>
    <w:rsid w:val="00753AC8"/>
    <w:rsid w:val="00754535"/>
    <w:rsid w:val="00754CC6"/>
    <w:rsid w:val="00754E7F"/>
    <w:rsid w:val="00757A5C"/>
    <w:rsid w:val="0076199E"/>
    <w:rsid w:val="00763BC8"/>
    <w:rsid w:val="00763F5E"/>
    <w:rsid w:val="00764AAE"/>
    <w:rsid w:val="007662D4"/>
    <w:rsid w:val="00766EBD"/>
    <w:rsid w:val="00767C55"/>
    <w:rsid w:val="00770881"/>
    <w:rsid w:val="007713F1"/>
    <w:rsid w:val="0077146D"/>
    <w:rsid w:val="00773B50"/>
    <w:rsid w:val="00775639"/>
    <w:rsid w:val="00775A39"/>
    <w:rsid w:val="007803C4"/>
    <w:rsid w:val="00780E67"/>
    <w:rsid w:val="00784396"/>
    <w:rsid w:val="007851FA"/>
    <w:rsid w:val="00786879"/>
    <w:rsid w:val="00790917"/>
    <w:rsid w:val="00792D05"/>
    <w:rsid w:val="00796488"/>
    <w:rsid w:val="007A0D88"/>
    <w:rsid w:val="007A39F5"/>
    <w:rsid w:val="007A3D62"/>
    <w:rsid w:val="007B2D60"/>
    <w:rsid w:val="007B338A"/>
    <w:rsid w:val="007B3788"/>
    <w:rsid w:val="007B4407"/>
    <w:rsid w:val="007B5F7A"/>
    <w:rsid w:val="007B5FFC"/>
    <w:rsid w:val="007C132F"/>
    <w:rsid w:val="007C1AE8"/>
    <w:rsid w:val="007C31C5"/>
    <w:rsid w:val="007C38FE"/>
    <w:rsid w:val="007C4AD2"/>
    <w:rsid w:val="007C6423"/>
    <w:rsid w:val="007C76C0"/>
    <w:rsid w:val="007D1467"/>
    <w:rsid w:val="007D2991"/>
    <w:rsid w:val="007D6763"/>
    <w:rsid w:val="007E10AF"/>
    <w:rsid w:val="007E202B"/>
    <w:rsid w:val="007E249D"/>
    <w:rsid w:val="007E61C9"/>
    <w:rsid w:val="007E6848"/>
    <w:rsid w:val="007E6EDC"/>
    <w:rsid w:val="007F04DF"/>
    <w:rsid w:val="007F06A4"/>
    <w:rsid w:val="007F0813"/>
    <w:rsid w:val="007F36C8"/>
    <w:rsid w:val="007F7468"/>
    <w:rsid w:val="00804C86"/>
    <w:rsid w:val="00810642"/>
    <w:rsid w:val="00811838"/>
    <w:rsid w:val="008128DD"/>
    <w:rsid w:val="00812D92"/>
    <w:rsid w:val="00813CAC"/>
    <w:rsid w:val="00814A29"/>
    <w:rsid w:val="008159BB"/>
    <w:rsid w:val="008207A6"/>
    <w:rsid w:val="008218B6"/>
    <w:rsid w:val="00824081"/>
    <w:rsid w:val="0082499B"/>
    <w:rsid w:val="00824BF6"/>
    <w:rsid w:val="00825834"/>
    <w:rsid w:val="008273F4"/>
    <w:rsid w:val="008300A1"/>
    <w:rsid w:val="008319F2"/>
    <w:rsid w:val="0083228F"/>
    <w:rsid w:val="0083340C"/>
    <w:rsid w:val="00833517"/>
    <w:rsid w:val="00833EC6"/>
    <w:rsid w:val="0083585D"/>
    <w:rsid w:val="00835F90"/>
    <w:rsid w:val="00840650"/>
    <w:rsid w:val="00840FC8"/>
    <w:rsid w:val="00844581"/>
    <w:rsid w:val="008508C5"/>
    <w:rsid w:val="00851B8A"/>
    <w:rsid w:val="00851BF5"/>
    <w:rsid w:val="008533B1"/>
    <w:rsid w:val="008545AC"/>
    <w:rsid w:val="00857244"/>
    <w:rsid w:val="0085741C"/>
    <w:rsid w:val="00860B06"/>
    <w:rsid w:val="00862512"/>
    <w:rsid w:val="00862A94"/>
    <w:rsid w:val="00863B33"/>
    <w:rsid w:val="008640A1"/>
    <w:rsid w:val="00864E2A"/>
    <w:rsid w:val="00866911"/>
    <w:rsid w:val="00866D89"/>
    <w:rsid w:val="008764ED"/>
    <w:rsid w:val="00877232"/>
    <w:rsid w:val="00880B22"/>
    <w:rsid w:val="00881354"/>
    <w:rsid w:val="0088231A"/>
    <w:rsid w:val="00883980"/>
    <w:rsid w:val="00884F0D"/>
    <w:rsid w:val="00885638"/>
    <w:rsid w:val="00886C7C"/>
    <w:rsid w:val="008902B1"/>
    <w:rsid w:val="0089232B"/>
    <w:rsid w:val="00893132"/>
    <w:rsid w:val="008935AF"/>
    <w:rsid w:val="008951C3"/>
    <w:rsid w:val="00896A85"/>
    <w:rsid w:val="008A088C"/>
    <w:rsid w:val="008A1921"/>
    <w:rsid w:val="008A21AE"/>
    <w:rsid w:val="008A61A6"/>
    <w:rsid w:val="008B1FDA"/>
    <w:rsid w:val="008B3F3E"/>
    <w:rsid w:val="008B3FE5"/>
    <w:rsid w:val="008B43AE"/>
    <w:rsid w:val="008B4507"/>
    <w:rsid w:val="008B4830"/>
    <w:rsid w:val="008B5E4C"/>
    <w:rsid w:val="008B7FF1"/>
    <w:rsid w:val="008C3EC6"/>
    <w:rsid w:val="008C5CB3"/>
    <w:rsid w:val="008C6695"/>
    <w:rsid w:val="008C76C5"/>
    <w:rsid w:val="008D18E6"/>
    <w:rsid w:val="008D40AA"/>
    <w:rsid w:val="008D4ABE"/>
    <w:rsid w:val="008D79CC"/>
    <w:rsid w:val="008E0AD7"/>
    <w:rsid w:val="008E3316"/>
    <w:rsid w:val="008E604B"/>
    <w:rsid w:val="008E7141"/>
    <w:rsid w:val="008E7429"/>
    <w:rsid w:val="008E7C3C"/>
    <w:rsid w:val="008F1C5B"/>
    <w:rsid w:val="008F4879"/>
    <w:rsid w:val="008F54DD"/>
    <w:rsid w:val="008F606C"/>
    <w:rsid w:val="00901A38"/>
    <w:rsid w:val="00901FE8"/>
    <w:rsid w:val="00902CE2"/>
    <w:rsid w:val="00903544"/>
    <w:rsid w:val="00904DB6"/>
    <w:rsid w:val="009073FB"/>
    <w:rsid w:val="00907823"/>
    <w:rsid w:val="00907A72"/>
    <w:rsid w:val="009122D4"/>
    <w:rsid w:val="00912475"/>
    <w:rsid w:val="009134F2"/>
    <w:rsid w:val="00913D60"/>
    <w:rsid w:val="00913E62"/>
    <w:rsid w:val="009146F5"/>
    <w:rsid w:val="00914BB3"/>
    <w:rsid w:val="009150B8"/>
    <w:rsid w:val="009165D9"/>
    <w:rsid w:val="00916773"/>
    <w:rsid w:val="009167C7"/>
    <w:rsid w:val="00920819"/>
    <w:rsid w:val="00921864"/>
    <w:rsid w:val="009227C6"/>
    <w:rsid w:val="00922A96"/>
    <w:rsid w:val="009246F5"/>
    <w:rsid w:val="00925263"/>
    <w:rsid w:val="00925A6F"/>
    <w:rsid w:val="00931E79"/>
    <w:rsid w:val="00933B44"/>
    <w:rsid w:val="009344BF"/>
    <w:rsid w:val="009364AF"/>
    <w:rsid w:val="00936E4F"/>
    <w:rsid w:val="009370EE"/>
    <w:rsid w:val="00937B42"/>
    <w:rsid w:val="009405F0"/>
    <w:rsid w:val="00941885"/>
    <w:rsid w:val="00942FB9"/>
    <w:rsid w:val="00947996"/>
    <w:rsid w:val="0095200F"/>
    <w:rsid w:val="009535B4"/>
    <w:rsid w:val="00953D53"/>
    <w:rsid w:val="0095408D"/>
    <w:rsid w:val="009645E1"/>
    <w:rsid w:val="00965BD0"/>
    <w:rsid w:val="00965F21"/>
    <w:rsid w:val="009733D6"/>
    <w:rsid w:val="00973C9D"/>
    <w:rsid w:val="009748CA"/>
    <w:rsid w:val="00981832"/>
    <w:rsid w:val="00981CFF"/>
    <w:rsid w:val="009821D6"/>
    <w:rsid w:val="00983B06"/>
    <w:rsid w:val="0098492B"/>
    <w:rsid w:val="00985EE5"/>
    <w:rsid w:val="009862AC"/>
    <w:rsid w:val="00993185"/>
    <w:rsid w:val="009A1740"/>
    <w:rsid w:val="009A510E"/>
    <w:rsid w:val="009A7762"/>
    <w:rsid w:val="009A7822"/>
    <w:rsid w:val="009B30D1"/>
    <w:rsid w:val="009B3D3D"/>
    <w:rsid w:val="009B6021"/>
    <w:rsid w:val="009B774B"/>
    <w:rsid w:val="009B7C2E"/>
    <w:rsid w:val="009C2D84"/>
    <w:rsid w:val="009C3053"/>
    <w:rsid w:val="009C35AE"/>
    <w:rsid w:val="009C4841"/>
    <w:rsid w:val="009C487E"/>
    <w:rsid w:val="009C4A45"/>
    <w:rsid w:val="009C4FA2"/>
    <w:rsid w:val="009C551A"/>
    <w:rsid w:val="009C6769"/>
    <w:rsid w:val="009C7302"/>
    <w:rsid w:val="009C780D"/>
    <w:rsid w:val="009D24E6"/>
    <w:rsid w:val="009D460D"/>
    <w:rsid w:val="009D7218"/>
    <w:rsid w:val="009E05CF"/>
    <w:rsid w:val="009E0A29"/>
    <w:rsid w:val="009E1331"/>
    <w:rsid w:val="009E18DA"/>
    <w:rsid w:val="009E1D64"/>
    <w:rsid w:val="009E227F"/>
    <w:rsid w:val="009E3250"/>
    <w:rsid w:val="009F0F4B"/>
    <w:rsid w:val="009F3A07"/>
    <w:rsid w:val="009F6195"/>
    <w:rsid w:val="009F68B7"/>
    <w:rsid w:val="009F7A5F"/>
    <w:rsid w:val="00A0188D"/>
    <w:rsid w:val="00A03E76"/>
    <w:rsid w:val="00A03EA5"/>
    <w:rsid w:val="00A04A27"/>
    <w:rsid w:val="00A06521"/>
    <w:rsid w:val="00A07E90"/>
    <w:rsid w:val="00A1068D"/>
    <w:rsid w:val="00A10C1C"/>
    <w:rsid w:val="00A117C9"/>
    <w:rsid w:val="00A13AEA"/>
    <w:rsid w:val="00A1539C"/>
    <w:rsid w:val="00A17CE2"/>
    <w:rsid w:val="00A20B38"/>
    <w:rsid w:val="00A227CE"/>
    <w:rsid w:val="00A22BC6"/>
    <w:rsid w:val="00A24133"/>
    <w:rsid w:val="00A246E0"/>
    <w:rsid w:val="00A25779"/>
    <w:rsid w:val="00A259C5"/>
    <w:rsid w:val="00A25BED"/>
    <w:rsid w:val="00A25E4F"/>
    <w:rsid w:val="00A263C5"/>
    <w:rsid w:val="00A266F8"/>
    <w:rsid w:val="00A26AC9"/>
    <w:rsid w:val="00A30A18"/>
    <w:rsid w:val="00A32289"/>
    <w:rsid w:val="00A336E5"/>
    <w:rsid w:val="00A3580D"/>
    <w:rsid w:val="00A370FA"/>
    <w:rsid w:val="00A373E5"/>
    <w:rsid w:val="00A4196D"/>
    <w:rsid w:val="00A42A7D"/>
    <w:rsid w:val="00A4494F"/>
    <w:rsid w:val="00A44EA4"/>
    <w:rsid w:val="00A46EF1"/>
    <w:rsid w:val="00A47216"/>
    <w:rsid w:val="00A475CF"/>
    <w:rsid w:val="00A51702"/>
    <w:rsid w:val="00A53AAC"/>
    <w:rsid w:val="00A543AA"/>
    <w:rsid w:val="00A564DB"/>
    <w:rsid w:val="00A56877"/>
    <w:rsid w:val="00A56D8B"/>
    <w:rsid w:val="00A61D24"/>
    <w:rsid w:val="00A62180"/>
    <w:rsid w:val="00A64FB9"/>
    <w:rsid w:val="00A65C4E"/>
    <w:rsid w:val="00A667E8"/>
    <w:rsid w:val="00A66C6C"/>
    <w:rsid w:val="00A7210C"/>
    <w:rsid w:val="00A72609"/>
    <w:rsid w:val="00A7366D"/>
    <w:rsid w:val="00A73843"/>
    <w:rsid w:val="00A8090D"/>
    <w:rsid w:val="00A80CF6"/>
    <w:rsid w:val="00A81227"/>
    <w:rsid w:val="00A81C9F"/>
    <w:rsid w:val="00A82B08"/>
    <w:rsid w:val="00A8355F"/>
    <w:rsid w:val="00A83571"/>
    <w:rsid w:val="00A83E76"/>
    <w:rsid w:val="00A83F25"/>
    <w:rsid w:val="00A85CB0"/>
    <w:rsid w:val="00A864F7"/>
    <w:rsid w:val="00A92D13"/>
    <w:rsid w:val="00A935F7"/>
    <w:rsid w:val="00A93947"/>
    <w:rsid w:val="00A94578"/>
    <w:rsid w:val="00A958D0"/>
    <w:rsid w:val="00AA1302"/>
    <w:rsid w:val="00AA2A9E"/>
    <w:rsid w:val="00AA2E15"/>
    <w:rsid w:val="00AA68E5"/>
    <w:rsid w:val="00AA6E72"/>
    <w:rsid w:val="00AA71D1"/>
    <w:rsid w:val="00AB034D"/>
    <w:rsid w:val="00AB2EC3"/>
    <w:rsid w:val="00AB7149"/>
    <w:rsid w:val="00AC14B8"/>
    <w:rsid w:val="00AC4687"/>
    <w:rsid w:val="00AC5114"/>
    <w:rsid w:val="00AC53A1"/>
    <w:rsid w:val="00AC61A2"/>
    <w:rsid w:val="00AD038E"/>
    <w:rsid w:val="00AD04EA"/>
    <w:rsid w:val="00AD0DE0"/>
    <w:rsid w:val="00AD100E"/>
    <w:rsid w:val="00AD1A7C"/>
    <w:rsid w:val="00AD1CB9"/>
    <w:rsid w:val="00AD4124"/>
    <w:rsid w:val="00AD54CE"/>
    <w:rsid w:val="00AD6BFC"/>
    <w:rsid w:val="00AE0D3B"/>
    <w:rsid w:val="00AE0FE8"/>
    <w:rsid w:val="00AE1F42"/>
    <w:rsid w:val="00AE2C66"/>
    <w:rsid w:val="00AE2F4F"/>
    <w:rsid w:val="00AE33DA"/>
    <w:rsid w:val="00AE37D2"/>
    <w:rsid w:val="00AE47BA"/>
    <w:rsid w:val="00AE6458"/>
    <w:rsid w:val="00AF017A"/>
    <w:rsid w:val="00AF06F4"/>
    <w:rsid w:val="00AF2F45"/>
    <w:rsid w:val="00AF37E5"/>
    <w:rsid w:val="00AF5422"/>
    <w:rsid w:val="00AF54C3"/>
    <w:rsid w:val="00B002EE"/>
    <w:rsid w:val="00B00AFA"/>
    <w:rsid w:val="00B0368E"/>
    <w:rsid w:val="00B03E79"/>
    <w:rsid w:val="00B1190C"/>
    <w:rsid w:val="00B13777"/>
    <w:rsid w:val="00B13E48"/>
    <w:rsid w:val="00B14B8D"/>
    <w:rsid w:val="00B156EA"/>
    <w:rsid w:val="00B165DC"/>
    <w:rsid w:val="00B17D80"/>
    <w:rsid w:val="00B20036"/>
    <w:rsid w:val="00B21442"/>
    <w:rsid w:val="00B216C1"/>
    <w:rsid w:val="00B24587"/>
    <w:rsid w:val="00B252F6"/>
    <w:rsid w:val="00B26477"/>
    <w:rsid w:val="00B273C2"/>
    <w:rsid w:val="00B31DE2"/>
    <w:rsid w:val="00B32DBA"/>
    <w:rsid w:val="00B36EC1"/>
    <w:rsid w:val="00B36EDB"/>
    <w:rsid w:val="00B407DC"/>
    <w:rsid w:val="00B42012"/>
    <w:rsid w:val="00B4409C"/>
    <w:rsid w:val="00B44325"/>
    <w:rsid w:val="00B467FF"/>
    <w:rsid w:val="00B4706D"/>
    <w:rsid w:val="00B4777B"/>
    <w:rsid w:val="00B5310C"/>
    <w:rsid w:val="00B5313C"/>
    <w:rsid w:val="00B6119A"/>
    <w:rsid w:val="00B679B9"/>
    <w:rsid w:val="00B70ED4"/>
    <w:rsid w:val="00B71842"/>
    <w:rsid w:val="00B72E99"/>
    <w:rsid w:val="00B74982"/>
    <w:rsid w:val="00B77B13"/>
    <w:rsid w:val="00B821F1"/>
    <w:rsid w:val="00B82538"/>
    <w:rsid w:val="00B84554"/>
    <w:rsid w:val="00B8488B"/>
    <w:rsid w:val="00B852B6"/>
    <w:rsid w:val="00B85409"/>
    <w:rsid w:val="00B85AB4"/>
    <w:rsid w:val="00B85E3E"/>
    <w:rsid w:val="00B861B2"/>
    <w:rsid w:val="00B87BFF"/>
    <w:rsid w:val="00B91667"/>
    <w:rsid w:val="00B91DC3"/>
    <w:rsid w:val="00B92028"/>
    <w:rsid w:val="00B920E2"/>
    <w:rsid w:val="00B931FC"/>
    <w:rsid w:val="00B94B3D"/>
    <w:rsid w:val="00B95D62"/>
    <w:rsid w:val="00B97EA6"/>
    <w:rsid w:val="00BA0DE5"/>
    <w:rsid w:val="00BA1C91"/>
    <w:rsid w:val="00BA26F3"/>
    <w:rsid w:val="00BA40B2"/>
    <w:rsid w:val="00BA45A4"/>
    <w:rsid w:val="00BA4A4F"/>
    <w:rsid w:val="00BA68E9"/>
    <w:rsid w:val="00BA7227"/>
    <w:rsid w:val="00BA791B"/>
    <w:rsid w:val="00BB1C8F"/>
    <w:rsid w:val="00BB2401"/>
    <w:rsid w:val="00BB3D4D"/>
    <w:rsid w:val="00BB55D6"/>
    <w:rsid w:val="00BB6E3F"/>
    <w:rsid w:val="00BB718C"/>
    <w:rsid w:val="00BC0B0B"/>
    <w:rsid w:val="00BC2CAC"/>
    <w:rsid w:val="00BC59C7"/>
    <w:rsid w:val="00BC6055"/>
    <w:rsid w:val="00BC72A1"/>
    <w:rsid w:val="00BD2107"/>
    <w:rsid w:val="00BD2A41"/>
    <w:rsid w:val="00BD2EE3"/>
    <w:rsid w:val="00BD429C"/>
    <w:rsid w:val="00BD5C07"/>
    <w:rsid w:val="00BD5E30"/>
    <w:rsid w:val="00BD6C0D"/>
    <w:rsid w:val="00BE0450"/>
    <w:rsid w:val="00BE04AA"/>
    <w:rsid w:val="00BE051F"/>
    <w:rsid w:val="00BE220D"/>
    <w:rsid w:val="00BE3310"/>
    <w:rsid w:val="00BE4FB1"/>
    <w:rsid w:val="00BE6BA7"/>
    <w:rsid w:val="00BF155A"/>
    <w:rsid w:val="00BF23F8"/>
    <w:rsid w:val="00BF24C1"/>
    <w:rsid w:val="00BF52D7"/>
    <w:rsid w:val="00BF5A5E"/>
    <w:rsid w:val="00BF79C9"/>
    <w:rsid w:val="00C01CCC"/>
    <w:rsid w:val="00C021F6"/>
    <w:rsid w:val="00C04EE0"/>
    <w:rsid w:val="00C06932"/>
    <w:rsid w:val="00C071A4"/>
    <w:rsid w:val="00C07EC7"/>
    <w:rsid w:val="00C102B2"/>
    <w:rsid w:val="00C10568"/>
    <w:rsid w:val="00C10DF5"/>
    <w:rsid w:val="00C118FE"/>
    <w:rsid w:val="00C12988"/>
    <w:rsid w:val="00C1308E"/>
    <w:rsid w:val="00C15F62"/>
    <w:rsid w:val="00C202AA"/>
    <w:rsid w:val="00C2043B"/>
    <w:rsid w:val="00C23A5F"/>
    <w:rsid w:val="00C255D8"/>
    <w:rsid w:val="00C3001B"/>
    <w:rsid w:val="00C3104A"/>
    <w:rsid w:val="00C3106B"/>
    <w:rsid w:val="00C31E64"/>
    <w:rsid w:val="00C31FE9"/>
    <w:rsid w:val="00C321C2"/>
    <w:rsid w:val="00C335FF"/>
    <w:rsid w:val="00C40C41"/>
    <w:rsid w:val="00C40C6E"/>
    <w:rsid w:val="00C41541"/>
    <w:rsid w:val="00C4427F"/>
    <w:rsid w:val="00C46E3F"/>
    <w:rsid w:val="00C4750A"/>
    <w:rsid w:val="00C54553"/>
    <w:rsid w:val="00C55053"/>
    <w:rsid w:val="00C55739"/>
    <w:rsid w:val="00C570E2"/>
    <w:rsid w:val="00C60101"/>
    <w:rsid w:val="00C607D7"/>
    <w:rsid w:val="00C613D5"/>
    <w:rsid w:val="00C61D62"/>
    <w:rsid w:val="00C63C6F"/>
    <w:rsid w:val="00C65D9F"/>
    <w:rsid w:val="00C72668"/>
    <w:rsid w:val="00C73D85"/>
    <w:rsid w:val="00C7497A"/>
    <w:rsid w:val="00C757DF"/>
    <w:rsid w:val="00C75DF8"/>
    <w:rsid w:val="00C80B87"/>
    <w:rsid w:val="00C80E01"/>
    <w:rsid w:val="00C80EC6"/>
    <w:rsid w:val="00C81056"/>
    <w:rsid w:val="00C813E4"/>
    <w:rsid w:val="00C81420"/>
    <w:rsid w:val="00C82DA3"/>
    <w:rsid w:val="00C90988"/>
    <w:rsid w:val="00C91B1B"/>
    <w:rsid w:val="00C93C8E"/>
    <w:rsid w:val="00CA2C6F"/>
    <w:rsid w:val="00CA4698"/>
    <w:rsid w:val="00CA46EF"/>
    <w:rsid w:val="00CA4D08"/>
    <w:rsid w:val="00CA4E31"/>
    <w:rsid w:val="00CB295B"/>
    <w:rsid w:val="00CB4105"/>
    <w:rsid w:val="00CB5695"/>
    <w:rsid w:val="00CB71F0"/>
    <w:rsid w:val="00CC05D8"/>
    <w:rsid w:val="00CC14AE"/>
    <w:rsid w:val="00CC2260"/>
    <w:rsid w:val="00CC23A8"/>
    <w:rsid w:val="00CC2B71"/>
    <w:rsid w:val="00CC60FB"/>
    <w:rsid w:val="00CD051E"/>
    <w:rsid w:val="00CD14AA"/>
    <w:rsid w:val="00CD299A"/>
    <w:rsid w:val="00CD5699"/>
    <w:rsid w:val="00CD7749"/>
    <w:rsid w:val="00CD7B00"/>
    <w:rsid w:val="00CE19DA"/>
    <w:rsid w:val="00CE2E5C"/>
    <w:rsid w:val="00CE31F9"/>
    <w:rsid w:val="00CE4A9A"/>
    <w:rsid w:val="00CE6C37"/>
    <w:rsid w:val="00CF10A8"/>
    <w:rsid w:val="00CF1B3D"/>
    <w:rsid w:val="00CF1DE6"/>
    <w:rsid w:val="00CF5825"/>
    <w:rsid w:val="00CF68BF"/>
    <w:rsid w:val="00D001BF"/>
    <w:rsid w:val="00D0274A"/>
    <w:rsid w:val="00D04333"/>
    <w:rsid w:val="00D044F0"/>
    <w:rsid w:val="00D061C2"/>
    <w:rsid w:val="00D10EA7"/>
    <w:rsid w:val="00D13B03"/>
    <w:rsid w:val="00D15A68"/>
    <w:rsid w:val="00D16611"/>
    <w:rsid w:val="00D16D90"/>
    <w:rsid w:val="00D16E73"/>
    <w:rsid w:val="00D17CCF"/>
    <w:rsid w:val="00D17F90"/>
    <w:rsid w:val="00D22548"/>
    <w:rsid w:val="00D256DB"/>
    <w:rsid w:val="00D270C0"/>
    <w:rsid w:val="00D27330"/>
    <w:rsid w:val="00D2792A"/>
    <w:rsid w:val="00D27AE6"/>
    <w:rsid w:val="00D306E6"/>
    <w:rsid w:val="00D33857"/>
    <w:rsid w:val="00D33D15"/>
    <w:rsid w:val="00D3478C"/>
    <w:rsid w:val="00D35693"/>
    <w:rsid w:val="00D36695"/>
    <w:rsid w:val="00D3696D"/>
    <w:rsid w:val="00D40640"/>
    <w:rsid w:val="00D415F4"/>
    <w:rsid w:val="00D4477F"/>
    <w:rsid w:val="00D552D0"/>
    <w:rsid w:val="00D563D1"/>
    <w:rsid w:val="00D57E3F"/>
    <w:rsid w:val="00D62115"/>
    <w:rsid w:val="00D62966"/>
    <w:rsid w:val="00D63445"/>
    <w:rsid w:val="00D63691"/>
    <w:rsid w:val="00D63B7A"/>
    <w:rsid w:val="00D64628"/>
    <w:rsid w:val="00D64FFF"/>
    <w:rsid w:val="00D71501"/>
    <w:rsid w:val="00D72F04"/>
    <w:rsid w:val="00D7316E"/>
    <w:rsid w:val="00D74AA1"/>
    <w:rsid w:val="00D77B4C"/>
    <w:rsid w:val="00D80072"/>
    <w:rsid w:val="00D814DA"/>
    <w:rsid w:val="00D81606"/>
    <w:rsid w:val="00D81926"/>
    <w:rsid w:val="00D837E2"/>
    <w:rsid w:val="00D85D6E"/>
    <w:rsid w:val="00D864DF"/>
    <w:rsid w:val="00D86C68"/>
    <w:rsid w:val="00D907DA"/>
    <w:rsid w:val="00D912BA"/>
    <w:rsid w:val="00D9133F"/>
    <w:rsid w:val="00D91AF2"/>
    <w:rsid w:val="00D933BD"/>
    <w:rsid w:val="00D93FAB"/>
    <w:rsid w:val="00D957DA"/>
    <w:rsid w:val="00D9674E"/>
    <w:rsid w:val="00D97A01"/>
    <w:rsid w:val="00DA0CA4"/>
    <w:rsid w:val="00DA1CE3"/>
    <w:rsid w:val="00DA204E"/>
    <w:rsid w:val="00DA440B"/>
    <w:rsid w:val="00DA7F37"/>
    <w:rsid w:val="00DA7F48"/>
    <w:rsid w:val="00DB1BB8"/>
    <w:rsid w:val="00DB4D93"/>
    <w:rsid w:val="00DB6652"/>
    <w:rsid w:val="00DB684A"/>
    <w:rsid w:val="00DB6D7D"/>
    <w:rsid w:val="00DB7AC1"/>
    <w:rsid w:val="00DC3167"/>
    <w:rsid w:val="00DC497B"/>
    <w:rsid w:val="00DC5A27"/>
    <w:rsid w:val="00DC5DC0"/>
    <w:rsid w:val="00DC6948"/>
    <w:rsid w:val="00DC74A1"/>
    <w:rsid w:val="00DD0AB4"/>
    <w:rsid w:val="00DD0E26"/>
    <w:rsid w:val="00DD2F23"/>
    <w:rsid w:val="00DD56B6"/>
    <w:rsid w:val="00DD5E78"/>
    <w:rsid w:val="00DD6D53"/>
    <w:rsid w:val="00DE1C5D"/>
    <w:rsid w:val="00DE341B"/>
    <w:rsid w:val="00DE4F38"/>
    <w:rsid w:val="00DE4F77"/>
    <w:rsid w:val="00DE5DF4"/>
    <w:rsid w:val="00DF04A8"/>
    <w:rsid w:val="00DF0580"/>
    <w:rsid w:val="00DF3F2C"/>
    <w:rsid w:val="00DF4A5E"/>
    <w:rsid w:val="00E013AF"/>
    <w:rsid w:val="00E025F6"/>
    <w:rsid w:val="00E0478E"/>
    <w:rsid w:val="00E0616D"/>
    <w:rsid w:val="00E06B3B"/>
    <w:rsid w:val="00E107F2"/>
    <w:rsid w:val="00E1327C"/>
    <w:rsid w:val="00E13D1C"/>
    <w:rsid w:val="00E1404E"/>
    <w:rsid w:val="00E1703D"/>
    <w:rsid w:val="00E17251"/>
    <w:rsid w:val="00E20015"/>
    <w:rsid w:val="00E20A2D"/>
    <w:rsid w:val="00E22DFD"/>
    <w:rsid w:val="00E2328B"/>
    <w:rsid w:val="00E27EF7"/>
    <w:rsid w:val="00E311EE"/>
    <w:rsid w:val="00E31372"/>
    <w:rsid w:val="00E31F87"/>
    <w:rsid w:val="00E37F66"/>
    <w:rsid w:val="00E40A3D"/>
    <w:rsid w:val="00E41C0F"/>
    <w:rsid w:val="00E439D7"/>
    <w:rsid w:val="00E46E5A"/>
    <w:rsid w:val="00E479DE"/>
    <w:rsid w:val="00E47D13"/>
    <w:rsid w:val="00E50F40"/>
    <w:rsid w:val="00E510DD"/>
    <w:rsid w:val="00E51A2A"/>
    <w:rsid w:val="00E53648"/>
    <w:rsid w:val="00E53E18"/>
    <w:rsid w:val="00E558EC"/>
    <w:rsid w:val="00E61943"/>
    <w:rsid w:val="00E62DA5"/>
    <w:rsid w:val="00E63C88"/>
    <w:rsid w:val="00E64A3E"/>
    <w:rsid w:val="00E65314"/>
    <w:rsid w:val="00E664DE"/>
    <w:rsid w:val="00E66562"/>
    <w:rsid w:val="00E66916"/>
    <w:rsid w:val="00E702B0"/>
    <w:rsid w:val="00E70C6C"/>
    <w:rsid w:val="00E72431"/>
    <w:rsid w:val="00E731A9"/>
    <w:rsid w:val="00E73CB2"/>
    <w:rsid w:val="00E77358"/>
    <w:rsid w:val="00E777A8"/>
    <w:rsid w:val="00E77970"/>
    <w:rsid w:val="00E77A1F"/>
    <w:rsid w:val="00E83397"/>
    <w:rsid w:val="00E85864"/>
    <w:rsid w:val="00E8622D"/>
    <w:rsid w:val="00E91909"/>
    <w:rsid w:val="00E91D14"/>
    <w:rsid w:val="00E924E7"/>
    <w:rsid w:val="00E93AE4"/>
    <w:rsid w:val="00E93EAA"/>
    <w:rsid w:val="00E963B3"/>
    <w:rsid w:val="00E963C9"/>
    <w:rsid w:val="00E96539"/>
    <w:rsid w:val="00EA17D8"/>
    <w:rsid w:val="00EA2E52"/>
    <w:rsid w:val="00EA4E73"/>
    <w:rsid w:val="00EA525E"/>
    <w:rsid w:val="00EB2C4E"/>
    <w:rsid w:val="00EB2D43"/>
    <w:rsid w:val="00EB3B8F"/>
    <w:rsid w:val="00EB7E09"/>
    <w:rsid w:val="00EC00D8"/>
    <w:rsid w:val="00EC1685"/>
    <w:rsid w:val="00EC1932"/>
    <w:rsid w:val="00EC1BE4"/>
    <w:rsid w:val="00EC3A16"/>
    <w:rsid w:val="00EC3E42"/>
    <w:rsid w:val="00EC5ACF"/>
    <w:rsid w:val="00EC5B45"/>
    <w:rsid w:val="00EC63FE"/>
    <w:rsid w:val="00EC6891"/>
    <w:rsid w:val="00EC7D1F"/>
    <w:rsid w:val="00ED0055"/>
    <w:rsid w:val="00ED1909"/>
    <w:rsid w:val="00ED251A"/>
    <w:rsid w:val="00ED25E9"/>
    <w:rsid w:val="00ED2A4A"/>
    <w:rsid w:val="00ED387E"/>
    <w:rsid w:val="00ED63E2"/>
    <w:rsid w:val="00EE11B5"/>
    <w:rsid w:val="00EE1F80"/>
    <w:rsid w:val="00EE25C1"/>
    <w:rsid w:val="00EE2DFA"/>
    <w:rsid w:val="00EE372F"/>
    <w:rsid w:val="00EE40F7"/>
    <w:rsid w:val="00EE6C5C"/>
    <w:rsid w:val="00EE7F7A"/>
    <w:rsid w:val="00EF56C0"/>
    <w:rsid w:val="00F0135C"/>
    <w:rsid w:val="00F01FB0"/>
    <w:rsid w:val="00F04B99"/>
    <w:rsid w:val="00F1086C"/>
    <w:rsid w:val="00F11617"/>
    <w:rsid w:val="00F120BF"/>
    <w:rsid w:val="00F122F5"/>
    <w:rsid w:val="00F12ABE"/>
    <w:rsid w:val="00F12CE2"/>
    <w:rsid w:val="00F12D0A"/>
    <w:rsid w:val="00F13431"/>
    <w:rsid w:val="00F13BFE"/>
    <w:rsid w:val="00F14D25"/>
    <w:rsid w:val="00F15903"/>
    <w:rsid w:val="00F15D10"/>
    <w:rsid w:val="00F20E71"/>
    <w:rsid w:val="00F23A79"/>
    <w:rsid w:val="00F2402E"/>
    <w:rsid w:val="00F31B4B"/>
    <w:rsid w:val="00F33943"/>
    <w:rsid w:val="00F33F97"/>
    <w:rsid w:val="00F345F4"/>
    <w:rsid w:val="00F3519F"/>
    <w:rsid w:val="00F35800"/>
    <w:rsid w:val="00F35F14"/>
    <w:rsid w:val="00F40879"/>
    <w:rsid w:val="00F441CB"/>
    <w:rsid w:val="00F444DE"/>
    <w:rsid w:val="00F50435"/>
    <w:rsid w:val="00F52590"/>
    <w:rsid w:val="00F53471"/>
    <w:rsid w:val="00F57DC2"/>
    <w:rsid w:val="00F61A4D"/>
    <w:rsid w:val="00F62C20"/>
    <w:rsid w:val="00F64CA7"/>
    <w:rsid w:val="00F7001D"/>
    <w:rsid w:val="00F70816"/>
    <w:rsid w:val="00F7099D"/>
    <w:rsid w:val="00F734C8"/>
    <w:rsid w:val="00F77175"/>
    <w:rsid w:val="00F8102A"/>
    <w:rsid w:val="00F8218C"/>
    <w:rsid w:val="00F84B49"/>
    <w:rsid w:val="00F84CD4"/>
    <w:rsid w:val="00F8705F"/>
    <w:rsid w:val="00F872A1"/>
    <w:rsid w:val="00F872C9"/>
    <w:rsid w:val="00F91C84"/>
    <w:rsid w:val="00F92E0A"/>
    <w:rsid w:val="00F944A4"/>
    <w:rsid w:val="00F95451"/>
    <w:rsid w:val="00F965FC"/>
    <w:rsid w:val="00F97C5B"/>
    <w:rsid w:val="00FA0386"/>
    <w:rsid w:val="00FA03A1"/>
    <w:rsid w:val="00FA42EF"/>
    <w:rsid w:val="00FA4F96"/>
    <w:rsid w:val="00FA648E"/>
    <w:rsid w:val="00FB065B"/>
    <w:rsid w:val="00FB1C86"/>
    <w:rsid w:val="00FB229B"/>
    <w:rsid w:val="00FB2C78"/>
    <w:rsid w:val="00FB4032"/>
    <w:rsid w:val="00FB4BBC"/>
    <w:rsid w:val="00FB6B28"/>
    <w:rsid w:val="00FB764B"/>
    <w:rsid w:val="00FC53A0"/>
    <w:rsid w:val="00FC5C4F"/>
    <w:rsid w:val="00FD2A75"/>
    <w:rsid w:val="00FD2B02"/>
    <w:rsid w:val="00FD4419"/>
    <w:rsid w:val="00FD4931"/>
    <w:rsid w:val="00FD6F0E"/>
    <w:rsid w:val="00FD7E06"/>
    <w:rsid w:val="00FE18E9"/>
    <w:rsid w:val="00FE1ABC"/>
    <w:rsid w:val="00FE2551"/>
    <w:rsid w:val="00FE5028"/>
    <w:rsid w:val="00FE5F18"/>
    <w:rsid w:val="00FE6E6F"/>
    <w:rsid w:val="00FE709B"/>
    <w:rsid w:val="00FF02C9"/>
    <w:rsid w:val="00FF20CE"/>
    <w:rsid w:val="00FF2682"/>
    <w:rsid w:val="00FF372F"/>
    <w:rsid w:val="0A98D289"/>
    <w:rsid w:val="16334897"/>
    <w:rsid w:val="24BE5961"/>
    <w:rsid w:val="2761AE54"/>
    <w:rsid w:val="29CC0BB9"/>
    <w:rsid w:val="313655A4"/>
    <w:rsid w:val="45BA5290"/>
    <w:rsid w:val="59746084"/>
    <w:rsid w:val="5F5424BE"/>
    <w:rsid w:val="635DCEFA"/>
    <w:rsid w:val="677EE94F"/>
    <w:rsid w:val="685C7683"/>
    <w:rsid w:val="6BBEE3A8"/>
    <w:rsid w:val="6E4FF8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042E07AF"/>
  <w15:docId w15:val="{384A2C29-27EE-48EE-81EF-B8A5A862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18" w:unhideWhenUsed="1"/>
    <w:lsdException w:name="index 2" w:semiHidden="1" w:uiPriority="18" w:unhideWhenUsed="1"/>
    <w:lsdException w:name="index 3" w:semiHidden="1" w:uiPriority="18" w:unhideWhenUsed="1"/>
    <w:lsdException w:name="index 4" w:semiHidden="1" w:uiPriority="18" w:unhideWhenUsed="1"/>
    <w:lsdException w:name="index 5" w:semiHidden="1" w:uiPriority="18" w:unhideWhenUsed="1"/>
    <w:lsdException w:name="index 6" w:semiHidden="1" w:uiPriority="18" w:unhideWhenUsed="1"/>
    <w:lsdException w:name="index 7" w:semiHidden="1" w:uiPriority="18" w:unhideWhenUsed="1"/>
    <w:lsdException w:name="index 8" w:semiHidden="1" w:uiPriority="18" w:unhideWhenUsed="1"/>
    <w:lsdException w:name="index 9" w:semiHidden="1" w:uiPriority="18"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24" w:unhideWhenUsed="1"/>
    <w:lsdException w:name="toc 5" w:semiHidden="1" w:uiPriority="24" w:unhideWhenUsed="1"/>
    <w:lsdException w:name="toc 6" w:semiHidden="1" w:uiPriority="24" w:unhideWhenUsed="1"/>
    <w:lsdException w:name="toc 7" w:semiHidden="1" w:uiPriority="24" w:unhideWhenUsed="1"/>
    <w:lsdException w:name="toc 8" w:semiHidden="1" w:uiPriority="24" w:unhideWhenUsed="1"/>
    <w:lsdException w:name="toc 9" w:semiHidden="1" w:uiPriority="24"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19" w:unhideWhenUsed="1"/>
    <w:lsdException w:name="endnote text" w:semiHidden="1" w:uiPriority="18"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4"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8"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8"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2" w:qFormat="1"/>
    <w:lsdException w:name="Quote" w:uiPriority="11" w:qFormat="1"/>
    <w:lsdException w:name="Intense Quote" w:uiPriority="1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7" w:qFormat="1"/>
    <w:lsdException w:name="Intense Emphasis" w:uiPriority="1" w:qFormat="1"/>
    <w:lsdException w:name="Subtle Reference" w:uiPriority="49" w:qFormat="1"/>
    <w:lsdException w:name="Intense Reference" w:uiPriority="18" w:qFormat="1"/>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9F5"/>
    <w:rPr>
      <w:rFonts w:ascii="Times New Roman" w:eastAsia="Times New Roman" w:hAnsi="Times New Roman" w:cs="Times New Roman"/>
      <w:sz w:val="24"/>
      <w:szCs w:val="24"/>
      <w:lang w:val="de-AT" w:eastAsia="de-AT"/>
    </w:rPr>
  </w:style>
  <w:style w:type="paragraph" w:styleId="Heading1">
    <w:name w:val="heading 1"/>
    <w:aliases w:val="TITLE1,Kapitel,h1"/>
    <w:basedOn w:val="Normal"/>
    <w:next w:val="Text"/>
    <w:link w:val="Heading1Char"/>
    <w:qFormat/>
    <w:pPr>
      <w:keepNext/>
      <w:keepLines/>
      <w:pageBreakBefore/>
      <w:numPr>
        <w:numId w:val="5"/>
      </w:numPr>
      <w:pBdr>
        <w:bottom w:val="single" w:sz="2" w:space="1" w:color="333366"/>
      </w:pBdr>
      <w:tabs>
        <w:tab w:val="left" w:pos="1080"/>
      </w:tabs>
      <w:spacing w:before="60" w:after="240" w:line="300" w:lineRule="atLeast"/>
      <w:outlineLvl w:val="0"/>
    </w:pPr>
    <w:rPr>
      <w:rFonts w:ascii="Arial Bold" w:hAnsi="Arial Bold"/>
      <w:b/>
      <w:caps/>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nhideWhenUsed/>
    <w:qFormat/>
    <w:pPr>
      <w:pageBreakBefore w:val="0"/>
      <w:numPr>
        <w:ilvl w:val="1"/>
      </w:numPr>
      <w:pBdr>
        <w:bottom w:val="none" w:sz="0" w:space="0" w:color="auto"/>
      </w:pBdr>
      <w:outlineLvl w:val="1"/>
    </w:pPr>
    <w:rPr>
      <w:rFonts w:cs="Arial"/>
      <w:caps w:val="0"/>
      <w:smallCaps/>
      <w:sz w:val="24"/>
      <w:szCs w:val="24"/>
    </w:rPr>
  </w:style>
  <w:style w:type="paragraph" w:styleId="Heading3">
    <w:name w:val="heading 3"/>
    <w:aliases w:val="TITLE3,Title 3,h3"/>
    <w:basedOn w:val="Heading2"/>
    <w:next w:val="Text"/>
    <w:link w:val="Heading3Char"/>
    <w:unhideWhenUsed/>
    <w:qFormat/>
    <w:pPr>
      <w:numPr>
        <w:ilvl w:val="2"/>
      </w:numPr>
      <w:outlineLvl w:val="2"/>
    </w:pPr>
    <w:rPr>
      <w:bCs/>
    </w:rPr>
  </w:style>
  <w:style w:type="paragraph" w:styleId="Heading4">
    <w:name w:val="heading 4"/>
    <w:aliases w:val="TITLE4,h4"/>
    <w:basedOn w:val="Heading3"/>
    <w:next w:val="Text"/>
    <w:link w:val="Heading4Char"/>
    <w:unhideWhenUsed/>
    <w:qFormat/>
    <w:pPr>
      <w:numPr>
        <w:ilvl w:val="3"/>
      </w:numPr>
      <w:tabs>
        <w:tab w:val="left" w:pos="1800"/>
      </w:tabs>
      <w:outlineLvl w:val="3"/>
    </w:pPr>
    <w:rPr>
      <w:bCs w:val="0"/>
      <w:iCs/>
    </w:rPr>
  </w:style>
  <w:style w:type="paragraph" w:styleId="Heading5">
    <w:name w:val="heading 5"/>
    <w:aliases w:val="TITLE5,h5"/>
    <w:basedOn w:val="Heading4"/>
    <w:next w:val="Text"/>
    <w:link w:val="Heading5Char"/>
    <w:unhideWhenUsed/>
    <w:qFormat/>
    <w:pPr>
      <w:numPr>
        <w:ilvl w:val="4"/>
      </w:numPr>
      <w:outlineLvl w:val="4"/>
    </w:pPr>
  </w:style>
  <w:style w:type="paragraph" w:styleId="Heading6">
    <w:name w:val="heading 6"/>
    <w:aliases w:val="TITLE6,h6"/>
    <w:basedOn w:val="Heading5"/>
    <w:next w:val="Text"/>
    <w:link w:val="Heading6Char"/>
    <w:unhideWhenUsed/>
    <w:qFormat/>
    <w:pPr>
      <w:numPr>
        <w:ilvl w:val="5"/>
      </w:numPr>
      <w:outlineLvl w:val="5"/>
    </w:pPr>
    <w:rPr>
      <w:iCs w:val="0"/>
    </w:rPr>
  </w:style>
  <w:style w:type="paragraph" w:styleId="Heading7">
    <w:name w:val="heading 7"/>
    <w:aliases w:val="TITLE7,h7"/>
    <w:basedOn w:val="Heading6"/>
    <w:next w:val="Text"/>
    <w:link w:val="Heading7Char"/>
    <w:unhideWhenUsed/>
    <w:qFormat/>
    <w:pPr>
      <w:numPr>
        <w:ilvl w:val="6"/>
      </w:numPr>
      <w:outlineLvl w:val="6"/>
    </w:pPr>
  </w:style>
  <w:style w:type="paragraph" w:styleId="Heading8">
    <w:name w:val="heading 8"/>
    <w:aliases w:val="TITLE8,h8"/>
    <w:basedOn w:val="Heading7"/>
    <w:next w:val="Text"/>
    <w:link w:val="Heading8Char"/>
    <w:unhideWhenUsed/>
    <w:qFormat/>
    <w:pPr>
      <w:numPr>
        <w:ilvl w:val="7"/>
      </w:numPr>
      <w:outlineLvl w:val="7"/>
    </w:pPr>
  </w:style>
  <w:style w:type="paragraph" w:styleId="Heading9">
    <w:name w:val="heading 9"/>
    <w:aliases w:val="TITLE9,h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pPr>
      <w:ind w:left="4252"/>
    </w:pPr>
  </w:style>
  <w:style w:type="character" w:customStyle="1" w:styleId="SignatureChar">
    <w:name w:val="Signature Char"/>
    <w:link w:val="Signature"/>
    <w:uiPriority w:val="9"/>
    <w:semiHidden/>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line="300" w:lineRule="atLeast"/>
      <w:ind w:left="720" w:hanging="720"/>
    </w:pPr>
    <w:rPr>
      <w:caps/>
      <w:spacing w:val="-3"/>
      <w:sz w:val="22"/>
      <w:szCs w:val="22"/>
      <w:lang w:val="en-GB"/>
    </w:rPr>
  </w:style>
  <w:style w:type="paragraph" w:styleId="TOC2">
    <w:name w:val="toc 2"/>
    <w:basedOn w:val="Normal"/>
    <w:next w:val="Normal"/>
    <w:uiPriority w:val="39"/>
    <w:qFormat/>
    <w:pPr>
      <w:tabs>
        <w:tab w:val="left" w:pos="1440"/>
        <w:tab w:val="right" w:leader="dot" w:pos="9720"/>
      </w:tabs>
      <w:suppressAutoHyphens/>
      <w:spacing w:line="300" w:lineRule="atLeast"/>
      <w:ind w:left="1440" w:hanging="720"/>
    </w:pPr>
    <w:rPr>
      <w:spacing w:val="-3"/>
      <w:sz w:val="22"/>
      <w:lang w:val="en-GB"/>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18"/>
    <w:unhideWhenUsed/>
    <w:rPr>
      <w:rFonts w:ascii="Tahoma" w:hAnsi="Tahoma" w:cs="Tahoma"/>
      <w:sz w:val="16"/>
    </w:rPr>
  </w:style>
  <w:style w:type="character" w:customStyle="1" w:styleId="BalloonTextChar">
    <w:name w:val="Balloon Text Char"/>
    <w:link w:val="BalloonText"/>
    <w:uiPriority w:val="18"/>
    <w:rPr>
      <w:rFonts w:ascii="Tahoma" w:hAnsi="Tahoma" w:cs="Tahoma"/>
      <w:sz w:val="16"/>
    </w:rPr>
  </w:style>
  <w:style w:type="character" w:customStyle="1" w:styleId="Heading1Char">
    <w:name w:val="Heading 1 Char"/>
    <w:aliases w:val="TITLE1 Char,Kapitel Char,h1 Char"/>
    <w:link w:val="Heading1"/>
    <w:rPr>
      <w:rFonts w:ascii="Arial Bold" w:eastAsia="Times New Roman" w:hAnsi="Arial Bold" w:cs="Times New Roman"/>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pPr>
    <w:rPr>
      <w:rFonts w:ascii="Arial gras" w:hAnsi="Arial gras"/>
      <w:b/>
      <w:caps/>
      <w:color w:val="000000" w:themeColor="text1"/>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99"/>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link w:val="CaptionChar"/>
    <w:uiPriority w:val="1"/>
    <w:qFormat/>
    <w:pPr>
      <w:spacing w:before="120" w:after="240" w:line="300" w:lineRule="atLeast"/>
      <w:jc w:val="center"/>
    </w:pPr>
    <w:rPr>
      <w:rFonts w:ascii="Arial Bold" w:hAnsi="Arial Bold"/>
      <w:b/>
      <w:bCs/>
      <w:sz w:val="22"/>
      <w:szCs w:val="22"/>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nhideWhenUsed/>
  </w:style>
  <w:style w:type="character" w:customStyle="1" w:styleId="CommentTextChar">
    <w:name w:val="Comment Text Char"/>
    <w:link w:val="CommentText"/>
    <w:uiPriority w:val="37"/>
    <w:rPr>
      <w:sz w:val="20"/>
    </w:rPr>
  </w:style>
  <w:style w:type="paragraph" w:styleId="CommentSubject">
    <w:name w:val="annotation subject"/>
    <w:basedOn w:val="CommentText"/>
    <w:next w:val="CommentText"/>
    <w:link w:val="CommentSubjectChar"/>
    <w:uiPriority w:val="18"/>
    <w:unhideWhenUsed/>
    <w:rPr>
      <w:b/>
      <w:bCs/>
    </w:rPr>
  </w:style>
  <w:style w:type="character" w:customStyle="1" w:styleId="CommentSubjectChar">
    <w:name w:val="Comment Subject Char"/>
    <w:link w:val="CommentSubject"/>
    <w:uiPriority w:val="18"/>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nhideWhenUsed/>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style>
  <w:style w:type="character" w:styleId="Emphasis">
    <w:name w:val="Emphasis"/>
    <w:uiPriority w:val="20"/>
    <w:unhideWhenUsed/>
    <w:qFormat/>
    <w:rPr>
      <w:i/>
      <w:iCs/>
    </w:rPr>
  </w:style>
  <w:style w:type="character" w:styleId="EndnoteReference">
    <w:name w:val="endnote reference"/>
    <w:uiPriority w:val="19"/>
    <w:unhideWhenUsed/>
    <w:rPr>
      <w:vertAlign w:val="superscript"/>
    </w:rPr>
  </w:style>
  <w:style w:type="paragraph" w:styleId="EndnoteText">
    <w:name w:val="endnote text"/>
    <w:basedOn w:val="Normal"/>
    <w:link w:val="EndnoteTextChar"/>
    <w:uiPriority w:val="18"/>
    <w:unhideWhenUsed/>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rPr>
      <w:rFonts w:ascii="Calibri"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unhideWhenUsed/>
    <w:rPr>
      <w:vertAlign w:val="superscript"/>
    </w:rPr>
  </w:style>
  <w:style w:type="paragraph" w:styleId="FootnoteText">
    <w:name w:val="footnote text"/>
    <w:basedOn w:val="Normal"/>
    <w:link w:val="FootnoteTextChar"/>
    <w:unhideWhenUsed/>
    <w:rPr>
      <w:lang w:val="en-GB" w:eastAsia="ja-JP"/>
    </w:rPr>
  </w:style>
  <w:style w:type="character" w:customStyle="1" w:styleId="FootnoteTextChar">
    <w:name w:val="Footnote Text Char"/>
    <w:link w:val="FootnoteText"/>
    <w:rPr>
      <w:rFonts w:ascii="Arial" w:hAnsi="Arial"/>
      <w:lang w:eastAsia="ja-JP"/>
    </w:rPr>
  </w:style>
  <w:style w:type="character" w:customStyle="1" w:styleId="Heading3Char">
    <w:name w:val="Heading 3 Char"/>
    <w:aliases w:val="TITLE3 Char,Title 3 Char,h3 Char"/>
    <w:link w:val="Heading3"/>
    <w:rPr>
      <w:rFonts w:ascii="Arial Bold" w:eastAsia="Times New Roman" w:hAnsi="Arial Bold" w:cs="Arial"/>
      <w:b/>
      <w:bCs/>
      <w:smallCaps/>
      <w:sz w:val="24"/>
      <w:szCs w:val="24"/>
      <w:lang w:val="en-GB" w:eastAsia="ja-JP"/>
    </w:rPr>
  </w:style>
  <w:style w:type="character" w:customStyle="1" w:styleId="Heading4Char">
    <w:name w:val="Heading 4 Char"/>
    <w:aliases w:val="TITLE4 Char,h4 Char"/>
    <w:link w:val="Heading4"/>
    <w:rPr>
      <w:rFonts w:ascii="Arial Bold" w:eastAsia="Times New Roman" w:hAnsi="Arial Bold" w:cs="Arial"/>
      <w:b/>
      <w:iCs/>
      <w:smallCaps/>
      <w:sz w:val="24"/>
      <w:szCs w:val="24"/>
      <w:lang w:val="en-GB" w:eastAsia="ja-JP"/>
    </w:rPr>
  </w:style>
  <w:style w:type="character" w:customStyle="1" w:styleId="Heading5Char">
    <w:name w:val="Heading 5 Char"/>
    <w:aliases w:val="TITLE5 Char,h5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h6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h7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h8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h9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iPriority w:val="18"/>
    <w:unhideWhenUsed/>
    <w:pPr>
      <w:ind w:left="220" w:hanging="220"/>
    </w:pPr>
  </w:style>
  <w:style w:type="paragraph" w:styleId="Index2">
    <w:name w:val="index 2"/>
    <w:basedOn w:val="Normal"/>
    <w:next w:val="Normal"/>
    <w:autoRedefine/>
    <w:uiPriority w:val="18"/>
    <w:unhideWhenUsed/>
    <w:pPr>
      <w:ind w:left="440" w:hanging="220"/>
    </w:pPr>
  </w:style>
  <w:style w:type="paragraph" w:styleId="Index3">
    <w:name w:val="index 3"/>
    <w:basedOn w:val="Normal"/>
    <w:next w:val="Normal"/>
    <w:autoRedefine/>
    <w:uiPriority w:val="18"/>
    <w:unhideWhenUsed/>
    <w:pPr>
      <w:ind w:left="660" w:hanging="220"/>
    </w:pPr>
  </w:style>
  <w:style w:type="paragraph" w:styleId="Index4">
    <w:name w:val="index 4"/>
    <w:basedOn w:val="Normal"/>
    <w:next w:val="Normal"/>
    <w:autoRedefine/>
    <w:uiPriority w:val="18"/>
    <w:unhideWhenUsed/>
    <w:pPr>
      <w:ind w:left="880" w:hanging="220"/>
    </w:pPr>
  </w:style>
  <w:style w:type="paragraph" w:styleId="Index5">
    <w:name w:val="index 5"/>
    <w:basedOn w:val="Normal"/>
    <w:next w:val="Normal"/>
    <w:autoRedefine/>
    <w:uiPriority w:val="18"/>
    <w:unhideWhenUsed/>
    <w:pPr>
      <w:ind w:left="1100" w:hanging="220"/>
    </w:pPr>
  </w:style>
  <w:style w:type="paragraph" w:styleId="Index6">
    <w:name w:val="index 6"/>
    <w:basedOn w:val="Normal"/>
    <w:next w:val="Normal"/>
    <w:autoRedefine/>
    <w:uiPriority w:val="18"/>
    <w:unhideWhenUsed/>
    <w:pPr>
      <w:ind w:left="1320" w:hanging="220"/>
    </w:pPr>
  </w:style>
  <w:style w:type="paragraph" w:styleId="Index7">
    <w:name w:val="index 7"/>
    <w:basedOn w:val="Normal"/>
    <w:next w:val="Normal"/>
    <w:autoRedefine/>
    <w:uiPriority w:val="18"/>
    <w:unhideWhenUsed/>
    <w:pPr>
      <w:ind w:left="1540" w:hanging="220"/>
    </w:pPr>
  </w:style>
  <w:style w:type="paragraph" w:styleId="Index8">
    <w:name w:val="index 8"/>
    <w:basedOn w:val="Normal"/>
    <w:next w:val="Normal"/>
    <w:autoRedefine/>
    <w:uiPriority w:val="18"/>
    <w:unhideWhenUsed/>
    <w:pPr>
      <w:ind w:left="1760" w:hanging="220"/>
    </w:pPr>
  </w:style>
  <w:style w:type="paragraph" w:styleId="Index9">
    <w:name w:val="index 9"/>
    <w:basedOn w:val="Normal"/>
    <w:next w:val="Normal"/>
    <w:autoRedefine/>
    <w:uiPriority w:val="18"/>
    <w:unhideWhenUsed/>
    <w:pPr>
      <w:ind w:left="1980" w:hanging="220"/>
    </w:pPr>
  </w:style>
  <w:style w:type="paragraph" w:styleId="IndexHeading">
    <w:name w:val="index heading"/>
    <w:basedOn w:val="Normal"/>
    <w:next w:val="Index1"/>
    <w:uiPriority w:val="99"/>
    <w:unhideWhenUsed/>
    <w:rPr>
      <w:rFonts w:ascii="Calibri" w:hAnsi="Calibri" w:cs="Cordia New"/>
      <w:b/>
      <w:bCs/>
    </w:rPr>
  </w:style>
  <w:style w:type="character" w:styleId="IntenseEmphasis">
    <w:name w:val="Intense Emphasis"/>
    <w:uiPriority w:val="1"/>
    <w:unhideWhenUsed/>
    <w:qFormat/>
    <w:rPr>
      <w:b/>
      <w:bCs/>
      <w:i/>
      <w:iCs/>
      <w:color w:val="7E97AD"/>
    </w:rPr>
  </w:style>
  <w:style w:type="paragraph" w:styleId="IntenseQuote">
    <w:name w:val="Intense Quote"/>
    <w:basedOn w:val="Normal"/>
    <w:next w:val="Normal"/>
    <w:link w:val="IntenseQuoteChar"/>
    <w:uiPriority w:val="18"/>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18"/>
    <w:rPr>
      <w:b/>
      <w:bCs/>
      <w:i/>
      <w:iCs/>
      <w:color w:val="7E97AD"/>
    </w:rPr>
  </w:style>
  <w:style w:type="character" w:styleId="IntenseReference">
    <w:name w:val="Intense Reference"/>
    <w:uiPriority w:val="18"/>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rPr>
      <w:lang w:val="en-GB" w:eastAsia="ja-JP"/>
    </w:rPr>
  </w:style>
  <w:style w:type="paragraph" w:styleId="List2">
    <w:name w:val="List 2"/>
    <w:basedOn w:val="Normal"/>
    <w:uiPriority w:val="99"/>
    <w:semiHidden/>
    <w:unhideWhenUsed/>
    <w:pPr>
      <w:ind w:left="720" w:hanging="360"/>
      <w:contextualSpacing/>
    </w:pPr>
    <w:rPr>
      <w:lang w:val="en-GB" w:eastAsia="ja-JP"/>
    </w:rPr>
  </w:style>
  <w:style w:type="paragraph" w:styleId="List3">
    <w:name w:val="List 3"/>
    <w:basedOn w:val="Normal"/>
    <w:uiPriority w:val="99"/>
    <w:semiHidden/>
    <w:unhideWhenUsed/>
    <w:pPr>
      <w:ind w:left="1080" w:hanging="360"/>
      <w:contextualSpacing/>
    </w:pPr>
    <w:rPr>
      <w:lang w:val="en-GB" w:eastAsia="ja-JP"/>
    </w:rPr>
  </w:style>
  <w:style w:type="paragraph" w:styleId="List4">
    <w:name w:val="List 4"/>
    <w:basedOn w:val="Normal"/>
    <w:uiPriority w:val="99"/>
    <w:semiHidden/>
    <w:unhideWhenUsed/>
    <w:pPr>
      <w:ind w:left="1440" w:hanging="360"/>
      <w:contextualSpacing/>
    </w:pPr>
    <w:rPr>
      <w:lang w:val="en-GB" w:eastAsia="ja-JP"/>
    </w:rPr>
  </w:style>
  <w:style w:type="paragraph" w:styleId="List5">
    <w:name w:val="List 5"/>
    <w:basedOn w:val="Normal"/>
    <w:uiPriority w:val="99"/>
    <w:semiHidden/>
    <w:unhideWhenUsed/>
    <w:pPr>
      <w:ind w:left="1800" w:hanging="360"/>
      <w:contextualSpacing/>
    </w:pPr>
    <w:rPr>
      <w:lang w:val="en-GB" w:eastAsia="ja-JP"/>
    </w:rPr>
  </w:style>
  <w:style w:type="paragraph" w:styleId="ListBullet">
    <w:name w:val="List Bullet"/>
    <w:basedOn w:val="Normal"/>
    <w:uiPriority w:val="1"/>
    <w:unhideWhenUsed/>
    <w:qFormat/>
    <w:pPr>
      <w:numPr>
        <w:numId w:val="22"/>
      </w:numPr>
      <w:spacing w:before="60" w:after="120" w:line="300" w:lineRule="atLeast"/>
    </w:pPr>
    <w:rPr>
      <w:sz w:val="22"/>
      <w:lang w:eastAsia="ja-JP"/>
    </w:rPr>
  </w:style>
  <w:style w:type="paragraph" w:styleId="ListBullet2">
    <w:name w:val="List Bullet 2"/>
    <w:basedOn w:val="ListNumber"/>
    <w:uiPriority w:val="99"/>
    <w:unhideWhenUsed/>
    <w:pPr>
      <w:tabs>
        <w:tab w:val="left" w:pos="1080"/>
      </w:tabs>
      <w:spacing w:after="120" w:line="300" w:lineRule="atLeast"/>
      <w:ind w:left="1080" w:hanging="540"/>
    </w:pPr>
  </w:style>
  <w:style w:type="paragraph" w:styleId="ListBullet3">
    <w:name w:val="List Bullet 3"/>
    <w:basedOn w:val="Normal"/>
    <w:uiPriority w:val="99"/>
    <w:unhideWhenUsed/>
    <w:pPr>
      <w:numPr>
        <w:ilvl w:val="2"/>
        <w:numId w:val="3"/>
      </w:numPr>
      <w:spacing w:before="60" w:after="120" w:line="300" w:lineRule="atLeast"/>
      <w:ind w:left="1627" w:hanging="547"/>
      <w:contextualSpacing/>
    </w:pPr>
    <w:rPr>
      <w:lang w:val="en-GB" w:eastAsia="ja-JP"/>
    </w:rPr>
  </w:style>
  <w:style w:type="paragraph" w:styleId="ListBullet4">
    <w:name w:val="List Bullet 4"/>
    <w:basedOn w:val="Normal"/>
    <w:uiPriority w:val="99"/>
    <w:unhideWhenUsed/>
    <w:pPr>
      <w:numPr>
        <w:ilvl w:val="3"/>
        <w:numId w:val="3"/>
      </w:numPr>
      <w:spacing w:before="60" w:after="60"/>
      <w:contextualSpacing/>
    </w:pPr>
    <w:rPr>
      <w:lang w:val="en-GB" w:eastAsia="ja-JP"/>
    </w:rPr>
  </w:style>
  <w:style w:type="paragraph" w:styleId="ListBullet5">
    <w:name w:val="List Bullet 5"/>
    <w:basedOn w:val="Normal"/>
    <w:uiPriority w:val="99"/>
    <w:semiHidden/>
    <w:unhideWhenUsed/>
    <w:pPr>
      <w:numPr>
        <w:numId w:val="1"/>
      </w:numPr>
      <w:contextualSpacing/>
    </w:pPr>
    <w:rPr>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pPr>
      <w:numPr>
        <w:numId w:val="2"/>
      </w:numPr>
      <w:spacing w:before="60" w:after="60"/>
    </w:pPr>
    <w:rPr>
      <w:lang w:val="en-GB" w:eastAsia="ja-JP"/>
    </w:rPr>
  </w:style>
  <w:style w:type="paragraph" w:styleId="ListNumber2">
    <w:name w:val="List Number 2"/>
    <w:basedOn w:val="ListNumber"/>
    <w:uiPriority w:val="2"/>
    <w:unhideWhenUsed/>
    <w:pPr>
      <w:numPr>
        <w:numId w:val="4"/>
      </w:numPr>
      <w:tabs>
        <w:tab w:val="left" w:pos="1701"/>
      </w:tabs>
      <w:spacing w:after="120" w:line="300" w:lineRule="atLeast"/>
    </w:pPr>
  </w:style>
  <w:style w:type="paragraph" w:customStyle="1" w:styleId="Tabletext">
    <w:name w:val="Table text"/>
    <w:basedOn w:val="Text"/>
    <w:qFormat/>
    <w:pPr>
      <w:spacing w:after="60" w:line="240" w:lineRule="atLeast"/>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line="300" w:lineRule="atLeast"/>
      <w:ind w:left="2304" w:hanging="864"/>
    </w:pPr>
    <w:rPr>
      <w:sz w:val="22"/>
      <w:szCs w:val="22"/>
    </w:rPr>
  </w:style>
  <w:style w:type="paragraph" w:styleId="Header">
    <w:name w:val="header"/>
    <w:basedOn w:val="Normal"/>
    <w:link w:val="HeaderChar"/>
    <w:unhideWhenUsed/>
    <w:pPr>
      <w:tabs>
        <w:tab w:val="center" w:pos="4536"/>
        <w:tab w:val="right" w:pos="9072"/>
      </w:tabs>
    </w:pPr>
    <w:rPr>
      <w:lang w:val="en-GB" w:eastAsia="ja-JP"/>
    </w:rPr>
  </w:style>
  <w:style w:type="paragraph" w:styleId="ListParagraph">
    <w:name w:val="List Paragraph"/>
    <w:basedOn w:val="Normal"/>
    <w:uiPriority w:val="52"/>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w:hAnsi="Calibri" w:cs="Cordia New"/>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line="240" w:lineRule="atLeast"/>
      <w:jc w:val="center"/>
    </w:pPr>
    <w:rPr>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uiPriority w:val="1"/>
    <w:qFormat/>
    <w:pPr>
      <w:keepNext/>
      <w:ind w:left="0"/>
      <w:jc w:val="center"/>
    </w:pPr>
  </w:style>
  <w:style w:type="character" w:styleId="SubtleEmphasis">
    <w:name w:val="Subtle Emphasis"/>
    <w:uiPriority w:val="37"/>
    <w:unhideWhenUsed/>
    <w:qFormat/>
    <w:rPr>
      <w:i/>
      <w:iCs/>
      <w:color w:val="808080"/>
    </w:rPr>
  </w:style>
  <w:style w:type="character" w:styleId="SubtleReference">
    <w:name w:val="Subtle Reference"/>
    <w:uiPriority w:val="49"/>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line="300" w:lineRule="atLeast"/>
    </w:pPr>
    <w:rPr>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4"/>
    <w:unhideWhenUsed/>
    <w:qFormat/>
    <w:pPr>
      <w:pBdr>
        <w:bottom w:val="single" w:sz="24" w:space="1" w:color="FF0000"/>
      </w:pBdr>
      <w:ind w:left="113" w:right="113"/>
    </w:pPr>
    <w:rPr>
      <w:rFonts w:cs="Cordia New"/>
      <w:b/>
      <w:caps/>
      <w:color w:val="000000" w:themeColor="text1"/>
      <w:spacing w:val="40"/>
      <w:kern w:val="28"/>
      <w:sz w:val="52"/>
      <w:lang w:val="en-US"/>
    </w:rPr>
  </w:style>
  <w:style w:type="character" w:customStyle="1" w:styleId="TitleChar">
    <w:name w:val="Title Char"/>
    <w:aliases w:val="Project Title Char"/>
    <w:link w:val="Title"/>
    <w:uiPriority w:val="19"/>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pPr>
      <w:spacing w:before="120"/>
    </w:pPr>
    <w:rPr>
      <w:rFonts w:ascii="Calibri" w:hAnsi="Calibri" w:cs="Cordia New"/>
      <w:b/>
      <w:bCs/>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uiPriority w:val="24"/>
    <w:pPr>
      <w:tabs>
        <w:tab w:val="left" w:pos="3024"/>
        <w:tab w:val="right" w:pos="9360"/>
      </w:tabs>
      <w:suppressAutoHyphens/>
      <w:spacing w:line="300" w:lineRule="atLeast"/>
      <w:ind w:left="3024" w:hanging="864"/>
    </w:pPr>
    <w:rPr>
      <w:spacing w:val="-3"/>
      <w:sz w:val="22"/>
      <w:lang w:val="en-GB"/>
    </w:rPr>
  </w:style>
  <w:style w:type="paragraph" w:styleId="TOCHeading">
    <w:name w:val="TOC Heading"/>
    <w:basedOn w:val="Heading1"/>
    <w:next w:val="Normal"/>
    <w:uiPriority w:val="9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iPriority w:val="99"/>
    <w:unhideWhenUsed/>
    <w:pPr>
      <w:numPr>
        <w:ilvl w:val="3"/>
        <w:numId w:val="2"/>
      </w:numPr>
      <w:spacing w:before="60" w:after="60"/>
    </w:pPr>
    <w:rPr>
      <w:lang w:val="en-GB" w:eastAsia="ja-JP"/>
    </w:rPr>
  </w:style>
  <w:style w:type="paragraph" w:customStyle="1" w:styleId="Informationslgales-Pieddepage">
    <w:name w:val="Informations légales - Pied de page"/>
    <w:basedOn w:val="Normal"/>
    <w:link w:val="Informationslgales-PieddepageCar"/>
    <w:uiPriority w:val="9"/>
    <w:pPr>
      <w:ind w:left="-210"/>
      <w:contextualSpacing/>
      <w:jc w:val="center"/>
    </w:pPr>
    <w:rPr>
      <w:color w:val="333366"/>
      <w:sz w:val="16"/>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6"/>
      <w:szCs w:val="12"/>
      <w:lang w:val="en-US" w:eastAsia="en-US"/>
    </w:rPr>
  </w:style>
  <w:style w:type="paragraph" w:customStyle="1" w:styleId="Text">
    <w:name w:val="Text"/>
    <w:qFormat/>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6"/>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7"/>
      </w:numPr>
    </w:pPr>
  </w:style>
  <w:style w:type="paragraph" w:customStyle="1" w:styleId="TableEntry">
    <w:name w:val="Table:Entry"/>
    <w:aliases w:val="Column Cell"/>
    <w:basedOn w:val="Normal"/>
    <w:link w:val="TableEntryChar"/>
    <w:uiPriority w:val="10"/>
    <w:qFormat/>
    <w:pPr>
      <w:spacing w:after="40"/>
    </w:pPr>
    <w:rPr>
      <w:sz w:val="18"/>
      <w:szCs w:val="22"/>
      <w:lang w:val="en-GB" w:eastAsia="de-DE"/>
    </w:rPr>
  </w:style>
  <w:style w:type="paragraph" w:customStyle="1" w:styleId="TableEntryCentered">
    <w:name w:val="Table:Entry:Centered"/>
    <w:basedOn w:val="TableEntry"/>
    <w:uiPriority w:val="7"/>
    <w:qFormat/>
    <w:pPr>
      <w:jc w:val="center"/>
    </w:pPr>
    <w:rPr>
      <w:bCs/>
      <w:szCs w:val="20"/>
      <w:lang w:eastAsia="de-AT"/>
    </w:rPr>
  </w:style>
  <w:style w:type="character" w:customStyle="1" w:styleId="TableEntryChar">
    <w:name w:val="Table:Entry Char"/>
    <w:aliases w:val="Column Cell Char"/>
    <w:link w:val="TableEntry"/>
    <w:locked/>
    <w:rPr>
      <w:rFonts w:ascii="Arial" w:eastAsia="Times New Roman" w:hAnsi="Arial" w:cs="Times New Roman"/>
      <w:sz w:val="18"/>
      <w:szCs w:val="22"/>
      <w:lang w:val="en-GB" w:eastAsia="de-DE"/>
    </w:rPr>
  </w:style>
  <w:style w:type="paragraph" w:styleId="Quote">
    <w:name w:val="Quote"/>
    <w:basedOn w:val="Normal"/>
    <w:next w:val="Normal"/>
    <w:link w:val="QuoteChar"/>
    <w:uiPriority w:val="11"/>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11"/>
    <w:rPr>
      <w:rFonts w:ascii="Arial" w:hAnsi="Arial"/>
      <w:i/>
      <w:iCs/>
      <w:color w:val="404040" w:themeColor="text1" w:themeTint="BF"/>
      <w:kern w:val="20"/>
      <w:lang w:val="en-CA" w:eastAsia="en-US"/>
    </w:rPr>
  </w:style>
  <w:style w:type="character" w:styleId="Strong">
    <w:name w:val="Strong"/>
    <w:basedOn w:val="DefaultParagraphFont"/>
    <w:uiPriority w:val="22"/>
    <w:qFormat/>
    <w:rPr>
      <w:b/>
      <w:bCs/>
    </w:rPr>
  </w:style>
  <w:style w:type="paragraph" w:styleId="NoSpacing">
    <w:name w:val="No Spacing"/>
    <w:uiPriority w:val="1"/>
    <w:qFormat/>
    <w:pPr>
      <w:jc w:val="both"/>
    </w:pPr>
    <w:rPr>
      <w:rFonts w:ascii="Arial" w:hAnsi="Arial"/>
      <w:color w:val="000000"/>
      <w:kern w:val="20"/>
      <w:lang w:val="en-CA" w:eastAsia="en-US"/>
    </w:rPr>
  </w:style>
  <w:style w:type="character" w:customStyle="1" w:styleId="commenttext0">
    <w:name w:val="commenttext"/>
    <w:basedOn w:val="DefaultParagraphFont"/>
  </w:style>
  <w:style w:type="paragraph" w:customStyle="1" w:styleId="Paragraphen">
    <w:name w:val="Paragraph:en"/>
    <w:basedOn w:val="Normal"/>
    <w:pPr>
      <w:spacing w:before="60" w:after="60"/>
    </w:pPr>
    <w:rPr>
      <w:iCs/>
      <w:lang w:val="en-GB" w:eastAsia="de-DE"/>
    </w:rPr>
  </w:style>
  <w:style w:type="paragraph" w:customStyle="1" w:styleId="Paragraphfirstknen">
    <w:name w:val="Paragraph:first:kn:en"/>
    <w:basedOn w:val="Normal"/>
    <w:pPr>
      <w:keepNext/>
      <w:spacing w:before="240" w:after="60"/>
    </w:pPr>
    <w:rPr>
      <w:lang w:val="en-GB" w:eastAsia="de-DE"/>
    </w:rPr>
  </w:style>
  <w:style w:type="character" w:customStyle="1" w:styleId="hilighti">
    <w:name w:val="hilighti"/>
    <w:basedOn w:val="DefaultParagraphFont"/>
  </w:style>
  <w:style w:type="paragraph" w:customStyle="1" w:styleId="Paragraph">
    <w:name w:val="Paragraph"/>
    <w:basedOn w:val="BaseFormat"/>
    <w:link w:val="ParagraphChar"/>
    <w:uiPriority w:val="2"/>
    <w:qFormat/>
    <w:pPr>
      <w:spacing w:before="180" w:after="60"/>
      <w:jc w:val="both"/>
    </w:pPr>
    <w:rPr>
      <w:rFonts w:cs="Arial"/>
      <w:iCs/>
    </w:rPr>
  </w:style>
  <w:style w:type="paragraph" w:customStyle="1" w:styleId="BaseFormat">
    <w:name w:val=":BaseFormat"/>
    <w:link w:val="BaseFormatChar"/>
    <w:uiPriority w:val="59"/>
    <w:semiHidden/>
    <w:rPr>
      <w:rFonts w:ascii="Arial" w:eastAsia="Times New Roman" w:hAnsi="Arial" w:cs="Times New Roman"/>
      <w:szCs w:val="22"/>
      <w:lang w:val="en-GB" w:eastAsia="de-DE"/>
    </w:rPr>
  </w:style>
  <w:style w:type="character" w:customStyle="1" w:styleId="BaseFormatChar">
    <w:name w:val=":BaseFormat Char"/>
    <w:basedOn w:val="DefaultParagraphFont"/>
    <w:link w:val="BaseFormat"/>
    <w:uiPriority w:val="59"/>
    <w:semiHidden/>
    <w:rPr>
      <w:rFonts w:ascii="Arial" w:eastAsia="Times New Roman" w:hAnsi="Arial" w:cs="Times New Roman"/>
      <w:szCs w:val="22"/>
      <w:lang w:val="en-GB" w:eastAsia="de-DE"/>
    </w:rPr>
  </w:style>
  <w:style w:type="character" w:customStyle="1" w:styleId="ParagraphChar">
    <w:name w:val="Paragraph Char"/>
    <w:basedOn w:val="BaseFormatChar"/>
    <w:link w:val="Paragraph"/>
    <w:uiPriority w:val="2"/>
    <w:rPr>
      <w:rFonts w:ascii="Arial" w:eastAsia="Times New Roman" w:hAnsi="Arial" w:cs="Arial"/>
      <w:iCs/>
      <w:szCs w:val="22"/>
      <w:lang w:val="en-GB" w:eastAsia="de-DE"/>
    </w:rPr>
  </w:style>
  <w:style w:type="paragraph" w:customStyle="1" w:styleId="ChangeHistory">
    <w:name w:val=":ChangeHistory"/>
    <w:basedOn w:val="Normal"/>
    <w:uiPriority w:val="59"/>
    <w:semiHidden/>
    <w:qFormat/>
    <w:pPr>
      <w:keepNext/>
      <w:pageBreakBefore/>
      <w:spacing w:before="240" w:after="120"/>
    </w:pPr>
    <w:rPr>
      <w:rFonts w:cs="Arial"/>
      <w:b/>
      <w:bCs/>
      <w:iCs/>
      <w:lang w:val="en-GB"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uiPriority w:val="24"/>
    <w:pPr>
      <w:ind w:left="1600"/>
    </w:pPr>
    <w:rPr>
      <w:lang w:val="en-GB" w:eastAsia="fr-FR"/>
    </w:rPr>
  </w:style>
  <w:style w:type="character" w:customStyle="1" w:styleId="Terminology">
    <w:name w:val="Terminology"/>
    <w:uiPriority w:val="4"/>
    <w:rPr>
      <w:i/>
      <w:color w:val="800000"/>
      <w:lang w:val="en-US"/>
    </w:rPr>
  </w:style>
  <w:style w:type="paragraph" w:styleId="TOC5">
    <w:name w:val="toc 5"/>
    <w:basedOn w:val="Normal"/>
    <w:next w:val="Normal"/>
    <w:uiPriority w:val="24"/>
    <w:pPr>
      <w:ind w:left="800"/>
    </w:pPr>
    <w:rPr>
      <w:sz w:val="18"/>
      <w:szCs w:val="18"/>
      <w:lang w:val="en-GB" w:eastAsia="fr-FR"/>
    </w:rPr>
  </w:style>
  <w:style w:type="paragraph" w:styleId="TOC6">
    <w:name w:val="toc 6"/>
    <w:basedOn w:val="Normal"/>
    <w:next w:val="Normal"/>
    <w:uiPriority w:val="24"/>
    <w:pPr>
      <w:ind w:left="1000"/>
    </w:pPr>
    <w:rPr>
      <w:sz w:val="18"/>
      <w:szCs w:val="18"/>
      <w:lang w:val="en-GB" w:eastAsia="fr-FR"/>
    </w:rPr>
  </w:style>
  <w:style w:type="paragraph" w:styleId="TOC7">
    <w:name w:val="toc 7"/>
    <w:basedOn w:val="Normal"/>
    <w:next w:val="Normal"/>
    <w:uiPriority w:val="24"/>
    <w:pPr>
      <w:ind w:left="1200"/>
    </w:pPr>
    <w:rPr>
      <w:sz w:val="18"/>
      <w:szCs w:val="18"/>
      <w:lang w:val="en-GB" w:eastAsia="fr-FR"/>
    </w:rPr>
  </w:style>
  <w:style w:type="paragraph" w:styleId="TOC8">
    <w:name w:val="toc 8"/>
    <w:basedOn w:val="Normal"/>
    <w:next w:val="Normal"/>
    <w:uiPriority w:val="24"/>
    <w:pPr>
      <w:ind w:left="1400"/>
    </w:pPr>
    <w:rPr>
      <w:sz w:val="18"/>
      <w:szCs w:val="18"/>
      <w:lang w:val="en-GB" w:eastAsia="fr-FR"/>
    </w:rPr>
  </w:style>
  <w:style w:type="paragraph" w:customStyle="1" w:styleId="ULdash2">
    <w:name w:val="UL:dash:2"/>
    <w:basedOn w:val="ULdash1"/>
    <w:uiPriority w:val="7"/>
    <w:qFormat/>
    <w:pPr>
      <w:numPr>
        <w:ilvl w:val="1"/>
      </w:numPr>
      <w:tabs>
        <w:tab w:val="left" w:pos="851"/>
      </w:tabs>
      <w:ind w:left="1440" w:hanging="360"/>
      <w:contextualSpacing/>
    </w:pPr>
  </w:style>
  <w:style w:type="paragraph" w:customStyle="1" w:styleId="ULdash1">
    <w:name w:val="UL:dash:1"/>
    <w:basedOn w:val="Paragraph"/>
    <w:uiPriority w:val="7"/>
    <w:qFormat/>
    <w:pPr>
      <w:numPr>
        <w:numId w:val="16"/>
      </w:numPr>
      <w:tabs>
        <w:tab w:val="left" w:pos="426"/>
      </w:tabs>
      <w:spacing w:before="60"/>
      <w:ind w:left="1440" w:hanging="360"/>
    </w:pPr>
  </w:style>
  <w:style w:type="paragraph" w:customStyle="1" w:styleId="ULdash3">
    <w:name w:val="UL:dash:3"/>
    <w:basedOn w:val="ULdash2"/>
    <w:uiPriority w:val="7"/>
    <w:qFormat/>
    <w:pPr>
      <w:numPr>
        <w:ilvl w:val="2"/>
      </w:numPr>
      <w:tabs>
        <w:tab w:val="left" w:pos="1276"/>
      </w:tabs>
      <w:spacing w:before="0"/>
      <w:ind w:left="1276" w:hanging="360"/>
    </w:pPr>
  </w:style>
  <w:style w:type="paragraph" w:customStyle="1" w:styleId="OLnum1">
    <w:name w:val="OL:num:1"/>
    <w:basedOn w:val="Paragraph"/>
    <w:uiPriority w:val="8"/>
    <w:qFormat/>
    <w:pPr>
      <w:numPr>
        <w:numId w:val="13"/>
      </w:numPr>
      <w:tabs>
        <w:tab w:val="clear" w:pos="425"/>
      </w:tabs>
      <w:spacing w:before="60"/>
      <w:ind w:left="1080" w:hanging="360"/>
    </w:pPr>
  </w:style>
  <w:style w:type="paragraph" w:customStyle="1" w:styleId="OLroman3">
    <w:name w:val="OL:roman:3"/>
    <w:basedOn w:val="OLroman2"/>
    <w:uiPriority w:val="7"/>
    <w:qFormat/>
    <w:pPr>
      <w:numPr>
        <w:ilvl w:val="2"/>
      </w:numPr>
      <w:tabs>
        <w:tab w:val="clear" w:pos="1570"/>
      </w:tabs>
      <w:spacing w:before="0"/>
      <w:ind w:left="1276" w:hanging="360"/>
    </w:pPr>
  </w:style>
  <w:style w:type="paragraph" w:customStyle="1" w:styleId="OLroman2">
    <w:name w:val="OL:roman:2"/>
    <w:basedOn w:val="OLroman1"/>
    <w:uiPriority w:val="7"/>
    <w:qFormat/>
    <w:pPr>
      <w:numPr>
        <w:ilvl w:val="1"/>
      </w:numPr>
      <w:ind w:left="2520" w:hanging="360"/>
      <w:contextualSpacing/>
    </w:pPr>
  </w:style>
  <w:style w:type="paragraph" w:customStyle="1" w:styleId="OLroman1">
    <w:name w:val="OL:roman:1"/>
    <w:basedOn w:val="Paragraph"/>
    <w:uiPriority w:val="7"/>
    <w:qFormat/>
    <w:pPr>
      <w:numPr>
        <w:numId w:val="14"/>
      </w:numPr>
      <w:tabs>
        <w:tab w:val="clear" w:pos="720"/>
      </w:tabs>
      <w:spacing w:before="60"/>
      <w:ind w:left="1656" w:hanging="576"/>
    </w:pPr>
  </w:style>
  <w:style w:type="paragraph" w:customStyle="1" w:styleId="TitlePageClass">
    <w:name w:val=":TitlePage:Class"/>
    <w:basedOn w:val="Paragraph"/>
    <w:uiPriority w:val="59"/>
    <w:semiHidden/>
    <w:pPr>
      <w:spacing w:before="2400" w:after="1200"/>
      <w:jc w:val="center"/>
      <w:outlineLvl w:val="0"/>
    </w:pPr>
    <w:rPr>
      <w:b/>
      <w:sz w:val="24"/>
      <w:szCs w:val="24"/>
    </w:rPr>
  </w:style>
  <w:style w:type="paragraph" w:customStyle="1" w:styleId="Appendix1">
    <w:name w:val="Appendix 1"/>
    <w:basedOn w:val="Heading1"/>
    <w:next w:val="Paragraph"/>
    <w:uiPriority w:val="16"/>
    <w:pPr>
      <w:numPr>
        <w:numId w:val="8"/>
      </w:numPr>
      <w:pBdr>
        <w:bottom w:val="none" w:sz="0" w:space="0" w:color="auto"/>
      </w:pBdr>
      <w:tabs>
        <w:tab w:val="clear" w:pos="1080"/>
        <w:tab w:val="left" w:pos="578"/>
        <w:tab w:val="center" w:pos="4536"/>
        <w:tab w:val="right" w:pos="9072"/>
      </w:tabs>
      <w:spacing w:before="600" w:line="240" w:lineRule="auto"/>
      <w:jc w:val="center"/>
    </w:pPr>
    <w:rPr>
      <w:rFonts w:ascii="Arial" w:hAnsi="Arial" w:cs="Arial"/>
      <w:bCs/>
      <w:iCs/>
      <w:caps w:val="0"/>
      <w:kern w:val="28"/>
      <w:sz w:val="24"/>
      <w:szCs w:val="24"/>
      <w:lang w:eastAsia="de-DE"/>
    </w:rPr>
  </w:style>
  <w:style w:type="paragraph" w:customStyle="1" w:styleId="Appendix2">
    <w:name w:val="Appendix 2"/>
    <w:basedOn w:val="Heading2"/>
    <w:next w:val="Paragraph"/>
    <w:uiPriority w:val="16"/>
    <w:pPr>
      <w:keepLines w:val="0"/>
      <w:numPr>
        <w:numId w:val="8"/>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uiPriority w:val="16"/>
    <w:pPr>
      <w:keepLines w:val="0"/>
      <w:numPr>
        <w:numId w:val="8"/>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pPr>
      <w:spacing w:before="60" w:after="60"/>
      <w:jc w:val="center"/>
    </w:pPr>
    <w:rPr>
      <w:sz w:val="18"/>
    </w:rPr>
  </w:style>
  <w:style w:type="paragraph" w:customStyle="1" w:styleId="EndOfDocument">
    <w:name w:val="EndOfDocument"/>
    <w:basedOn w:val="Paragraph"/>
    <w:uiPriority w:val="15"/>
    <w:pPr>
      <w:jc w:val="center"/>
    </w:pPr>
    <w:rPr>
      <w:b/>
      <w:bCs/>
      <w:caps/>
      <w:sz w:val="24"/>
      <w:szCs w:val="24"/>
    </w:rPr>
  </w:style>
  <w:style w:type="paragraph" w:customStyle="1" w:styleId="GuidanceText">
    <w:name w:val="Guidance:Text"/>
    <w:basedOn w:val="BaseFormat"/>
    <w:uiPriority w:val="18"/>
    <w:qFormat/>
    <w:pPr>
      <w:spacing w:before="60"/>
      <w:ind w:left="425"/>
      <w:jc w:val="both"/>
    </w:pPr>
    <w:rPr>
      <w:i/>
      <w:vanish/>
      <w:color w:val="FF6600"/>
      <w:sz w:val="18"/>
    </w:rPr>
  </w:style>
  <w:style w:type="paragraph" w:customStyle="1" w:styleId="GuidanceList1">
    <w:name w:val="Guidance:List:1"/>
    <w:basedOn w:val="GuidanceText"/>
    <w:uiPriority w:val="19"/>
    <w:semiHidden/>
    <w:pPr>
      <w:numPr>
        <w:numId w:val="9"/>
      </w:numPr>
      <w:tabs>
        <w:tab w:val="num" w:pos="1800"/>
      </w:tabs>
      <w:spacing w:before="0"/>
      <w:ind w:left="850" w:hanging="425"/>
      <w:jc w:val="left"/>
    </w:pPr>
  </w:style>
  <w:style w:type="paragraph" w:customStyle="1" w:styleId="OLalpha1">
    <w:name w:val="OL:alpha:1"/>
    <w:basedOn w:val="Paragraph"/>
    <w:qFormat/>
    <w:pPr>
      <w:numPr>
        <w:numId w:val="17"/>
      </w:numPr>
      <w:tabs>
        <w:tab w:val="clear" w:pos="425"/>
      </w:tabs>
      <w:spacing w:before="60"/>
      <w:ind w:left="2160" w:hanging="360"/>
    </w:pPr>
  </w:style>
  <w:style w:type="paragraph" w:customStyle="1" w:styleId="OLalpha2">
    <w:name w:val="OL:alpha:2"/>
    <w:basedOn w:val="OLalpha1"/>
    <w:qFormat/>
    <w:pPr>
      <w:numPr>
        <w:ilvl w:val="1"/>
      </w:numPr>
      <w:tabs>
        <w:tab w:val="clear" w:pos="850"/>
      </w:tabs>
      <w:ind w:left="2880" w:hanging="360"/>
      <w:contextualSpacing/>
    </w:pPr>
  </w:style>
  <w:style w:type="paragraph" w:customStyle="1" w:styleId="OLalpha3">
    <w:name w:val="OL:alpha:3"/>
    <w:basedOn w:val="OLalpha2"/>
    <w:qFormat/>
    <w:pPr>
      <w:numPr>
        <w:ilvl w:val="2"/>
      </w:numPr>
      <w:spacing w:before="0"/>
      <w:ind w:left="1276" w:hanging="360"/>
    </w:pPr>
  </w:style>
  <w:style w:type="paragraph" w:customStyle="1" w:styleId="OLnum2">
    <w:name w:val="OL:num:2"/>
    <w:basedOn w:val="OLnum1"/>
    <w:uiPriority w:val="8"/>
    <w:qFormat/>
    <w:pPr>
      <w:numPr>
        <w:ilvl w:val="1"/>
      </w:numPr>
      <w:ind w:left="1800" w:hanging="360"/>
      <w:contextualSpacing/>
    </w:pPr>
  </w:style>
  <w:style w:type="paragraph" w:customStyle="1" w:styleId="OLnum3">
    <w:name w:val="OL:num:3"/>
    <w:basedOn w:val="OLnum2"/>
    <w:uiPriority w:val="8"/>
    <w:qFormat/>
    <w:pPr>
      <w:numPr>
        <w:ilvl w:val="2"/>
      </w:numPr>
      <w:tabs>
        <w:tab w:val="clear" w:pos="1275"/>
      </w:tabs>
      <w:spacing w:before="0"/>
      <w:ind w:left="2520" w:hanging="360"/>
    </w:pPr>
  </w:style>
  <w:style w:type="paragraph" w:customStyle="1" w:styleId="Paragraph2">
    <w:name w:val="Paragraph:2"/>
    <w:basedOn w:val="Paragraph1"/>
    <w:uiPriority w:val="3"/>
    <w:qFormat/>
    <w:pPr>
      <w:ind w:left="851"/>
      <w:contextualSpacing/>
    </w:pPr>
  </w:style>
  <w:style w:type="paragraph" w:customStyle="1" w:styleId="Paragraph1">
    <w:name w:val="Paragraph:1"/>
    <w:basedOn w:val="Paragraph"/>
    <w:uiPriority w:val="3"/>
    <w:qFormat/>
    <w:pPr>
      <w:spacing w:before="60"/>
      <w:ind w:left="425"/>
    </w:pPr>
  </w:style>
  <w:style w:type="paragraph" w:customStyle="1" w:styleId="Paragraph3">
    <w:name w:val="Paragraph:3"/>
    <w:basedOn w:val="Paragraph2"/>
    <w:uiPriority w:val="3"/>
    <w:pPr>
      <w:spacing w:before="0"/>
      <w:ind w:left="1276"/>
    </w:pPr>
  </w:style>
  <w:style w:type="paragraph" w:customStyle="1" w:styleId="ULbullet1">
    <w:name w:val="UL:bullet:1"/>
    <w:basedOn w:val="Paragraph"/>
    <w:uiPriority w:val="6"/>
    <w:qFormat/>
    <w:pPr>
      <w:numPr>
        <w:numId w:val="15"/>
      </w:numPr>
      <w:spacing w:before="60"/>
    </w:pPr>
  </w:style>
  <w:style w:type="paragraph" w:customStyle="1" w:styleId="ULbullet2">
    <w:name w:val="UL:bullet:2"/>
    <w:basedOn w:val="ULbullet1"/>
    <w:uiPriority w:val="7"/>
    <w:qFormat/>
    <w:pPr>
      <w:numPr>
        <w:ilvl w:val="1"/>
      </w:numPr>
      <w:contextualSpacing/>
    </w:pPr>
  </w:style>
  <w:style w:type="paragraph" w:customStyle="1" w:styleId="ULbullet3">
    <w:name w:val="UL:bullet:3"/>
    <w:basedOn w:val="ULbullet2"/>
    <w:uiPriority w:val="7"/>
    <w:qFormat/>
    <w:pPr>
      <w:numPr>
        <w:ilvl w:val="2"/>
      </w:numPr>
      <w:tabs>
        <w:tab w:val="clear" w:pos="1276"/>
        <w:tab w:val="left" w:pos="851"/>
      </w:tabs>
      <w:ind w:left="1276" w:hanging="360"/>
    </w:pPr>
  </w:style>
  <w:style w:type="paragraph" w:customStyle="1" w:styleId="ULtriangle1">
    <w:name w:val="UL:triangle:1"/>
    <w:basedOn w:val="Paragraph"/>
    <w:uiPriority w:val="7"/>
    <w:qFormat/>
    <w:pPr>
      <w:numPr>
        <w:numId w:val="10"/>
      </w:numPr>
      <w:tabs>
        <w:tab w:val="num" w:pos="648"/>
      </w:tabs>
      <w:spacing w:before="60"/>
      <w:ind w:left="0" w:firstLine="288"/>
    </w:pPr>
  </w:style>
  <w:style w:type="paragraph" w:customStyle="1" w:styleId="ULtriangle2">
    <w:name w:val="UL:triangle:2"/>
    <w:basedOn w:val="ULtriangle1"/>
    <w:uiPriority w:val="7"/>
    <w:pPr>
      <w:numPr>
        <w:ilvl w:val="1"/>
      </w:numPr>
      <w:tabs>
        <w:tab w:val="left" w:pos="851"/>
        <w:tab w:val="num" w:pos="1440"/>
      </w:tabs>
      <w:ind w:left="1440" w:hanging="360"/>
      <w:contextualSpacing/>
    </w:pPr>
  </w:style>
  <w:style w:type="paragraph" w:customStyle="1" w:styleId="ULtriangle3">
    <w:name w:val="UL:triangle:3"/>
    <w:basedOn w:val="ULtriangle2"/>
    <w:uiPriority w:val="7"/>
    <w:pPr>
      <w:numPr>
        <w:ilvl w:val="2"/>
      </w:numPr>
      <w:tabs>
        <w:tab w:val="left" w:pos="1276"/>
        <w:tab w:val="num" w:pos="2160"/>
      </w:tabs>
      <w:spacing w:before="0"/>
      <w:ind w:left="1276" w:hanging="180"/>
    </w:pPr>
  </w:style>
  <w:style w:type="paragraph" w:customStyle="1" w:styleId="Warning">
    <w:name w:val="Warning"/>
    <w:basedOn w:val="Paragraph"/>
    <w:uiPriority w:val="4"/>
    <w:pPr>
      <w:keepLines/>
      <w:jc w:val="center"/>
    </w:pPr>
    <w:rPr>
      <w:b/>
      <w:i/>
      <w:iCs w:val="0"/>
      <w:color w:val="FF0000"/>
      <w:lang w:val="en-US" w:eastAsia="en-US"/>
    </w:rPr>
  </w:style>
  <w:style w:type="paragraph" w:customStyle="1" w:styleId="DocumentInstructions">
    <w:name w:val="Document:Instructions"/>
    <w:basedOn w:val="Paragraph"/>
    <w:uiPriority w:val="60"/>
    <w:pPr>
      <w:spacing w:before="60"/>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jc w:val="center"/>
    </w:pPr>
    <w:rPr>
      <w:b/>
      <w:sz w:val="48"/>
      <w:lang w:val="en-GB" w:eastAsia="fr-FR"/>
    </w:rPr>
  </w:style>
  <w:style w:type="paragraph" w:customStyle="1" w:styleId="TitlePageProduct">
    <w:name w:val=":Title:Page:Product"/>
    <w:basedOn w:val="Normal"/>
    <w:uiPriority w:val="59"/>
    <w:semiHidden/>
    <w:qFormat/>
    <w:pPr>
      <w:spacing w:before="480"/>
      <w:jc w:val="center"/>
    </w:pPr>
    <w:rPr>
      <w:sz w:val="32"/>
      <w:lang w:val="en-GB" w:eastAsia="fr-FR"/>
    </w:rPr>
  </w:style>
  <w:style w:type="paragraph" w:customStyle="1" w:styleId="TitlePageSubject">
    <w:name w:val=":Title:Page:Subject"/>
    <w:basedOn w:val="Normal"/>
    <w:uiPriority w:val="59"/>
    <w:semiHidden/>
    <w:qFormat/>
    <w:pPr>
      <w:spacing w:before="360"/>
      <w:jc w:val="center"/>
    </w:pPr>
    <w:rPr>
      <w:sz w:val="32"/>
      <w:lang w:val="en-GB" w:eastAsia="fr-FR"/>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11"/>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pPr>
      <w:numPr>
        <w:numId w:val="12"/>
      </w:numPr>
      <w:tabs>
        <w:tab w:val="left" w:pos="851"/>
      </w:tabs>
      <w:ind w:left="360" w:hanging="360"/>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7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108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UL1">
    <w:name w:val="Table:Entry:UL:1"/>
    <w:basedOn w:val="TableEntry"/>
    <w:uiPriority w:val="11"/>
    <w:qFormat/>
    <w:pPr>
      <w:numPr>
        <w:numId w:val="18"/>
      </w:numPr>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5"/>
    <w:pPr>
      <w:numPr>
        <w:numId w:val="19"/>
      </w:numPr>
      <w:snapToGrid w:val="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spacing w:before="60"/>
      <w:jc w:val="left"/>
    </w:pPr>
    <w:rPr>
      <w:rFonts w:cs="Times New Roman"/>
      <w:iCs w:val="0"/>
    </w:rPr>
  </w:style>
  <w:style w:type="paragraph" w:customStyle="1" w:styleId="Paragraph0">
    <w:name w:val="Paragraph:0"/>
    <w:basedOn w:val="Paragraph"/>
    <w:uiPriority w:val="3"/>
    <w:qFormat/>
    <w:pPr>
      <w:spacing w:before="60"/>
    </w:pPr>
  </w:style>
  <w:style w:type="paragraph" w:customStyle="1" w:styleId="TableCaptionTop">
    <w:name w:val="Table:Caption:Top"/>
    <w:basedOn w:val="Caption"/>
    <w:uiPriority w:val="11"/>
    <w:pPr>
      <w:keepNext/>
      <w:autoSpaceDE w:val="0"/>
      <w:autoSpaceDN w:val="0"/>
      <w:adjustRightInd w:val="0"/>
      <w:spacing w:before="240" w:after="120" w:line="240" w:lineRule="auto"/>
    </w:pPr>
    <w:rPr>
      <w:rFonts w:ascii="Arial" w:eastAsia="Arial Unicode MS" w:hAnsi="Arial" w:cs="Arial"/>
      <w:iCs/>
      <w:sz w:val="20"/>
      <w:szCs w:val="20"/>
      <w:lang w:val="en-US"/>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20"/>
      </w:numPr>
      <w:tabs>
        <w:tab w:val="left" w:pos="425"/>
      </w:tabs>
      <w:spacing w:after="120"/>
      <w:contextualSpacing/>
    </w:pPr>
    <w:rPr>
      <w:rFonts w:cs="Arial"/>
      <w:sz w:val="16"/>
      <w:lang w:val="en-US"/>
    </w:rPr>
  </w:style>
  <w:style w:type="character" w:customStyle="1" w:styleId="Fixed">
    <w:name w:val="Fixed"/>
    <w:uiPriority w:val="1"/>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uiPriority w:val="59"/>
    <w:semiHidden/>
    <w:pPr>
      <w:spacing w:line="480" w:lineRule="auto"/>
      <w:jc w:val="center"/>
    </w:pPr>
    <w:rPr>
      <w:rFonts w:cs="Arial"/>
      <w:b/>
      <w:sz w:val="36"/>
      <w:szCs w:val="36"/>
      <w:lang w:val="en-GB"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customStyle="1" w:styleId="list0">
    <w:name w:val=":list"/>
    <w:basedOn w:val="Paragraph"/>
    <w:autoRedefine/>
    <w:uiPriority w:val="59"/>
    <w:semiHidden/>
    <w:rPr>
      <w:rFonts w:eastAsia="Arial Unicode MS"/>
      <w:szCs w:val="20"/>
    </w:rPr>
  </w:style>
  <w:style w:type="paragraph" w:customStyle="1" w:styleId="TableEntryUL2">
    <w:name w:val="Table:Entry:UL:2"/>
    <w:basedOn w:val="TableEntryUL1"/>
    <w:uiPriority w:val="11"/>
    <w:qFormat/>
    <w:pPr>
      <w:numPr>
        <w:ilvl w:val="1"/>
      </w:numPr>
      <w:tabs>
        <w:tab w:val="left" w:pos="426"/>
      </w:tabs>
    </w:pPr>
    <w:rPr>
      <w:bCs/>
      <w:szCs w:val="20"/>
      <w:lang w:eastAsia="de-AT"/>
    </w:rPr>
  </w:style>
  <w:style w:type="paragraph" w:customStyle="1" w:styleId="TableEntryOL2">
    <w:name w:val="Table:Entry:OL:2"/>
    <w:basedOn w:val="TableEntryOL1"/>
    <w:uiPriority w:val="5"/>
    <w:pPr>
      <w:numPr>
        <w:ilvl w:val="1"/>
      </w:numPr>
      <w:tabs>
        <w:tab w:val="left" w:pos="426"/>
      </w:tabs>
    </w:pPr>
    <w:rPr>
      <w:rFonts w:cs="Arial"/>
      <w:lang w:val="en-GB"/>
    </w:rPr>
  </w:style>
  <w:style w:type="paragraph" w:customStyle="1" w:styleId="TemplateHeading">
    <w:name w:val=":Template:Heading"/>
    <w:basedOn w:val="Normal"/>
    <w:uiPriority w:val="59"/>
    <w:semiHidden/>
    <w:qFormat/>
    <w:pPr>
      <w:tabs>
        <w:tab w:val="left" w:pos="1276"/>
      </w:tabs>
      <w:spacing w:before="60" w:after="60"/>
      <w:jc w:val="center"/>
    </w:pPr>
    <w:rPr>
      <w:b/>
      <w:caps/>
      <w:lang w:val="en-GB" w:eastAsia="de-DE"/>
    </w:rPr>
  </w:style>
  <w:style w:type="paragraph" w:customStyle="1" w:styleId="Templatetext">
    <w:name w:val=":Template:text"/>
    <w:basedOn w:val="Paragraph"/>
    <w:uiPriority w:val="59"/>
    <w:semiHidden/>
    <w:qFormat/>
    <w:pPr>
      <w:spacing w:before="60"/>
    </w:pPr>
    <w:rPr>
      <w:rFonts w:eastAsia="Arial Unicode MS"/>
      <w:szCs w:val="20"/>
    </w:rPr>
  </w:style>
  <w:style w:type="paragraph" w:customStyle="1" w:styleId="Appendix4">
    <w:name w:val="Appendix 4"/>
    <w:basedOn w:val="Heading4"/>
    <w:next w:val="Paragraph"/>
    <w:uiPriority w:val="16"/>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pPr>
      <w:keepNext/>
      <w:tabs>
        <w:tab w:val="left" w:pos="426"/>
      </w:tabs>
      <w:spacing w:before="120" w:after="120"/>
      <w:jc w:val="center"/>
    </w:pPr>
    <w:rPr>
      <w:b/>
      <w:bCs/>
      <w:szCs w:val="20"/>
      <w:lang w:eastAsia="de-AT"/>
    </w:rPr>
  </w:style>
  <w:style w:type="paragraph" w:customStyle="1" w:styleId="frametext">
    <w:name w:val=":frame:text"/>
    <w:basedOn w:val="Normal"/>
    <w:autoRedefine/>
    <w:pPr>
      <w:widowControl w:val="0"/>
      <w:spacing w:before="60" w:after="60"/>
      <w:jc w:val="center"/>
    </w:pPr>
    <w:rPr>
      <w:sz w:val="14"/>
      <w:szCs w:val="14"/>
      <w:lang w:val="en-US" w:eastAsia="de-DE"/>
    </w:rPr>
  </w:style>
  <w:style w:type="paragraph" w:customStyle="1" w:styleId="ANNEXE">
    <w:name w:val="ANNEXE"/>
    <w:basedOn w:val="Normal"/>
    <w:autoRedefine/>
    <w:pPr>
      <w:pageBreakBefore/>
      <w:numPr>
        <w:numId w:val="21"/>
      </w:numPr>
      <w:spacing w:before="120" w:after="120"/>
      <w:jc w:val="center"/>
    </w:pPr>
    <w:rPr>
      <w:b/>
      <w:caps/>
      <w:sz w:val="22"/>
      <w:lang w:val="en-US" w:eastAsia="fr-FR"/>
    </w:rPr>
  </w:style>
  <w:style w:type="character" w:customStyle="1" w:styleId="CaptionChar">
    <w:name w:val="Caption Char"/>
    <w:link w:val="Caption"/>
    <w:uiPriority w:val="1"/>
    <w:rPr>
      <w:rFonts w:ascii="Arial Bold" w:hAnsi="Arial Bold"/>
      <w:b/>
      <w:bCs/>
      <w:kern w:val="20"/>
      <w:sz w:val="22"/>
      <w:szCs w:val="22"/>
      <w:lang w:val="en-CA" w:eastAsia="en-US"/>
    </w:rPr>
  </w:style>
  <w:style w:type="paragraph" w:customStyle="1" w:styleId="requirementleft-normal">
    <w:name w:val="requirement_left-normal"/>
    <w:basedOn w:val="Normal"/>
    <w:pPr>
      <w:keepNext/>
      <w:tabs>
        <w:tab w:val="left" w:pos="2835"/>
        <w:tab w:val="left" w:pos="5670"/>
      </w:tabs>
    </w:pPr>
    <w:rPr>
      <w:rFonts w:cs="Arial"/>
      <w:bCs/>
      <w:sz w:val="16"/>
      <w:szCs w:val="16"/>
      <w:lang w:val="fr-FR" w:eastAsia="de-CH"/>
    </w:rPr>
  </w:style>
  <w:style w:type="paragraph" w:customStyle="1" w:styleId="StyleStylerequirementstyleLinespacingMultiple12liLi">
    <w:name w:val="Style Style requirement style + Line spacing:  Multiple 1.2 li + Li..."/>
    <w:basedOn w:val="Normal"/>
    <w:pPr>
      <w:keepNext/>
      <w:tabs>
        <w:tab w:val="left" w:pos="2835"/>
        <w:tab w:val="left" w:pos="5670"/>
      </w:tabs>
      <w:spacing w:before="120" w:after="60"/>
    </w:pPr>
    <w:rPr>
      <w:lang w:val="de-CH"/>
    </w:rPr>
  </w:style>
  <w:style w:type="paragraph" w:styleId="Revision">
    <w:name w:val="Revision"/>
    <w:hidden/>
    <w:uiPriority w:val="99"/>
    <w:semiHidden/>
    <w:rPr>
      <w:rFonts w:ascii="Arial" w:eastAsia="Times New Roman" w:hAnsi="Arial" w:cs="Times New Roman"/>
      <w:lang w:val="en-GB"/>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NoteTextTable">
    <w:name w:val="Note:Text:Table"/>
    <w:basedOn w:val="Paragraph1"/>
    <w:uiPriority w:val="5"/>
    <w:rsid w:val="002F4B7D"/>
    <w:pPr>
      <w:ind w:left="0"/>
    </w:pPr>
    <w:rPr>
      <w:rFonts w:eastAsia="Arial Unicode MS"/>
      <w:i/>
      <w:iCs w:val="0"/>
      <w:sz w:val="16"/>
      <w:szCs w:val="20"/>
    </w:rPr>
  </w:style>
  <w:style w:type="paragraph" w:customStyle="1" w:styleId="TableCaption">
    <w:name w:val="Table:Caption"/>
    <w:basedOn w:val="Paragraph"/>
    <w:next w:val="TableEntry"/>
    <w:uiPriority w:val="5"/>
    <w:rsid w:val="002F4B7D"/>
    <w:pPr>
      <w:keepNext/>
      <w:keepLines/>
      <w:spacing w:before="120" w:after="120"/>
      <w:jc w:val="center"/>
    </w:pPr>
    <w:rPr>
      <w:b/>
      <w:sz w:val="18"/>
      <w:lang w:val="de-AT" w:eastAsia="en-US"/>
    </w:rPr>
  </w:style>
  <w:style w:type="table" w:customStyle="1" w:styleId="TableauThales-Avecbordures">
    <w:name w:val="Tableau Thales - Avec bordures"/>
    <w:basedOn w:val="TableNormal"/>
    <w:uiPriority w:val="99"/>
    <w:rsid w:val="00F122F5"/>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w:hAnsi="HelveticaNeueLT Std"/>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character" w:customStyle="1" w:styleId="rynqvb">
    <w:name w:val="rynqvb"/>
    <w:basedOn w:val="DefaultParagraphFont"/>
    <w:rsid w:val="00BF2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741">
      <w:bodyDiv w:val="1"/>
      <w:marLeft w:val="0"/>
      <w:marRight w:val="0"/>
      <w:marTop w:val="0"/>
      <w:marBottom w:val="0"/>
      <w:divBdr>
        <w:top w:val="none" w:sz="0" w:space="0" w:color="auto"/>
        <w:left w:val="none" w:sz="0" w:space="0" w:color="auto"/>
        <w:bottom w:val="none" w:sz="0" w:space="0" w:color="auto"/>
        <w:right w:val="none" w:sz="0" w:space="0" w:color="auto"/>
      </w:divBdr>
      <w:divsChild>
        <w:div w:id="537855707">
          <w:marLeft w:val="0"/>
          <w:marRight w:val="0"/>
          <w:marTop w:val="0"/>
          <w:marBottom w:val="0"/>
          <w:divBdr>
            <w:top w:val="none" w:sz="0" w:space="0" w:color="auto"/>
            <w:left w:val="none" w:sz="0" w:space="0" w:color="auto"/>
            <w:bottom w:val="none" w:sz="0" w:space="0" w:color="auto"/>
            <w:right w:val="none" w:sz="0" w:space="0" w:color="auto"/>
          </w:divBdr>
        </w:div>
      </w:divsChild>
    </w:div>
    <w:div w:id="48195383">
      <w:bodyDiv w:val="1"/>
      <w:marLeft w:val="0"/>
      <w:marRight w:val="0"/>
      <w:marTop w:val="0"/>
      <w:marBottom w:val="0"/>
      <w:divBdr>
        <w:top w:val="none" w:sz="0" w:space="0" w:color="auto"/>
        <w:left w:val="none" w:sz="0" w:space="0" w:color="auto"/>
        <w:bottom w:val="none" w:sz="0" w:space="0" w:color="auto"/>
        <w:right w:val="none" w:sz="0" w:space="0" w:color="auto"/>
      </w:divBdr>
      <w:divsChild>
        <w:div w:id="1034648394">
          <w:marLeft w:val="0"/>
          <w:marRight w:val="0"/>
          <w:marTop w:val="0"/>
          <w:marBottom w:val="0"/>
          <w:divBdr>
            <w:top w:val="none" w:sz="0" w:space="0" w:color="auto"/>
            <w:left w:val="none" w:sz="0" w:space="0" w:color="auto"/>
            <w:bottom w:val="none" w:sz="0" w:space="0" w:color="auto"/>
            <w:right w:val="none" w:sz="0" w:space="0" w:color="auto"/>
          </w:divBdr>
        </w:div>
      </w:divsChild>
    </w:div>
    <w:div w:id="77292664">
      <w:bodyDiv w:val="1"/>
      <w:marLeft w:val="0"/>
      <w:marRight w:val="0"/>
      <w:marTop w:val="0"/>
      <w:marBottom w:val="0"/>
      <w:divBdr>
        <w:top w:val="none" w:sz="0" w:space="0" w:color="auto"/>
        <w:left w:val="none" w:sz="0" w:space="0" w:color="auto"/>
        <w:bottom w:val="none" w:sz="0" w:space="0" w:color="auto"/>
        <w:right w:val="none" w:sz="0" w:space="0" w:color="auto"/>
      </w:divBdr>
      <w:divsChild>
        <w:div w:id="2112042505">
          <w:marLeft w:val="0"/>
          <w:marRight w:val="0"/>
          <w:marTop w:val="0"/>
          <w:marBottom w:val="0"/>
          <w:divBdr>
            <w:top w:val="none" w:sz="0" w:space="0" w:color="auto"/>
            <w:left w:val="none" w:sz="0" w:space="0" w:color="auto"/>
            <w:bottom w:val="none" w:sz="0" w:space="0" w:color="auto"/>
            <w:right w:val="none" w:sz="0" w:space="0" w:color="auto"/>
          </w:divBdr>
        </w:div>
      </w:divsChild>
    </w:div>
    <w:div w:id="156119658">
      <w:bodyDiv w:val="1"/>
      <w:marLeft w:val="0"/>
      <w:marRight w:val="0"/>
      <w:marTop w:val="0"/>
      <w:marBottom w:val="0"/>
      <w:divBdr>
        <w:top w:val="none" w:sz="0" w:space="0" w:color="auto"/>
        <w:left w:val="none" w:sz="0" w:space="0" w:color="auto"/>
        <w:bottom w:val="none" w:sz="0" w:space="0" w:color="auto"/>
        <w:right w:val="none" w:sz="0" w:space="0" w:color="auto"/>
      </w:divBdr>
      <w:divsChild>
        <w:div w:id="308756445">
          <w:marLeft w:val="0"/>
          <w:marRight w:val="0"/>
          <w:marTop w:val="0"/>
          <w:marBottom w:val="0"/>
          <w:divBdr>
            <w:top w:val="none" w:sz="0" w:space="0" w:color="auto"/>
            <w:left w:val="none" w:sz="0" w:space="0" w:color="auto"/>
            <w:bottom w:val="none" w:sz="0" w:space="0" w:color="auto"/>
            <w:right w:val="none" w:sz="0" w:space="0" w:color="auto"/>
          </w:divBdr>
        </w:div>
      </w:divsChild>
    </w:div>
    <w:div w:id="163403209">
      <w:bodyDiv w:val="1"/>
      <w:marLeft w:val="0"/>
      <w:marRight w:val="0"/>
      <w:marTop w:val="0"/>
      <w:marBottom w:val="0"/>
      <w:divBdr>
        <w:top w:val="none" w:sz="0" w:space="0" w:color="auto"/>
        <w:left w:val="none" w:sz="0" w:space="0" w:color="auto"/>
        <w:bottom w:val="none" w:sz="0" w:space="0" w:color="auto"/>
        <w:right w:val="none" w:sz="0" w:space="0" w:color="auto"/>
      </w:divBdr>
      <w:divsChild>
        <w:div w:id="496576148">
          <w:marLeft w:val="0"/>
          <w:marRight w:val="0"/>
          <w:marTop w:val="0"/>
          <w:marBottom w:val="0"/>
          <w:divBdr>
            <w:top w:val="none" w:sz="0" w:space="0" w:color="auto"/>
            <w:left w:val="none" w:sz="0" w:space="0" w:color="auto"/>
            <w:bottom w:val="none" w:sz="0" w:space="0" w:color="auto"/>
            <w:right w:val="none" w:sz="0" w:space="0" w:color="auto"/>
          </w:divBdr>
        </w:div>
      </w:divsChild>
    </w:div>
    <w:div w:id="172496719">
      <w:bodyDiv w:val="1"/>
      <w:marLeft w:val="0"/>
      <w:marRight w:val="0"/>
      <w:marTop w:val="0"/>
      <w:marBottom w:val="0"/>
      <w:divBdr>
        <w:top w:val="none" w:sz="0" w:space="0" w:color="auto"/>
        <w:left w:val="none" w:sz="0" w:space="0" w:color="auto"/>
        <w:bottom w:val="none" w:sz="0" w:space="0" w:color="auto"/>
        <w:right w:val="none" w:sz="0" w:space="0" w:color="auto"/>
      </w:divBdr>
      <w:divsChild>
        <w:div w:id="1004822668">
          <w:marLeft w:val="0"/>
          <w:marRight w:val="0"/>
          <w:marTop w:val="0"/>
          <w:marBottom w:val="0"/>
          <w:divBdr>
            <w:top w:val="none" w:sz="0" w:space="0" w:color="auto"/>
            <w:left w:val="none" w:sz="0" w:space="0" w:color="auto"/>
            <w:bottom w:val="none" w:sz="0" w:space="0" w:color="auto"/>
            <w:right w:val="none" w:sz="0" w:space="0" w:color="auto"/>
          </w:divBdr>
        </w:div>
      </w:divsChild>
    </w:div>
    <w:div w:id="181819069">
      <w:bodyDiv w:val="1"/>
      <w:marLeft w:val="0"/>
      <w:marRight w:val="0"/>
      <w:marTop w:val="0"/>
      <w:marBottom w:val="0"/>
      <w:divBdr>
        <w:top w:val="none" w:sz="0" w:space="0" w:color="auto"/>
        <w:left w:val="none" w:sz="0" w:space="0" w:color="auto"/>
        <w:bottom w:val="none" w:sz="0" w:space="0" w:color="auto"/>
        <w:right w:val="none" w:sz="0" w:space="0" w:color="auto"/>
      </w:divBdr>
      <w:divsChild>
        <w:div w:id="1468356965">
          <w:marLeft w:val="0"/>
          <w:marRight w:val="0"/>
          <w:marTop w:val="0"/>
          <w:marBottom w:val="0"/>
          <w:divBdr>
            <w:top w:val="none" w:sz="0" w:space="0" w:color="auto"/>
            <w:left w:val="none" w:sz="0" w:space="0" w:color="auto"/>
            <w:bottom w:val="none" w:sz="0" w:space="0" w:color="auto"/>
            <w:right w:val="none" w:sz="0" w:space="0" w:color="auto"/>
          </w:divBdr>
        </w:div>
      </w:divsChild>
    </w:div>
    <w:div w:id="195436341">
      <w:bodyDiv w:val="1"/>
      <w:marLeft w:val="0"/>
      <w:marRight w:val="0"/>
      <w:marTop w:val="0"/>
      <w:marBottom w:val="0"/>
      <w:divBdr>
        <w:top w:val="none" w:sz="0" w:space="0" w:color="auto"/>
        <w:left w:val="none" w:sz="0" w:space="0" w:color="auto"/>
        <w:bottom w:val="none" w:sz="0" w:space="0" w:color="auto"/>
        <w:right w:val="none" w:sz="0" w:space="0" w:color="auto"/>
      </w:divBdr>
      <w:divsChild>
        <w:div w:id="303120055">
          <w:marLeft w:val="0"/>
          <w:marRight w:val="0"/>
          <w:marTop w:val="0"/>
          <w:marBottom w:val="0"/>
          <w:divBdr>
            <w:top w:val="none" w:sz="0" w:space="0" w:color="auto"/>
            <w:left w:val="none" w:sz="0" w:space="0" w:color="auto"/>
            <w:bottom w:val="none" w:sz="0" w:space="0" w:color="auto"/>
            <w:right w:val="none" w:sz="0" w:space="0" w:color="auto"/>
          </w:divBdr>
        </w:div>
      </w:divsChild>
    </w:div>
    <w:div w:id="217132045">
      <w:bodyDiv w:val="1"/>
      <w:marLeft w:val="0"/>
      <w:marRight w:val="0"/>
      <w:marTop w:val="0"/>
      <w:marBottom w:val="0"/>
      <w:divBdr>
        <w:top w:val="none" w:sz="0" w:space="0" w:color="auto"/>
        <w:left w:val="none" w:sz="0" w:space="0" w:color="auto"/>
        <w:bottom w:val="none" w:sz="0" w:space="0" w:color="auto"/>
        <w:right w:val="none" w:sz="0" w:space="0" w:color="auto"/>
      </w:divBdr>
      <w:divsChild>
        <w:div w:id="960496814">
          <w:marLeft w:val="0"/>
          <w:marRight w:val="0"/>
          <w:marTop w:val="0"/>
          <w:marBottom w:val="0"/>
          <w:divBdr>
            <w:top w:val="none" w:sz="0" w:space="0" w:color="auto"/>
            <w:left w:val="none" w:sz="0" w:space="0" w:color="auto"/>
            <w:bottom w:val="none" w:sz="0" w:space="0" w:color="auto"/>
            <w:right w:val="none" w:sz="0" w:space="0" w:color="auto"/>
          </w:divBdr>
        </w:div>
      </w:divsChild>
    </w:div>
    <w:div w:id="242184763">
      <w:bodyDiv w:val="1"/>
      <w:marLeft w:val="0"/>
      <w:marRight w:val="0"/>
      <w:marTop w:val="0"/>
      <w:marBottom w:val="0"/>
      <w:divBdr>
        <w:top w:val="none" w:sz="0" w:space="0" w:color="auto"/>
        <w:left w:val="none" w:sz="0" w:space="0" w:color="auto"/>
        <w:bottom w:val="none" w:sz="0" w:space="0" w:color="auto"/>
        <w:right w:val="none" w:sz="0" w:space="0" w:color="auto"/>
      </w:divBdr>
      <w:divsChild>
        <w:div w:id="374349162">
          <w:marLeft w:val="0"/>
          <w:marRight w:val="0"/>
          <w:marTop w:val="0"/>
          <w:marBottom w:val="0"/>
          <w:divBdr>
            <w:top w:val="none" w:sz="0" w:space="0" w:color="auto"/>
            <w:left w:val="none" w:sz="0" w:space="0" w:color="auto"/>
            <w:bottom w:val="none" w:sz="0" w:space="0" w:color="auto"/>
            <w:right w:val="none" w:sz="0" w:space="0" w:color="auto"/>
          </w:divBdr>
        </w:div>
      </w:divsChild>
    </w:div>
    <w:div w:id="264385883">
      <w:bodyDiv w:val="1"/>
      <w:marLeft w:val="0"/>
      <w:marRight w:val="0"/>
      <w:marTop w:val="0"/>
      <w:marBottom w:val="0"/>
      <w:divBdr>
        <w:top w:val="none" w:sz="0" w:space="0" w:color="auto"/>
        <w:left w:val="none" w:sz="0" w:space="0" w:color="auto"/>
        <w:bottom w:val="none" w:sz="0" w:space="0" w:color="auto"/>
        <w:right w:val="none" w:sz="0" w:space="0" w:color="auto"/>
      </w:divBdr>
      <w:divsChild>
        <w:div w:id="570819471">
          <w:marLeft w:val="0"/>
          <w:marRight w:val="0"/>
          <w:marTop w:val="0"/>
          <w:marBottom w:val="0"/>
          <w:divBdr>
            <w:top w:val="none" w:sz="0" w:space="0" w:color="auto"/>
            <w:left w:val="none" w:sz="0" w:space="0" w:color="auto"/>
            <w:bottom w:val="none" w:sz="0" w:space="0" w:color="auto"/>
            <w:right w:val="none" w:sz="0" w:space="0" w:color="auto"/>
          </w:divBdr>
        </w:div>
      </w:divsChild>
    </w:div>
    <w:div w:id="287124545">
      <w:bodyDiv w:val="1"/>
      <w:marLeft w:val="0"/>
      <w:marRight w:val="0"/>
      <w:marTop w:val="0"/>
      <w:marBottom w:val="0"/>
      <w:divBdr>
        <w:top w:val="none" w:sz="0" w:space="0" w:color="auto"/>
        <w:left w:val="none" w:sz="0" w:space="0" w:color="auto"/>
        <w:bottom w:val="none" w:sz="0" w:space="0" w:color="auto"/>
        <w:right w:val="none" w:sz="0" w:space="0" w:color="auto"/>
      </w:divBdr>
      <w:divsChild>
        <w:div w:id="2117435084">
          <w:marLeft w:val="0"/>
          <w:marRight w:val="0"/>
          <w:marTop w:val="0"/>
          <w:marBottom w:val="0"/>
          <w:divBdr>
            <w:top w:val="none" w:sz="0" w:space="0" w:color="auto"/>
            <w:left w:val="none" w:sz="0" w:space="0" w:color="auto"/>
            <w:bottom w:val="none" w:sz="0" w:space="0" w:color="auto"/>
            <w:right w:val="none" w:sz="0" w:space="0" w:color="auto"/>
          </w:divBdr>
        </w:div>
      </w:divsChild>
    </w:div>
    <w:div w:id="322512917">
      <w:bodyDiv w:val="1"/>
      <w:marLeft w:val="0"/>
      <w:marRight w:val="0"/>
      <w:marTop w:val="0"/>
      <w:marBottom w:val="0"/>
      <w:divBdr>
        <w:top w:val="none" w:sz="0" w:space="0" w:color="auto"/>
        <w:left w:val="none" w:sz="0" w:space="0" w:color="auto"/>
        <w:bottom w:val="none" w:sz="0" w:space="0" w:color="auto"/>
        <w:right w:val="none" w:sz="0" w:space="0" w:color="auto"/>
      </w:divBdr>
      <w:divsChild>
        <w:div w:id="2083603274">
          <w:marLeft w:val="0"/>
          <w:marRight w:val="0"/>
          <w:marTop w:val="0"/>
          <w:marBottom w:val="0"/>
          <w:divBdr>
            <w:top w:val="none" w:sz="0" w:space="0" w:color="auto"/>
            <w:left w:val="none" w:sz="0" w:space="0" w:color="auto"/>
            <w:bottom w:val="none" w:sz="0" w:space="0" w:color="auto"/>
            <w:right w:val="none" w:sz="0" w:space="0" w:color="auto"/>
          </w:divBdr>
        </w:div>
      </w:divsChild>
    </w:div>
    <w:div w:id="348723766">
      <w:bodyDiv w:val="1"/>
      <w:marLeft w:val="0"/>
      <w:marRight w:val="0"/>
      <w:marTop w:val="0"/>
      <w:marBottom w:val="0"/>
      <w:divBdr>
        <w:top w:val="none" w:sz="0" w:space="0" w:color="auto"/>
        <w:left w:val="none" w:sz="0" w:space="0" w:color="auto"/>
        <w:bottom w:val="none" w:sz="0" w:space="0" w:color="auto"/>
        <w:right w:val="none" w:sz="0" w:space="0" w:color="auto"/>
      </w:divBdr>
      <w:divsChild>
        <w:div w:id="607392523">
          <w:marLeft w:val="0"/>
          <w:marRight w:val="0"/>
          <w:marTop w:val="0"/>
          <w:marBottom w:val="0"/>
          <w:divBdr>
            <w:top w:val="none" w:sz="0" w:space="0" w:color="auto"/>
            <w:left w:val="none" w:sz="0" w:space="0" w:color="auto"/>
            <w:bottom w:val="none" w:sz="0" w:space="0" w:color="auto"/>
            <w:right w:val="none" w:sz="0" w:space="0" w:color="auto"/>
          </w:divBdr>
        </w:div>
      </w:divsChild>
    </w:div>
    <w:div w:id="362025240">
      <w:bodyDiv w:val="1"/>
      <w:marLeft w:val="0"/>
      <w:marRight w:val="0"/>
      <w:marTop w:val="0"/>
      <w:marBottom w:val="0"/>
      <w:divBdr>
        <w:top w:val="none" w:sz="0" w:space="0" w:color="auto"/>
        <w:left w:val="none" w:sz="0" w:space="0" w:color="auto"/>
        <w:bottom w:val="none" w:sz="0" w:space="0" w:color="auto"/>
        <w:right w:val="none" w:sz="0" w:space="0" w:color="auto"/>
      </w:divBdr>
      <w:divsChild>
        <w:div w:id="1826429587">
          <w:marLeft w:val="0"/>
          <w:marRight w:val="0"/>
          <w:marTop w:val="0"/>
          <w:marBottom w:val="0"/>
          <w:divBdr>
            <w:top w:val="none" w:sz="0" w:space="0" w:color="auto"/>
            <w:left w:val="none" w:sz="0" w:space="0" w:color="auto"/>
            <w:bottom w:val="none" w:sz="0" w:space="0" w:color="auto"/>
            <w:right w:val="none" w:sz="0" w:space="0" w:color="auto"/>
          </w:divBdr>
        </w:div>
      </w:divsChild>
    </w:div>
    <w:div w:id="374350507">
      <w:bodyDiv w:val="1"/>
      <w:marLeft w:val="0"/>
      <w:marRight w:val="0"/>
      <w:marTop w:val="0"/>
      <w:marBottom w:val="0"/>
      <w:divBdr>
        <w:top w:val="none" w:sz="0" w:space="0" w:color="auto"/>
        <w:left w:val="none" w:sz="0" w:space="0" w:color="auto"/>
        <w:bottom w:val="none" w:sz="0" w:space="0" w:color="auto"/>
        <w:right w:val="none" w:sz="0" w:space="0" w:color="auto"/>
      </w:divBdr>
      <w:divsChild>
        <w:div w:id="485512252">
          <w:marLeft w:val="0"/>
          <w:marRight w:val="0"/>
          <w:marTop w:val="0"/>
          <w:marBottom w:val="0"/>
          <w:divBdr>
            <w:top w:val="none" w:sz="0" w:space="0" w:color="auto"/>
            <w:left w:val="none" w:sz="0" w:space="0" w:color="auto"/>
            <w:bottom w:val="none" w:sz="0" w:space="0" w:color="auto"/>
            <w:right w:val="none" w:sz="0" w:space="0" w:color="auto"/>
          </w:divBdr>
        </w:div>
      </w:divsChild>
    </w:div>
    <w:div w:id="385374812">
      <w:bodyDiv w:val="1"/>
      <w:marLeft w:val="0"/>
      <w:marRight w:val="0"/>
      <w:marTop w:val="0"/>
      <w:marBottom w:val="0"/>
      <w:divBdr>
        <w:top w:val="none" w:sz="0" w:space="0" w:color="auto"/>
        <w:left w:val="none" w:sz="0" w:space="0" w:color="auto"/>
        <w:bottom w:val="none" w:sz="0" w:space="0" w:color="auto"/>
        <w:right w:val="none" w:sz="0" w:space="0" w:color="auto"/>
      </w:divBdr>
      <w:divsChild>
        <w:div w:id="53088501">
          <w:marLeft w:val="0"/>
          <w:marRight w:val="0"/>
          <w:marTop w:val="0"/>
          <w:marBottom w:val="0"/>
          <w:divBdr>
            <w:top w:val="none" w:sz="0" w:space="0" w:color="auto"/>
            <w:left w:val="none" w:sz="0" w:space="0" w:color="auto"/>
            <w:bottom w:val="none" w:sz="0" w:space="0" w:color="auto"/>
            <w:right w:val="none" w:sz="0" w:space="0" w:color="auto"/>
          </w:divBdr>
        </w:div>
      </w:divsChild>
    </w:div>
    <w:div w:id="410126464">
      <w:bodyDiv w:val="1"/>
      <w:marLeft w:val="0"/>
      <w:marRight w:val="0"/>
      <w:marTop w:val="0"/>
      <w:marBottom w:val="0"/>
      <w:divBdr>
        <w:top w:val="none" w:sz="0" w:space="0" w:color="auto"/>
        <w:left w:val="none" w:sz="0" w:space="0" w:color="auto"/>
        <w:bottom w:val="none" w:sz="0" w:space="0" w:color="auto"/>
        <w:right w:val="none" w:sz="0" w:space="0" w:color="auto"/>
      </w:divBdr>
      <w:divsChild>
        <w:div w:id="68968198">
          <w:marLeft w:val="0"/>
          <w:marRight w:val="0"/>
          <w:marTop w:val="0"/>
          <w:marBottom w:val="0"/>
          <w:divBdr>
            <w:top w:val="none" w:sz="0" w:space="0" w:color="auto"/>
            <w:left w:val="none" w:sz="0" w:space="0" w:color="auto"/>
            <w:bottom w:val="none" w:sz="0" w:space="0" w:color="auto"/>
            <w:right w:val="none" w:sz="0" w:space="0" w:color="auto"/>
          </w:divBdr>
        </w:div>
      </w:divsChild>
    </w:div>
    <w:div w:id="425343264">
      <w:bodyDiv w:val="1"/>
      <w:marLeft w:val="0"/>
      <w:marRight w:val="0"/>
      <w:marTop w:val="0"/>
      <w:marBottom w:val="0"/>
      <w:divBdr>
        <w:top w:val="none" w:sz="0" w:space="0" w:color="auto"/>
        <w:left w:val="none" w:sz="0" w:space="0" w:color="auto"/>
        <w:bottom w:val="none" w:sz="0" w:space="0" w:color="auto"/>
        <w:right w:val="none" w:sz="0" w:space="0" w:color="auto"/>
      </w:divBdr>
      <w:divsChild>
        <w:div w:id="2071338997">
          <w:marLeft w:val="0"/>
          <w:marRight w:val="0"/>
          <w:marTop w:val="0"/>
          <w:marBottom w:val="0"/>
          <w:divBdr>
            <w:top w:val="none" w:sz="0" w:space="0" w:color="auto"/>
            <w:left w:val="none" w:sz="0" w:space="0" w:color="auto"/>
            <w:bottom w:val="none" w:sz="0" w:space="0" w:color="auto"/>
            <w:right w:val="none" w:sz="0" w:space="0" w:color="auto"/>
          </w:divBdr>
        </w:div>
      </w:divsChild>
    </w:div>
    <w:div w:id="478965742">
      <w:bodyDiv w:val="1"/>
      <w:marLeft w:val="0"/>
      <w:marRight w:val="0"/>
      <w:marTop w:val="0"/>
      <w:marBottom w:val="0"/>
      <w:divBdr>
        <w:top w:val="none" w:sz="0" w:space="0" w:color="auto"/>
        <w:left w:val="none" w:sz="0" w:space="0" w:color="auto"/>
        <w:bottom w:val="none" w:sz="0" w:space="0" w:color="auto"/>
        <w:right w:val="none" w:sz="0" w:space="0" w:color="auto"/>
      </w:divBdr>
      <w:divsChild>
        <w:div w:id="1023634951">
          <w:marLeft w:val="0"/>
          <w:marRight w:val="0"/>
          <w:marTop w:val="0"/>
          <w:marBottom w:val="0"/>
          <w:divBdr>
            <w:top w:val="none" w:sz="0" w:space="0" w:color="auto"/>
            <w:left w:val="none" w:sz="0" w:space="0" w:color="auto"/>
            <w:bottom w:val="none" w:sz="0" w:space="0" w:color="auto"/>
            <w:right w:val="none" w:sz="0" w:space="0" w:color="auto"/>
          </w:divBdr>
        </w:div>
      </w:divsChild>
    </w:div>
    <w:div w:id="487333287">
      <w:bodyDiv w:val="1"/>
      <w:marLeft w:val="0"/>
      <w:marRight w:val="0"/>
      <w:marTop w:val="0"/>
      <w:marBottom w:val="0"/>
      <w:divBdr>
        <w:top w:val="none" w:sz="0" w:space="0" w:color="auto"/>
        <w:left w:val="none" w:sz="0" w:space="0" w:color="auto"/>
        <w:bottom w:val="none" w:sz="0" w:space="0" w:color="auto"/>
        <w:right w:val="none" w:sz="0" w:space="0" w:color="auto"/>
      </w:divBdr>
      <w:divsChild>
        <w:div w:id="94372895">
          <w:marLeft w:val="0"/>
          <w:marRight w:val="0"/>
          <w:marTop w:val="0"/>
          <w:marBottom w:val="0"/>
          <w:divBdr>
            <w:top w:val="none" w:sz="0" w:space="0" w:color="auto"/>
            <w:left w:val="none" w:sz="0" w:space="0" w:color="auto"/>
            <w:bottom w:val="none" w:sz="0" w:space="0" w:color="auto"/>
            <w:right w:val="none" w:sz="0" w:space="0" w:color="auto"/>
          </w:divBdr>
        </w:div>
      </w:divsChild>
    </w:div>
    <w:div w:id="505022356">
      <w:bodyDiv w:val="1"/>
      <w:marLeft w:val="0"/>
      <w:marRight w:val="0"/>
      <w:marTop w:val="0"/>
      <w:marBottom w:val="0"/>
      <w:divBdr>
        <w:top w:val="none" w:sz="0" w:space="0" w:color="auto"/>
        <w:left w:val="none" w:sz="0" w:space="0" w:color="auto"/>
        <w:bottom w:val="none" w:sz="0" w:space="0" w:color="auto"/>
        <w:right w:val="none" w:sz="0" w:space="0" w:color="auto"/>
      </w:divBdr>
      <w:divsChild>
        <w:div w:id="333610374">
          <w:marLeft w:val="0"/>
          <w:marRight w:val="0"/>
          <w:marTop w:val="0"/>
          <w:marBottom w:val="0"/>
          <w:divBdr>
            <w:top w:val="none" w:sz="0" w:space="0" w:color="auto"/>
            <w:left w:val="none" w:sz="0" w:space="0" w:color="auto"/>
            <w:bottom w:val="none" w:sz="0" w:space="0" w:color="auto"/>
            <w:right w:val="none" w:sz="0" w:space="0" w:color="auto"/>
          </w:divBdr>
        </w:div>
      </w:divsChild>
    </w:div>
    <w:div w:id="506024338">
      <w:bodyDiv w:val="1"/>
      <w:marLeft w:val="0"/>
      <w:marRight w:val="0"/>
      <w:marTop w:val="0"/>
      <w:marBottom w:val="0"/>
      <w:divBdr>
        <w:top w:val="none" w:sz="0" w:space="0" w:color="auto"/>
        <w:left w:val="none" w:sz="0" w:space="0" w:color="auto"/>
        <w:bottom w:val="none" w:sz="0" w:space="0" w:color="auto"/>
        <w:right w:val="none" w:sz="0" w:space="0" w:color="auto"/>
      </w:divBdr>
      <w:divsChild>
        <w:div w:id="1891458319">
          <w:marLeft w:val="0"/>
          <w:marRight w:val="0"/>
          <w:marTop w:val="0"/>
          <w:marBottom w:val="0"/>
          <w:divBdr>
            <w:top w:val="none" w:sz="0" w:space="0" w:color="auto"/>
            <w:left w:val="none" w:sz="0" w:space="0" w:color="auto"/>
            <w:bottom w:val="none" w:sz="0" w:space="0" w:color="auto"/>
            <w:right w:val="none" w:sz="0" w:space="0" w:color="auto"/>
          </w:divBdr>
        </w:div>
      </w:divsChild>
    </w:div>
    <w:div w:id="516582206">
      <w:bodyDiv w:val="1"/>
      <w:marLeft w:val="0"/>
      <w:marRight w:val="0"/>
      <w:marTop w:val="0"/>
      <w:marBottom w:val="0"/>
      <w:divBdr>
        <w:top w:val="none" w:sz="0" w:space="0" w:color="auto"/>
        <w:left w:val="none" w:sz="0" w:space="0" w:color="auto"/>
        <w:bottom w:val="none" w:sz="0" w:space="0" w:color="auto"/>
        <w:right w:val="none" w:sz="0" w:space="0" w:color="auto"/>
      </w:divBdr>
      <w:divsChild>
        <w:div w:id="1422604182">
          <w:marLeft w:val="0"/>
          <w:marRight w:val="0"/>
          <w:marTop w:val="0"/>
          <w:marBottom w:val="0"/>
          <w:divBdr>
            <w:top w:val="none" w:sz="0" w:space="0" w:color="auto"/>
            <w:left w:val="none" w:sz="0" w:space="0" w:color="auto"/>
            <w:bottom w:val="none" w:sz="0" w:space="0" w:color="auto"/>
            <w:right w:val="none" w:sz="0" w:space="0" w:color="auto"/>
          </w:divBdr>
        </w:div>
      </w:divsChild>
    </w:div>
    <w:div w:id="519972196">
      <w:bodyDiv w:val="1"/>
      <w:marLeft w:val="0"/>
      <w:marRight w:val="0"/>
      <w:marTop w:val="0"/>
      <w:marBottom w:val="0"/>
      <w:divBdr>
        <w:top w:val="none" w:sz="0" w:space="0" w:color="auto"/>
        <w:left w:val="none" w:sz="0" w:space="0" w:color="auto"/>
        <w:bottom w:val="none" w:sz="0" w:space="0" w:color="auto"/>
        <w:right w:val="none" w:sz="0" w:space="0" w:color="auto"/>
      </w:divBdr>
      <w:divsChild>
        <w:div w:id="1853832100">
          <w:marLeft w:val="0"/>
          <w:marRight w:val="0"/>
          <w:marTop w:val="0"/>
          <w:marBottom w:val="0"/>
          <w:divBdr>
            <w:top w:val="none" w:sz="0" w:space="0" w:color="auto"/>
            <w:left w:val="none" w:sz="0" w:space="0" w:color="auto"/>
            <w:bottom w:val="none" w:sz="0" w:space="0" w:color="auto"/>
            <w:right w:val="none" w:sz="0" w:space="0" w:color="auto"/>
          </w:divBdr>
        </w:div>
      </w:divsChild>
    </w:div>
    <w:div w:id="554584795">
      <w:bodyDiv w:val="1"/>
      <w:marLeft w:val="0"/>
      <w:marRight w:val="0"/>
      <w:marTop w:val="0"/>
      <w:marBottom w:val="0"/>
      <w:divBdr>
        <w:top w:val="none" w:sz="0" w:space="0" w:color="auto"/>
        <w:left w:val="none" w:sz="0" w:space="0" w:color="auto"/>
        <w:bottom w:val="none" w:sz="0" w:space="0" w:color="auto"/>
        <w:right w:val="none" w:sz="0" w:space="0" w:color="auto"/>
      </w:divBdr>
      <w:divsChild>
        <w:div w:id="129910062">
          <w:marLeft w:val="0"/>
          <w:marRight w:val="0"/>
          <w:marTop w:val="0"/>
          <w:marBottom w:val="0"/>
          <w:divBdr>
            <w:top w:val="none" w:sz="0" w:space="0" w:color="auto"/>
            <w:left w:val="none" w:sz="0" w:space="0" w:color="auto"/>
            <w:bottom w:val="none" w:sz="0" w:space="0" w:color="auto"/>
            <w:right w:val="none" w:sz="0" w:space="0" w:color="auto"/>
          </w:divBdr>
        </w:div>
      </w:divsChild>
    </w:div>
    <w:div w:id="560823716">
      <w:bodyDiv w:val="1"/>
      <w:marLeft w:val="0"/>
      <w:marRight w:val="0"/>
      <w:marTop w:val="0"/>
      <w:marBottom w:val="0"/>
      <w:divBdr>
        <w:top w:val="none" w:sz="0" w:space="0" w:color="auto"/>
        <w:left w:val="none" w:sz="0" w:space="0" w:color="auto"/>
        <w:bottom w:val="none" w:sz="0" w:space="0" w:color="auto"/>
        <w:right w:val="none" w:sz="0" w:space="0" w:color="auto"/>
      </w:divBdr>
      <w:divsChild>
        <w:div w:id="1968579681">
          <w:marLeft w:val="0"/>
          <w:marRight w:val="0"/>
          <w:marTop w:val="0"/>
          <w:marBottom w:val="0"/>
          <w:divBdr>
            <w:top w:val="none" w:sz="0" w:space="0" w:color="auto"/>
            <w:left w:val="none" w:sz="0" w:space="0" w:color="auto"/>
            <w:bottom w:val="none" w:sz="0" w:space="0" w:color="auto"/>
            <w:right w:val="none" w:sz="0" w:space="0" w:color="auto"/>
          </w:divBdr>
        </w:div>
      </w:divsChild>
    </w:div>
    <w:div w:id="577911147">
      <w:bodyDiv w:val="1"/>
      <w:marLeft w:val="0"/>
      <w:marRight w:val="0"/>
      <w:marTop w:val="0"/>
      <w:marBottom w:val="0"/>
      <w:divBdr>
        <w:top w:val="none" w:sz="0" w:space="0" w:color="auto"/>
        <w:left w:val="none" w:sz="0" w:space="0" w:color="auto"/>
        <w:bottom w:val="none" w:sz="0" w:space="0" w:color="auto"/>
        <w:right w:val="none" w:sz="0" w:space="0" w:color="auto"/>
      </w:divBdr>
      <w:divsChild>
        <w:div w:id="1387334210">
          <w:marLeft w:val="0"/>
          <w:marRight w:val="0"/>
          <w:marTop w:val="0"/>
          <w:marBottom w:val="0"/>
          <w:divBdr>
            <w:top w:val="none" w:sz="0" w:space="0" w:color="auto"/>
            <w:left w:val="none" w:sz="0" w:space="0" w:color="auto"/>
            <w:bottom w:val="none" w:sz="0" w:space="0" w:color="auto"/>
            <w:right w:val="none" w:sz="0" w:space="0" w:color="auto"/>
          </w:divBdr>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40577957">
      <w:bodyDiv w:val="1"/>
      <w:marLeft w:val="0"/>
      <w:marRight w:val="0"/>
      <w:marTop w:val="0"/>
      <w:marBottom w:val="0"/>
      <w:divBdr>
        <w:top w:val="none" w:sz="0" w:space="0" w:color="auto"/>
        <w:left w:val="none" w:sz="0" w:space="0" w:color="auto"/>
        <w:bottom w:val="none" w:sz="0" w:space="0" w:color="auto"/>
        <w:right w:val="none" w:sz="0" w:space="0" w:color="auto"/>
      </w:divBdr>
      <w:divsChild>
        <w:div w:id="1751154094">
          <w:marLeft w:val="0"/>
          <w:marRight w:val="0"/>
          <w:marTop w:val="0"/>
          <w:marBottom w:val="0"/>
          <w:divBdr>
            <w:top w:val="none" w:sz="0" w:space="0" w:color="auto"/>
            <w:left w:val="none" w:sz="0" w:space="0" w:color="auto"/>
            <w:bottom w:val="none" w:sz="0" w:space="0" w:color="auto"/>
            <w:right w:val="none" w:sz="0" w:space="0" w:color="auto"/>
          </w:divBdr>
        </w:div>
      </w:divsChild>
    </w:div>
    <w:div w:id="642663322">
      <w:bodyDiv w:val="1"/>
      <w:marLeft w:val="0"/>
      <w:marRight w:val="0"/>
      <w:marTop w:val="0"/>
      <w:marBottom w:val="0"/>
      <w:divBdr>
        <w:top w:val="none" w:sz="0" w:space="0" w:color="auto"/>
        <w:left w:val="none" w:sz="0" w:space="0" w:color="auto"/>
        <w:bottom w:val="none" w:sz="0" w:space="0" w:color="auto"/>
        <w:right w:val="none" w:sz="0" w:space="0" w:color="auto"/>
      </w:divBdr>
      <w:divsChild>
        <w:div w:id="1210730195">
          <w:marLeft w:val="0"/>
          <w:marRight w:val="0"/>
          <w:marTop w:val="0"/>
          <w:marBottom w:val="0"/>
          <w:divBdr>
            <w:top w:val="none" w:sz="0" w:space="0" w:color="auto"/>
            <w:left w:val="none" w:sz="0" w:space="0" w:color="auto"/>
            <w:bottom w:val="none" w:sz="0" w:space="0" w:color="auto"/>
            <w:right w:val="none" w:sz="0" w:space="0" w:color="auto"/>
          </w:divBdr>
        </w:div>
      </w:divsChild>
    </w:div>
    <w:div w:id="718239860">
      <w:bodyDiv w:val="1"/>
      <w:marLeft w:val="0"/>
      <w:marRight w:val="0"/>
      <w:marTop w:val="0"/>
      <w:marBottom w:val="0"/>
      <w:divBdr>
        <w:top w:val="none" w:sz="0" w:space="0" w:color="auto"/>
        <w:left w:val="none" w:sz="0" w:space="0" w:color="auto"/>
        <w:bottom w:val="none" w:sz="0" w:space="0" w:color="auto"/>
        <w:right w:val="none" w:sz="0" w:space="0" w:color="auto"/>
      </w:divBdr>
      <w:divsChild>
        <w:div w:id="1060976518">
          <w:marLeft w:val="0"/>
          <w:marRight w:val="0"/>
          <w:marTop w:val="0"/>
          <w:marBottom w:val="0"/>
          <w:divBdr>
            <w:top w:val="none" w:sz="0" w:space="0" w:color="auto"/>
            <w:left w:val="none" w:sz="0" w:space="0" w:color="auto"/>
            <w:bottom w:val="none" w:sz="0" w:space="0" w:color="auto"/>
            <w:right w:val="none" w:sz="0" w:space="0" w:color="auto"/>
          </w:divBdr>
        </w:div>
      </w:divsChild>
    </w:div>
    <w:div w:id="736778523">
      <w:bodyDiv w:val="1"/>
      <w:marLeft w:val="0"/>
      <w:marRight w:val="0"/>
      <w:marTop w:val="0"/>
      <w:marBottom w:val="0"/>
      <w:divBdr>
        <w:top w:val="none" w:sz="0" w:space="0" w:color="auto"/>
        <w:left w:val="none" w:sz="0" w:space="0" w:color="auto"/>
        <w:bottom w:val="none" w:sz="0" w:space="0" w:color="auto"/>
        <w:right w:val="none" w:sz="0" w:space="0" w:color="auto"/>
      </w:divBdr>
      <w:divsChild>
        <w:div w:id="1510826349">
          <w:marLeft w:val="0"/>
          <w:marRight w:val="0"/>
          <w:marTop w:val="0"/>
          <w:marBottom w:val="0"/>
          <w:divBdr>
            <w:top w:val="none" w:sz="0" w:space="0" w:color="auto"/>
            <w:left w:val="none" w:sz="0" w:space="0" w:color="auto"/>
            <w:bottom w:val="none" w:sz="0" w:space="0" w:color="auto"/>
            <w:right w:val="none" w:sz="0" w:space="0" w:color="auto"/>
          </w:divBdr>
        </w:div>
      </w:divsChild>
    </w:div>
    <w:div w:id="751006993">
      <w:bodyDiv w:val="1"/>
      <w:marLeft w:val="0"/>
      <w:marRight w:val="0"/>
      <w:marTop w:val="0"/>
      <w:marBottom w:val="0"/>
      <w:divBdr>
        <w:top w:val="none" w:sz="0" w:space="0" w:color="auto"/>
        <w:left w:val="none" w:sz="0" w:space="0" w:color="auto"/>
        <w:bottom w:val="none" w:sz="0" w:space="0" w:color="auto"/>
        <w:right w:val="none" w:sz="0" w:space="0" w:color="auto"/>
      </w:divBdr>
      <w:divsChild>
        <w:div w:id="777598330">
          <w:marLeft w:val="0"/>
          <w:marRight w:val="0"/>
          <w:marTop w:val="0"/>
          <w:marBottom w:val="0"/>
          <w:divBdr>
            <w:top w:val="none" w:sz="0" w:space="0" w:color="auto"/>
            <w:left w:val="none" w:sz="0" w:space="0" w:color="auto"/>
            <w:bottom w:val="none" w:sz="0" w:space="0" w:color="auto"/>
            <w:right w:val="none" w:sz="0" w:space="0" w:color="auto"/>
          </w:divBdr>
        </w:div>
      </w:divsChild>
    </w:div>
    <w:div w:id="903563770">
      <w:bodyDiv w:val="1"/>
      <w:marLeft w:val="0"/>
      <w:marRight w:val="0"/>
      <w:marTop w:val="0"/>
      <w:marBottom w:val="0"/>
      <w:divBdr>
        <w:top w:val="none" w:sz="0" w:space="0" w:color="auto"/>
        <w:left w:val="none" w:sz="0" w:space="0" w:color="auto"/>
        <w:bottom w:val="none" w:sz="0" w:space="0" w:color="auto"/>
        <w:right w:val="none" w:sz="0" w:space="0" w:color="auto"/>
      </w:divBdr>
      <w:divsChild>
        <w:div w:id="1451125782">
          <w:marLeft w:val="0"/>
          <w:marRight w:val="0"/>
          <w:marTop w:val="0"/>
          <w:marBottom w:val="0"/>
          <w:divBdr>
            <w:top w:val="none" w:sz="0" w:space="0" w:color="auto"/>
            <w:left w:val="none" w:sz="0" w:space="0" w:color="auto"/>
            <w:bottom w:val="none" w:sz="0" w:space="0" w:color="auto"/>
            <w:right w:val="none" w:sz="0" w:space="0" w:color="auto"/>
          </w:divBdr>
        </w:div>
      </w:divsChild>
    </w:div>
    <w:div w:id="977341716">
      <w:bodyDiv w:val="1"/>
      <w:marLeft w:val="0"/>
      <w:marRight w:val="0"/>
      <w:marTop w:val="0"/>
      <w:marBottom w:val="0"/>
      <w:divBdr>
        <w:top w:val="none" w:sz="0" w:space="0" w:color="auto"/>
        <w:left w:val="none" w:sz="0" w:space="0" w:color="auto"/>
        <w:bottom w:val="none" w:sz="0" w:space="0" w:color="auto"/>
        <w:right w:val="none" w:sz="0" w:space="0" w:color="auto"/>
      </w:divBdr>
      <w:divsChild>
        <w:div w:id="1961452499">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15112837">
      <w:bodyDiv w:val="1"/>
      <w:marLeft w:val="0"/>
      <w:marRight w:val="0"/>
      <w:marTop w:val="0"/>
      <w:marBottom w:val="0"/>
      <w:divBdr>
        <w:top w:val="none" w:sz="0" w:space="0" w:color="auto"/>
        <w:left w:val="none" w:sz="0" w:space="0" w:color="auto"/>
        <w:bottom w:val="none" w:sz="0" w:space="0" w:color="auto"/>
        <w:right w:val="none" w:sz="0" w:space="0" w:color="auto"/>
      </w:divBdr>
      <w:divsChild>
        <w:div w:id="2020421030">
          <w:marLeft w:val="0"/>
          <w:marRight w:val="0"/>
          <w:marTop w:val="0"/>
          <w:marBottom w:val="0"/>
          <w:divBdr>
            <w:top w:val="none" w:sz="0" w:space="0" w:color="auto"/>
            <w:left w:val="none" w:sz="0" w:space="0" w:color="auto"/>
            <w:bottom w:val="none" w:sz="0" w:space="0" w:color="auto"/>
            <w:right w:val="none" w:sz="0" w:space="0" w:color="auto"/>
          </w:divBdr>
        </w:div>
      </w:divsChild>
    </w:div>
    <w:div w:id="1031222499">
      <w:bodyDiv w:val="1"/>
      <w:marLeft w:val="0"/>
      <w:marRight w:val="0"/>
      <w:marTop w:val="0"/>
      <w:marBottom w:val="0"/>
      <w:divBdr>
        <w:top w:val="none" w:sz="0" w:space="0" w:color="auto"/>
        <w:left w:val="none" w:sz="0" w:space="0" w:color="auto"/>
        <w:bottom w:val="none" w:sz="0" w:space="0" w:color="auto"/>
        <w:right w:val="none" w:sz="0" w:space="0" w:color="auto"/>
      </w:divBdr>
      <w:divsChild>
        <w:div w:id="1918174507">
          <w:marLeft w:val="0"/>
          <w:marRight w:val="0"/>
          <w:marTop w:val="0"/>
          <w:marBottom w:val="0"/>
          <w:divBdr>
            <w:top w:val="none" w:sz="0" w:space="0" w:color="auto"/>
            <w:left w:val="none" w:sz="0" w:space="0" w:color="auto"/>
            <w:bottom w:val="none" w:sz="0" w:space="0" w:color="auto"/>
            <w:right w:val="none" w:sz="0" w:space="0" w:color="auto"/>
          </w:divBdr>
        </w:div>
      </w:divsChild>
    </w:div>
    <w:div w:id="1063799674">
      <w:bodyDiv w:val="1"/>
      <w:marLeft w:val="0"/>
      <w:marRight w:val="0"/>
      <w:marTop w:val="0"/>
      <w:marBottom w:val="0"/>
      <w:divBdr>
        <w:top w:val="none" w:sz="0" w:space="0" w:color="auto"/>
        <w:left w:val="none" w:sz="0" w:space="0" w:color="auto"/>
        <w:bottom w:val="none" w:sz="0" w:space="0" w:color="auto"/>
        <w:right w:val="none" w:sz="0" w:space="0" w:color="auto"/>
      </w:divBdr>
      <w:divsChild>
        <w:div w:id="1320576446">
          <w:marLeft w:val="0"/>
          <w:marRight w:val="0"/>
          <w:marTop w:val="0"/>
          <w:marBottom w:val="0"/>
          <w:divBdr>
            <w:top w:val="none" w:sz="0" w:space="0" w:color="auto"/>
            <w:left w:val="none" w:sz="0" w:space="0" w:color="auto"/>
            <w:bottom w:val="none" w:sz="0" w:space="0" w:color="auto"/>
            <w:right w:val="none" w:sz="0" w:space="0" w:color="auto"/>
          </w:divBdr>
        </w:div>
      </w:divsChild>
    </w:div>
    <w:div w:id="1071805539">
      <w:bodyDiv w:val="1"/>
      <w:marLeft w:val="0"/>
      <w:marRight w:val="0"/>
      <w:marTop w:val="0"/>
      <w:marBottom w:val="0"/>
      <w:divBdr>
        <w:top w:val="none" w:sz="0" w:space="0" w:color="auto"/>
        <w:left w:val="none" w:sz="0" w:space="0" w:color="auto"/>
        <w:bottom w:val="none" w:sz="0" w:space="0" w:color="auto"/>
        <w:right w:val="none" w:sz="0" w:space="0" w:color="auto"/>
      </w:divBdr>
      <w:divsChild>
        <w:div w:id="178785759">
          <w:marLeft w:val="0"/>
          <w:marRight w:val="0"/>
          <w:marTop w:val="0"/>
          <w:marBottom w:val="0"/>
          <w:divBdr>
            <w:top w:val="none" w:sz="0" w:space="0" w:color="auto"/>
            <w:left w:val="none" w:sz="0" w:space="0" w:color="auto"/>
            <w:bottom w:val="none" w:sz="0" w:space="0" w:color="auto"/>
            <w:right w:val="none" w:sz="0" w:space="0" w:color="auto"/>
          </w:divBdr>
        </w:div>
      </w:divsChild>
    </w:div>
    <w:div w:id="1074426557">
      <w:bodyDiv w:val="1"/>
      <w:marLeft w:val="0"/>
      <w:marRight w:val="0"/>
      <w:marTop w:val="0"/>
      <w:marBottom w:val="0"/>
      <w:divBdr>
        <w:top w:val="none" w:sz="0" w:space="0" w:color="auto"/>
        <w:left w:val="none" w:sz="0" w:space="0" w:color="auto"/>
        <w:bottom w:val="none" w:sz="0" w:space="0" w:color="auto"/>
        <w:right w:val="none" w:sz="0" w:space="0" w:color="auto"/>
      </w:divBdr>
      <w:divsChild>
        <w:div w:id="452292667">
          <w:marLeft w:val="0"/>
          <w:marRight w:val="0"/>
          <w:marTop w:val="0"/>
          <w:marBottom w:val="0"/>
          <w:divBdr>
            <w:top w:val="none" w:sz="0" w:space="0" w:color="auto"/>
            <w:left w:val="none" w:sz="0" w:space="0" w:color="auto"/>
            <w:bottom w:val="none" w:sz="0" w:space="0" w:color="auto"/>
            <w:right w:val="none" w:sz="0" w:space="0" w:color="auto"/>
          </w:divBdr>
        </w:div>
      </w:divsChild>
    </w:div>
    <w:div w:id="1107887128">
      <w:bodyDiv w:val="1"/>
      <w:marLeft w:val="0"/>
      <w:marRight w:val="0"/>
      <w:marTop w:val="0"/>
      <w:marBottom w:val="0"/>
      <w:divBdr>
        <w:top w:val="none" w:sz="0" w:space="0" w:color="auto"/>
        <w:left w:val="none" w:sz="0" w:space="0" w:color="auto"/>
        <w:bottom w:val="none" w:sz="0" w:space="0" w:color="auto"/>
        <w:right w:val="none" w:sz="0" w:space="0" w:color="auto"/>
      </w:divBdr>
    </w:div>
    <w:div w:id="1115104266">
      <w:bodyDiv w:val="1"/>
      <w:marLeft w:val="0"/>
      <w:marRight w:val="0"/>
      <w:marTop w:val="0"/>
      <w:marBottom w:val="0"/>
      <w:divBdr>
        <w:top w:val="none" w:sz="0" w:space="0" w:color="auto"/>
        <w:left w:val="none" w:sz="0" w:space="0" w:color="auto"/>
        <w:bottom w:val="none" w:sz="0" w:space="0" w:color="auto"/>
        <w:right w:val="none" w:sz="0" w:space="0" w:color="auto"/>
      </w:divBdr>
      <w:divsChild>
        <w:div w:id="1777867279">
          <w:marLeft w:val="0"/>
          <w:marRight w:val="0"/>
          <w:marTop w:val="0"/>
          <w:marBottom w:val="0"/>
          <w:divBdr>
            <w:top w:val="none" w:sz="0" w:space="0" w:color="auto"/>
            <w:left w:val="none" w:sz="0" w:space="0" w:color="auto"/>
            <w:bottom w:val="none" w:sz="0" w:space="0" w:color="auto"/>
            <w:right w:val="none" w:sz="0" w:space="0" w:color="auto"/>
          </w:divBdr>
        </w:div>
      </w:divsChild>
    </w:div>
    <w:div w:id="1138448602">
      <w:bodyDiv w:val="1"/>
      <w:marLeft w:val="0"/>
      <w:marRight w:val="0"/>
      <w:marTop w:val="0"/>
      <w:marBottom w:val="0"/>
      <w:divBdr>
        <w:top w:val="none" w:sz="0" w:space="0" w:color="auto"/>
        <w:left w:val="none" w:sz="0" w:space="0" w:color="auto"/>
        <w:bottom w:val="none" w:sz="0" w:space="0" w:color="auto"/>
        <w:right w:val="none" w:sz="0" w:space="0" w:color="auto"/>
      </w:divBdr>
      <w:divsChild>
        <w:div w:id="454106756">
          <w:marLeft w:val="0"/>
          <w:marRight w:val="0"/>
          <w:marTop w:val="0"/>
          <w:marBottom w:val="0"/>
          <w:divBdr>
            <w:top w:val="none" w:sz="0" w:space="0" w:color="auto"/>
            <w:left w:val="none" w:sz="0" w:space="0" w:color="auto"/>
            <w:bottom w:val="none" w:sz="0" w:space="0" w:color="auto"/>
            <w:right w:val="none" w:sz="0" w:space="0" w:color="auto"/>
          </w:divBdr>
        </w:div>
      </w:divsChild>
    </w:div>
    <w:div w:id="1143545855">
      <w:bodyDiv w:val="1"/>
      <w:marLeft w:val="0"/>
      <w:marRight w:val="0"/>
      <w:marTop w:val="0"/>
      <w:marBottom w:val="0"/>
      <w:divBdr>
        <w:top w:val="none" w:sz="0" w:space="0" w:color="auto"/>
        <w:left w:val="none" w:sz="0" w:space="0" w:color="auto"/>
        <w:bottom w:val="none" w:sz="0" w:space="0" w:color="auto"/>
        <w:right w:val="none" w:sz="0" w:space="0" w:color="auto"/>
      </w:divBdr>
      <w:divsChild>
        <w:div w:id="2120294020">
          <w:marLeft w:val="0"/>
          <w:marRight w:val="0"/>
          <w:marTop w:val="0"/>
          <w:marBottom w:val="0"/>
          <w:divBdr>
            <w:top w:val="none" w:sz="0" w:space="0" w:color="auto"/>
            <w:left w:val="none" w:sz="0" w:space="0" w:color="auto"/>
            <w:bottom w:val="none" w:sz="0" w:space="0" w:color="auto"/>
            <w:right w:val="none" w:sz="0" w:space="0" w:color="auto"/>
          </w:divBdr>
        </w:div>
      </w:divsChild>
    </w:div>
    <w:div w:id="1155226422">
      <w:bodyDiv w:val="1"/>
      <w:marLeft w:val="0"/>
      <w:marRight w:val="0"/>
      <w:marTop w:val="0"/>
      <w:marBottom w:val="0"/>
      <w:divBdr>
        <w:top w:val="none" w:sz="0" w:space="0" w:color="auto"/>
        <w:left w:val="none" w:sz="0" w:space="0" w:color="auto"/>
        <w:bottom w:val="none" w:sz="0" w:space="0" w:color="auto"/>
        <w:right w:val="none" w:sz="0" w:space="0" w:color="auto"/>
      </w:divBdr>
      <w:divsChild>
        <w:div w:id="1852990890">
          <w:marLeft w:val="0"/>
          <w:marRight w:val="0"/>
          <w:marTop w:val="0"/>
          <w:marBottom w:val="0"/>
          <w:divBdr>
            <w:top w:val="none" w:sz="0" w:space="0" w:color="auto"/>
            <w:left w:val="none" w:sz="0" w:space="0" w:color="auto"/>
            <w:bottom w:val="none" w:sz="0" w:space="0" w:color="auto"/>
            <w:right w:val="none" w:sz="0" w:space="0" w:color="auto"/>
          </w:divBdr>
        </w:div>
      </w:divsChild>
    </w:div>
    <w:div w:id="1216627788">
      <w:bodyDiv w:val="1"/>
      <w:marLeft w:val="0"/>
      <w:marRight w:val="0"/>
      <w:marTop w:val="0"/>
      <w:marBottom w:val="0"/>
      <w:divBdr>
        <w:top w:val="none" w:sz="0" w:space="0" w:color="auto"/>
        <w:left w:val="none" w:sz="0" w:space="0" w:color="auto"/>
        <w:bottom w:val="none" w:sz="0" w:space="0" w:color="auto"/>
        <w:right w:val="none" w:sz="0" w:space="0" w:color="auto"/>
      </w:divBdr>
      <w:divsChild>
        <w:div w:id="684550940">
          <w:marLeft w:val="0"/>
          <w:marRight w:val="0"/>
          <w:marTop w:val="0"/>
          <w:marBottom w:val="0"/>
          <w:divBdr>
            <w:top w:val="none" w:sz="0" w:space="0" w:color="auto"/>
            <w:left w:val="none" w:sz="0" w:space="0" w:color="auto"/>
            <w:bottom w:val="none" w:sz="0" w:space="0" w:color="auto"/>
            <w:right w:val="none" w:sz="0" w:space="0" w:color="auto"/>
          </w:divBdr>
        </w:div>
      </w:divsChild>
    </w:div>
    <w:div w:id="1238128238">
      <w:bodyDiv w:val="1"/>
      <w:marLeft w:val="0"/>
      <w:marRight w:val="0"/>
      <w:marTop w:val="0"/>
      <w:marBottom w:val="0"/>
      <w:divBdr>
        <w:top w:val="none" w:sz="0" w:space="0" w:color="auto"/>
        <w:left w:val="none" w:sz="0" w:space="0" w:color="auto"/>
        <w:bottom w:val="none" w:sz="0" w:space="0" w:color="auto"/>
        <w:right w:val="none" w:sz="0" w:space="0" w:color="auto"/>
      </w:divBdr>
      <w:divsChild>
        <w:div w:id="807165704">
          <w:marLeft w:val="0"/>
          <w:marRight w:val="0"/>
          <w:marTop w:val="0"/>
          <w:marBottom w:val="0"/>
          <w:divBdr>
            <w:top w:val="none" w:sz="0" w:space="0" w:color="auto"/>
            <w:left w:val="none" w:sz="0" w:space="0" w:color="auto"/>
            <w:bottom w:val="none" w:sz="0" w:space="0" w:color="auto"/>
            <w:right w:val="none" w:sz="0" w:space="0" w:color="auto"/>
          </w:divBdr>
        </w:div>
      </w:divsChild>
    </w:div>
    <w:div w:id="1243107876">
      <w:bodyDiv w:val="1"/>
      <w:marLeft w:val="0"/>
      <w:marRight w:val="0"/>
      <w:marTop w:val="0"/>
      <w:marBottom w:val="0"/>
      <w:divBdr>
        <w:top w:val="none" w:sz="0" w:space="0" w:color="auto"/>
        <w:left w:val="none" w:sz="0" w:space="0" w:color="auto"/>
        <w:bottom w:val="none" w:sz="0" w:space="0" w:color="auto"/>
        <w:right w:val="none" w:sz="0" w:space="0" w:color="auto"/>
      </w:divBdr>
      <w:divsChild>
        <w:div w:id="431169997">
          <w:marLeft w:val="0"/>
          <w:marRight w:val="0"/>
          <w:marTop w:val="0"/>
          <w:marBottom w:val="0"/>
          <w:divBdr>
            <w:top w:val="none" w:sz="0" w:space="0" w:color="auto"/>
            <w:left w:val="none" w:sz="0" w:space="0" w:color="auto"/>
            <w:bottom w:val="none" w:sz="0" w:space="0" w:color="auto"/>
            <w:right w:val="none" w:sz="0" w:space="0" w:color="auto"/>
          </w:divBdr>
        </w:div>
      </w:divsChild>
    </w:div>
    <w:div w:id="1249998477">
      <w:bodyDiv w:val="1"/>
      <w:marLeft w:val="0"/>
      <w:marRight w:val="0"/>
      <w:marTop w:val="0"/>
      <w:marBottom w:val="0"/>
      <w:divBdr>
        <w:top w:val="none" w:sz="0" w:space="0" w:color="auto"/>
        <w:left w:val="none" w:sz="0" w:space="0" w:color="auto"/>
        <w:bottom w:val="none" w:sz="0" w:space="0" w:color="auto"/>
        <w:right w:val="none" w:sz="0" w:space="0" w:color="auto"/>
      </w:divBdr>
    </w:div>
    <w:div w:id="1267079385">
      <w:bodyDiv w:val="1"/>
      <w:marLeft w:val="0"/>
      <w:marRight w:val="0"/>
      <w:marTop w:val="0"/>
      <w:marBottom w:val="0"/>
      <w:divBdr>
        <w:top w:val="none" w:sz="0" w:space="0" w:color="auto"/>
        <w:left w:val="none" w:sz="0" w:space="0" w:color="auto"/>
        <w:bottom w:val="none" w:sz="0" w:space="0" w:color="auto"/>
        <w:right w:val="none" w:sz="0" w:space="0" w:color="auto"/>
      </w:divBdr>
      <w:divsChild>
        <w:div w:id="1401513192">
          <w:marLeft w:val="0"/>
          <w:marRight w:val="0"/>
          <w:marTop w:val="0"/>
          <w:marBottom w:val="0"/>
          <w:divBdr>
            <w:top w:val="none" w:sz="0" w:space="0" w:color="auto"/>
            <w:left w:val="none" w:sz="0" w:space="0" w:color="auto"/>
            <w:bottom w:val="none" w:sz="0" w:space="0" w:color="auto"/>
            <w:right w:val="none" w:sz="0" w:space="0" w:color="auto"/>
          </w:divBdr>
        </w:div>
      </w:divsChild>
    </w:div>
    <w:div w:id="1273051367">
      <w:bodyDiv w:val="1"/>
      <w:marLeft w:val="0"/>
      <w:marRight w:val="0"/>
      <w:marTop w:val="0"/>
      <w:marBottom w:val="0"/>
      <w:divBdr>
        <w:top w:val="none" w:sz="0" w:space="0" w:color="auto"/>
        <w:left w:val="none" w:sz="0" w:space="0" w:color="auto"/>
        <w:bottom w:val="none" w:sz="0" w:space="0" w:color="auto"/>
        <w:right w:val="none" w:sz="0" w:space="0" w:color="auto"/>
      </w:divBdr>
      <w:divsChild>
        <w:div w:id="606082692">
          <w:marLeft w:val="0"/>
          <w:marRight w:val="0"/>
          <w:marTop w:val="0"/>
          <w:marBottom w:val="0"/>
          <w:divBdr>
            <w:top w:val="none" w:sz="0" w:space="0" w:color="auto"/>
            <w:left w:val="none" w:sz="0" w:space="0" w:color="auto"/>
            <w:bottom w:val="none" w:sz="0" w:space="0" w:color="auto"/>
            <w:right w:val="none" w:sz="0" w:space="0" w:color="auto"/>
          </w:divBdr>
        </w:div>
      </w:divsChild>
    </w:div>
    <w:div w:id="1294171518">
      <w:bodyDiv w:val="1"/>
      <w:marLeft w:val="0"/>
      <w:marRight w:val="0"/>
      <w:marTop w:val="0"/>
      <w:marBottom w:val="0"/>
      <w:divBdr>
        <w:top w:val="none" w:sz="0" w:space="0" w:color="auto"/>
        <w:left w:val="none" w:sz="0" w:space="0" w:color="auto"/>
        <w:bottom w:val="none" w:sz="0" w:space="0" w:color="auto"/>
        <w:right w:val="none" w:sz="0" w:space="0" w:color="auto"/>
      </w:divBdr>
      <w:divsChild>
        <w:div w:id="1885483854">
          <w:marLeft w:val="0"/>
          <w:marRight w:val="0"/>
          <w:marTop w:val="0"/>
          <w:marBottom w:val="0"/>
          <w:divBdr>
            <w:top w:val="none" w:sz="0" w:space="0" w:color="auto"/>
            <w:left w:val="none" w:sz="0" w:space="0" w:color="auto"/>
            <w:bottom w:val="none" w:sz="0" w:space="0" w:color="auto"/>
            <w:right w:val="none" w:sz="0" w:space="0" w:color="auto"/>
          </w:divBdr>
        </w:div>
      </w:divsChild>
    </w:div>
    <w:div w:id="1303805731">
      <w:bodyDiv w:val="1"/>
      <w:marLeft w:val="0"/>
      <w:marRight w:val="0"/>
      <w:marTop w:val="0"/>
      <w:marBottom w:val="0"/>
      <w:divBdr>
        <w:top w:val="none" w:sz="0" w:space="0" w:color="auto"/>
        <w:left w:val="none" w:sz="0" w:space="0" w:color="auto"/>
        <w:bottom w:val="none" w:sz="0" w:space="0" w:color="auto"/>
        <w:right w:val="none" w:sz="0" w:space="0" w:color="auto"/>
      </w:divBdr>
      <w:divsChild>
        <w:div w:id="1357735074">
          <w:marLeft w:val="0"/>
          <w:marRight w:val="0"/>
          <w:marTop w:val="0"/>
          <w:marBottom w:val="0"/>
          <w:divBdr>
            <w:top w:val="none" w:sz="0" w:space="0" w:color="auto"/>
            <w:left w:val="none" w:sz="0" w:space="0" w:color="auto"/>
            <w:bottom w:val="none" w:sz="0" w:space="0" w:color="auto"/>
            <w:right w:val="none" w:sz="0" w:space="0" w:color="auto"/>
          </w:divBdr>
        </w:div>
      </w:divsChild>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37539485">
      <w:bodyDiv w:val="1"/>
      <w:marLeft w:val="0"/>
      <w:marRight w:val="0"/>
      <w:marTop w:val="0"/>
      <w:marBottom w:val="0"/>
      <w:divBdr>
        <w:top w:val="none" w:sz="0" w:space="0" w:color="auto"/>
        <w:left w:val="none" w:sz="0" w:space="0" w:color="auto"/>
        <w:bottom w:val="none" w:sz="0" w:space="0" w:color="auto"/>
        <w:right w:val="none" w:sz="0" w:space="0" w:color="auto"/>
      </w:divBdr>
      <w:divsChild>
        <w:div w:id="1171289585">
          <w:marLeft w:val="0"/>
          <w:marRight w:val="0"/>
          <w:marTop w:val="0"/>
          <w:marBottom w:val="0"/>
          <w:divBdr>
            <w:top w:val="none" w:sz="0" w:space="0" w:color="auto"/>
            <w:left w:val="none" w:sz="0" w:space="0" w:color="auto"/>
            <w:bottom w:val="none" w:sz="0" w:space="0" w:color="auto"/>
            <w:right w:val="none" w:sz="0" w:space="0" w:color="auto"/>
          </w:divBdr>
        </w:div>
      </w:divsChild>
    </w:div>
    <w:div w:id="1345397896">
      <w:bodyDiv w:val="1"/>
      <w:marLeft w:val="0"/>
      <w:marRight w:val="0"/>
      <w:marTop w:val="0"/>
      <w:marBottom w:val="0"/>
      <w:divBdr>
        <w:top w:val="none" w:sz="0" w:space="0" w:color="auto"/>
        <w:left w:val="none" w:sz="0" w:space="0" w:color="auto"/>
        <w:bottom w:val="none" w:sz="0" w:space="0" w:color="auto"/>
        <w:right w:val="none" w:sz="0" w:space="0" w:color="auto"/>
      </w:divBdr>
      <w:divsChild>
        <w:div w:id="1289314770">
          <w:marLeft w:val="0"/>
          <w:marRight w:val="0"/>
          <w:marTop w:val="0"/>
          <w:marBottom w:val="0"/>
          <w:divBdr>
            <w:top w:val="none" w:sz="0" w:space="0" w:color="auto"/>
            <w:left w:val="none" w:sz="0" w:space="0" w:color="auto"/>
            <w:bottom w:val="none" w:sz="0" w:space="0" w:color="auto"/>
            <w:right w:val="none" w:sz="0" w:space="0" w:color="auto"/>
          </w:divBdr>
        </w:div>
      </w:divsChild>
    </w:div>
    <w:div w:id="1357342094">
      <w:bodyDiv w:val="1"/>
      <w:marLeft w:val="0"/>
      <w:marRight w:val="0"/>
      <w:marTop w:val="0"/>
      <w:marBottom w:val="0"/>
      <w:divBdr>
        <w:top w:val="none" w:sz="0" w:space="0" w:color="auto"/>
        <w:left w:val="none" w:sz="0" w:space="0" w:color="auto"/>
        <w:bottom w:val="none" w:sz="0" w:space="0" w:color="auto"/>
        <w:right w:val="none" w:sz="0" w:space="0" w:color="auto"/>
      </w:divBdr>
      <w:divsChild>
        <w:div w:id="792098419">
          <w:marLeft w:val="0"/>
          <w:marRight w:val="0"/>
          <w:marTop w:val="0"/>
          <w:marBottom w:val="0"/>
          <w:divBdr>
            <w:top w:val="none" w:sz="0" w:space="0" w:color="auto"/>
            <w:left w:val="none" w:sz="0" w:space="0" w:color="auto"/>
            <w:bottom w:val="none" w:sz="0" w:space="0" w:color="auto"/>
            <w:right w:val="none" w:sz="0" w:space="0" w:color="auto"/>
          </w:divBdr>
        </w:div>
      </w:divsChild>
    </w:div>
    <w:div w:id="1384209524">
      <w:bodyDiv w:val="1"/>
      <w:marLeft w:val="0"/>
      <w:marRight w:val="0"/>
      <w:marTop w:val="0"/>
      <w:marBottom w:val="0"/>
      <w:divBdr>
        <w:top w:val="none" w:sz="0" w:space="0" w:color="auto"/>
        <w:left w:val="none" w:sz="0" w:space="0" w:color="auto"/>
        <w:bottom w:val="none" w:sz="0" w:space="0" w:color="auto"/>
        <w:right w:val="none" w:sz="0" w:space="0" w:color="auto"/>
      </w:divBdr>
      <w:divsChild>
        <w:div w:id="274095786">
          <w:marLeft w:val="0"/>
          <w:marRight w:val="0"/>
          <w:marTop w:val="0"/>
          <w:marBottom w:val="0"/>
          <w:divBdr>
            <w:top w:val="none" w:sz="0" w:space="0" w:color="auto"/>
            <w:left w:val="none" w:sz="0" w:space="0" w:color="auto"/>
            <w:bottom w:val="none" w:sz="0" w:space="0" w:color="auto"/>
            <w:right w:val="none" w:sz="0" w:space="0" w:color="auto"/>
          </w:divBdr>
        </w:div>
      </w:divsChild>
    </w:div>
    <w:div w:id="1415782577">
      <w:bodyDiv w:val="1"/>
      <w:marLeft w:val="0"/>
      <w:marRight w:val="0"/>
      <w:marTop w:val="0"/>
      <w:marBottom w:val="0"/>
      <w:divBdr>
        <w:top w:val="none" w:sz="0" w:space="0" w:color="auto"/>
        <w:left w:val="none" w:sz="0" w:space="0" w:color="auto"/>
        <w:bottom w:val="none" w:sz="0" w:space="0" w:color="auto"/>
        <w:right w:val="none" w:sz="0" w:space="0" w:color="auto"/>
      </w:divBdr>
      <w:divsChild>
        <w:div w:id="1496919445">
          <w:marLeft w:val="0"/>
          <w:marRight w:val="0"/>
          <w:marTop w:val="0"/>
          <w:marBottom w:val="0"/>
          <w:divBdr>
            <w:top w:val="none" w:sz="0" w:space="0" w:color="auto"/>
            <w:left w:val="none" w:sz="0" w:space="0" w:color="auto"/>
            <w:bottom w:val="none" w:sz="0" w:space="0" w:color="auto"/>
            <w:right w:val="none" w:sz="0" w:space="0" w:color="auto"/>
          </w:divBdr>
        </w:div>
      </w:divsChild>
    </w:div>
    <w:div w:id="1432824572">
      <w:bodyDiv w:val="1"/>
      <w:marLeft w:val="0"/>
      <w:marRight w:val="0"/>
      <w:marTop w:val="0"/>
      <w:marBottom w:val="0"/>
      <w:divBdr>
        <w:top w:val="none" w:sz="0" w:space="0" w:color="auto"/>
        <w:left w:val="none" w:sz="0" w:space="0" w:color="auto"/>
        <w:bottom w:val="none" w:sz="0" w:space="0" w:color="auto"/>
        <w:right w:val="none" w:sz="0" w:space="0" w:color="auto"/>
      </w:divBdr>
      <w:divsChild>
        <w:div w:id="285434766">
          <w:marLeft w:val="0"/>
          <w:marRight w:val="0"/>
          <w:marTop w:val="0"/>
          <w:marBottom w:val="0"/>
          <w:divBdr>
            <w:top w:val="none" w:sz="0" w:space="0" w:color="auto"/>
            <w:left w:val="none" w:sz="0" w:space="0" w:color="auto"/>
            <w:bottom w:val="none" w:sz="0" w:space="0" w:color="auto"/>
            <w:right w:val="none" w:sz="0" w:space="0" w:color="auto"/>
          </w:divBdr>
        </w:div>
      </w:divsChild>
    </w:div>
    <w:div w:id="1458913598">
      <w:bodyDiv w:val="1"/>
      <w:marLeft w:val="0"/>
      <w:marRight w:val="0"/>
      <w:marTop w:val="0"/>
      <w:marBottom w:val="0"/>
      <w:divBdr>
        <w:top w:val="none" w:sz="0" w:space="0" w:color="auto"/>
        <w:left w:val="none" w:sz="0" w:space="0" w:color="auto"/>
        <w:bottom w:val="none" w:sz="0" w:space="0" w:color="auto"/>
        <w:right w:val="none" w:sz="0" w:space="0" w:color="auto"/>
      </w:divBdr>
      <w:divsChild>
        <w:div w:id="1746338398">
          <w:marLeft w:val="0"/>
          <w:marRight w:val="0"/>
          <w:marTop w:val="0"/>
          <w:marBottom w:val="0"/>
          <w:divBdr>
            <w:top w:val="none" w:sz="0" w:space="0" w:color="auto"/>
            <w:left w:val="none" w:sz="0" w:space="0" w:color="auto"/>
            <w:bottom w:val="none" w:sz="0" w:space="0" w:color="auto"/>
            <w:right w:val="none" w:sz="0" w:space="0" w:color="auto"/>
          </w:divBdr>
        </w:div>
      </w:divsChild>
    </w:div>
    <w:div w:id="1484465735">
      <w:bodyDiv w:val="1"/>
      <w:marLeft w:val="0"/>
      <w:marRight w:val="0"/>
      <w:marTop w:val="0"/>
      <w:marBottom w:val="0"/>
      <w:divBdr>
        <w:top w:val="none" w:sz="0" w:space="0" w:color="auto"/>
        <w:left w:val="none" w:sz="0" w:space="0" w:color="auto"/>
        <w:bottom w:val="none" w:sz="0" w:space="0" w:color="auto"/>
        <w:right w:val="none" w:sz="0" w:space="0" w:color="auto"/>
      </w:divBdr>
      <w:divsChild>
        <w:div w:id="882332183">
          <w:marLeft w:val="0"/>
          <w:marRight w:val="0"/>
          <w:marTop w:val="0"/>
          <w:marBottom w:val="0"/>
          <w:divBdr>
            <w:top w:val="none" w:sz="0" w:space="0" w:color="auto"/>
            <w:left w:val="none" w:sz="0" w:space="0" w:color="auto"/>
            <w:bottom w:val="none" w:sz="0" w:space="0" w:color="auto"/>
            <w:right w:val="none" w:sz="0" w:space="0" w:color="auto"/>
          </w:divBdr>
        </w:div>
      </w:divsChild>
    </w:div>
    <w:div w:id="1545092529">
      <w:bodyDiv w:val="1"/>
      <w:marLeft w:val="0"/>
      <w:marRight w:val="0"/>
      <w:marTop w:val="0"/>
      <w:marBottom w:val="0"/>
      <w:divBdr>
        <w:top w:val="none" w:sz="0" w:space="0" w:color="auto"/>
        <w:left w:val="none" w:sz="0" w:space="0" w:color="auto"/>
        <w:bottom w:val="none" w:sz="0" w:space="0" w:color="auto"/>
        <w:right w:val="none" w:sz="0" w:space="0" w:color="auto"/>
      </w:divBdr>
      <w:divsChild>
        <w:div w:id="1159347680">
          <w:marLeft w:val="0"/>
          <w:marRight w:val="0"/>
          <w:marTop w:val="0"/>
          <w:marBottom w:val="0"/>
          <w:divBdr>
            <w:top w:val="none" w:sz="0" w:space="0" w:color="auto"/>
            <w:left w:val="none" w:sz="0" w:space="0" w:color="auto"/>
            <w:bottom w:val="none" w:sz="0" w:space="0" w:color="auto"/>
            <w:right w:val="none" w:sz="0" w:space="0" w:color="auto"/>
          </w:divBdr>
        </w:div>
      </w:divsChild>
    </w:div>
    <w:div w:id="1545213617">
      <w:bodyDiv w:val="1"/>
      <w:marLeft w:val="0"/>
      <w:marRight w:val="0"/>
      <w:marTop w:val="0"/>
      <w:marBottom w:val="0"/>
      <w:divBdr>
        <w:top w:val="none" w:sz="0" w:space="0" w:color="auto"/>
        <w:left w:val="none" w:sz="0" w:space="0" w:color="auto"/>
        <w:bottom w:val="none" w:sz="0" w:space="0" w:color="auto"/>
        <w:right w:val="none" w:sz="0" w:space="0" w:color="auto"/>
      </w:divBdr>
      <w:divsChild>
        <w:div w:id="191459638">
          <w:marLeft w:val="0"/>
          <w:marRight w:val="0"/>
          <w:marTop w:val="0"/>
          <w:marBottom w:val="0"/>
          <w:divBdr>
            <w:top w:val="none" w:sz="0" w:space="0" w:color="auto"/>
            <w:left w:val="none" w:sz="0" w:space="0" w:color="auto"/>
            <w:bottom w:val="none" w:sz="0" w:space="0" w:color="auto"/>
            <w:right w:val="none" w:sz="0" w:space="0" w:color="auto"/>
          </w:divBdr>
        </w:div>
      </w:divsChild>
    </w:div>
    <w:div w:id="1609506196">
      <w:bodyDiv w:val="1"/>
      <w:marLeft w:val="0"/>
      <w:marRight w:val="0"/>
      <w:marTop w:val="0"/>
      <w:marBottom w:val="0"/>
      <w:divBdr>
        <w:top w:val="none" w:sz="0" w:space="0" w:color="auto"/>
        <w:left w:val="none" w:sz="0" w:space="0" w:color="auto"/>
        <w:bottom w:val="none" w:sz="0" w:space="0" w:color="auto"/>
        <w:right w:val="none" w:sz="0" w:space="0" w:color="auto"/>
      </w:divBdr>
      <w:divsChild>
        <w:div w:id="991980991">
          <w:marLeft w:val="0"/>
          <w:marRight w:val="0"/>
          <w:marTop w:val="0"/>
          <w:marBottom w:val="0"/>
          <w:divBdr>
            <w:top w:val="none" w:sz="0" w:space="0" w:color="auto"/>
            <w:left w:val="none" w:sz="0" w:space="0" w:color="auto"/>
            <w:bottom w:val="none" w:sz="0" w:space="0" w:color="auto"/>
            <w:right w:val="none" w:sz="0" w:space="0" w:color="auto"/>
          </w:divBdr>
        </w:div>
      </w:divsChild>
    </w:div>
    <w:div w:id="1620187547">
      <w:bodyDiv w:val="1"/>
      <w:marLeft w:val="0"/>
      <w:marRight w:val="0"/>
      <w:marTop w:val="0"/>
      <w:marBottom w:val="0"/>
      <w:divBdr>
        <w:top w:val="none" w:sz="0" w:space="0" w:color="auto"/>
        <w:left w:val="none" w:sz="0" w:space="0" w:color="auto"/>
        <w:bottom w:val="none" w:sz="0" w:space="0" w:color="auto"/>
        <w:right w:val="none" w:sz="0" w:space="0" w:color="auto"/>
      </w:divBdr>
      <w:divsChild>
        <w:div w:id="1913543358">
          <w:marLeft w:val="0"/>
          <w:marRight w:val="0"/>
          <w:marTop w:val="0"/>
          <w:marBottom w:val="0"/>
          <w:divBdr>
            <w:top w:val="none" w:sz="0" w:space="0" w:color="auto"/>
            <w:left w:val="none" w:sz="0" w:space="0" w:color="auto"/>
            <w:bottom w:val="none" w:sz="0" w:space="0" w:color="auto"/>
            <w:right w:val="none" w:sz="0" w:space="0" w:color="auto"/>
          </w:divBdr>
        </w:div>
      </w:divsChild>
    </w:div>
    <w:div w:id="1623072760">
      <w:bodyDiv w:val="1"/>
      <w:marLeft w:val="0"/>
      <w:marRight w:val="0"/>
      <w:marTop w:val="0"/>
      <w:marBottom w:val="0"/>
      <w:divBdr>
        <w:top w:val="none" w:sz="0" w:space="0" w:color="auto"/>
        <w:left w:val="none" w:sz="0" w:space="0" w:color="auto"/>
        <w:bottom w:val="none" w:sz="0" w:space="0" w:color="auto"/>
        <w:right w:val="none" w:sz="0" w:space="0" w:color="auto"/>
      </w:divBdr>
      <w:divsChild>
        <w:div w:id="113065357">
          <w:marLeft w:val="0"/>
          <w:marRight w:val="0"/>
          <w:marTop w:val="0"/>
          <w:marBottom w:val="0"/>
          <w:divBdr>
            <w:top w:val="none" w:sz="0" w:space="0" w:color="auto"/>
            <w:left w:val="none" w:sz="0" w:space="0" w:color="auto"/>
            <w:bottom w:val="none" w:sz="0" w:space="0" w:color="auto"/>
            <w:right w:val="none" w:sz="0" w:space="0" w:color="auto"/>
          </w:divBdr>
        </w:div>
      </w:divsChild>
    </w:div>
    <w:div w:id="1637758449">
      <w:bodyDiv w:val="1"/>
      <w:marLeft w:val="0"/>
      <w:marRight w:val="0"/>
      <w:marTop w:val="0"/>
      <w:marBottom w:val="0"/>
      <w:divBdr>
        <w:top w:val="none" w:sz="0" w:space="0" w:color="auto"/>
        <w:left w:val="none" w:sz="0" w:space="0" w:color="auto"/>
        <w:bottom w:val="none" w:sz="0" w:space="0" w:color="auto"/>
        <w:right w:val="none" w:sz="0" w:space="0" w:color="auto"/>
      </w:divBdr>
      <w:divsChild>
        <w:div w:id="379478916">
          <w:marLeft w:val="0"/>
          <w:marRight w:val="0"/>
          <w:marTop w:val="0"/>
          <w:marBottom w:val="0"/>
          <w:divBdr>
            <w:top w:val="none" w:sz="0" w:space="0" w:color="auto"/>
            <w:left w:val="none" w:sz="0" w:space="0" w:color="auto"/>
            <w:bottom w:val="none" w:sz="0" w:space="0" w:color="auto"/>
            <w:right w:val="none" w:sz="0" w:space="0" w:color="auto"/>
          </w:divBdr>
        </w:div>
      </w:divsChild>
    </w:div>
    <w:div w:id="1653752745">
      <w:bodyDiv w:val="1"/>
      <w:marLeft w:val="0"/>
      <w:marRight w:val="0"/>
      <w:marTop w:val="0"/>
      <w:marBottom w:val="0"/>
      <w:divBdr>
        <w:top w:val="none" w:sz="0" w:space="0" w:color="auto"/>
        <w:left w:val="none" w:sz="0" w:space="0" w:color="auto"/>
        <w:bottom w:val="none" w:sz="0" w:space="0" w:color="auto"/>
        <w:right w:val="none" w:sz="0" w:space="0" w:color="auto"/>
      </w:divBdr>
      <w:divsChild>
        <w:div w:id="640884587">
          <w:marLeft w:val="0"/>
          <w:marRight w:val="0"/>
          <w:marTop w:val="0"/>
          <w:marBottom w:val="0"/>
          <w:divBdr>
            <w:top w:val="none" w:sz="0" w:space="0" w:color="auto"/>
            <w:left w:val="none" w:sz="0" w:space="0" w:color="auto"/>
            <w:bottom w:val="none" w:sz="0" w:space="0" w:color="auto"/>
            <w:right w:val="none" w:sz="0" w:space="0" w:color="auto"/>
          </w:divBdr>
        </w:div>
      </w:divsChild>
    </w:div>
    <w:div w:id="1662805717">
      <w:bodyDiv w:val="1"/>
      <w:marLeft w:val="0"/>
      <w:marRight w:val="0"/>
      <w:marTop w:val="0"/>
      <w:marBottom w:val="0"/>
      <w:divBdr>
        <w:top w:val="none" w:sz="0" w:space="0" w:color="auto"/>
        <w:left w:val="none" w:sz="0" w:space="0" w:color="auto"/>
        <w:bottom w:val="none" w:sz="0" w:space="0" w:color="auto"/>
        <w:right w:val="none" w:sz="0" w:space="0" w:color="auto"/>
      </w:divBdr>
      <w:divsChild>
        <w:div w:id="1439839155">
          <w:marLeft w:val="0"/>
          <w:marRight w:val="0"/>
          <w:marTop w:val="0"/>
          <w:marBottom w:val="0"/>
          <w:divBdr>
            <w:top w:val="none" w:sz="0" w:space="0" w:color="auto"/>
            <w:left w:val="none" w:sz="0" w:space="0" w:color="auto"/>
            <w:bottom w:val="none" w:sz="0" w:space="0" w:color="auto"/>
            <w:right w:val="none" w:sz="0" w:space="0" w:color="auto"/>
          </w:divBdr>
        </w:div>
      </w:divsChild>
    </w:div>
    <w:div w:id="1683162191">
      <w:bodyDiv w:val="1"/>
      <w:marLeft w:val="0"/>
      <w:marRight w:val="0"/>
      <w:marTop w:val="0"/>
      <w:marBottom w:val="0"/>
      <w:divBdr>
        <w:top w:val="none" w:sz="0" w:space="0" w:color="auto"/>
        <w:left w:val="none" w:sz="0" w:space="0" w:color="auto"/>
        <w:bottom w:val="none" w:sz="0" w:space="0" w:color="auto"/>
        <w:right w:val="none" w:sz="0" w:space="0" w:color="auto"/>
      </w:divBdr>
      <w:divsChild>
        <w:div w:id="658309216">
          <w:marLeft w:val="0"/>
          <w:marRight w:val="0"/>
          <w:marTop w:val="0"/>
          <w:marBottom w:val="0"/>
          <w:divBdr>
            <w:top w:val="none" w:sz="0" w:space="0" w:color="auto"/>
            <w:left w:val="none" w:sz="0" w:space="0" w:color="auto"/>
            <w:bottom w:val="none" w:sz="0" w:space="0" w:color="auto"/>
            <w:right w:val="none" w:sz="0" w:space="0" w:color="auto"/>
          </w:divBdr>
        </w:div>
      </w:divsChild>
    </w:div>
    <w:div w:id="1686978443">
      <w:bodyDiv w:val="1"/>
      <w:marLeft w:val="0"/>
      <w:marRight w:val="0"/>
      <w:marTop w:val="0"/>
      <w:marBottom w:val="0"/>
      <w:divBdr>
        <w:top w:val="none" w:sz="0" w:space="0" w:color="auto"/>
        <w:left w:val="none" w:sz="0" w:space="0" w:color="auto"/>
        <w:bottom w:val="none" w:sz="0" w:space="0" w:color="auto"/>
        <w:right w:val="none" w:sz="0" w:space="0" w:color="auto"/>
      </w:divBdr>
      <w:divsChild>
        <w:div w:id="600919622">
          <w:marLeft w:val="0"/>
          <w:marRight w:val="0"/>
          <w:marTop w:val="0"/>
          <w:marBottom w:val="0"/>
          <w:divBdr>
            <w:top w:val="none" w:sz="0" w:space="0" w:color="auto"/>
            <w:left w:val="none" w:sz="0" w:space="0" w:color="auto"/>
            <w:bottom w:val="none" w:sz="0" w:space="0" w:color="auto"/>
            <w:right w:val="none" w:sz="0" w:space="0" w:color="auto"/>
          </w:divBdr>
        </w:div>
      </w:divsChild>
    </w:div>
    <w:div w:id="1744065526">
      <w:bodyDiv w:val="1"/>
      <w:marLeft w:val="0"/>
      <w:marRight w:val="0"/>
      <w:marTop w:val="0"/>
      <w:marBottom w:val="0"/>
      <w:divBdr>
        <w:top w:val="none" w:sz="0" w:space="0" w:color="auto"/>
        <w:left w:val="none" w:sz="0" w:space="0" w:color="auto"/>
        <w:bottom w:val="none" w:sz="0" w:space="0" w:color="auto"/>
        <w:right w:val="none" w:sz="0" w:space="0" w:color="auto"/>
      </w:divBdr>
      <w:divsChild>
        <w:div w:id="640117677">
          <w:marLeft w:val="0"/>
          <w:marRight w:val="0"/>
          <w:marTop w:val="0"/>
          <w:marBottom w:val="0"/>
          <w:divBdr>
            <w:top w:val="none" w:sz="0" w:space="0" w:color="auto"/>
            <w:left w:val="none" w:sz="0" w:space="0" w:color="auto"/>
            <w:bottom w:val="none" w:sz="0" w:space="0" w:color="auto"/>
            <w:right w:val="none" w:sz="0" w:space="0" w:color="auto"/>
          </w:divBdr>
        </w:div>
      </w:divsChild>
    </w:div>
    <w:div w:id="1759593063">
      <w:bodyDiv w:val="1"/>
      <w:marLeft w:val="0"/>
      <w:marRight w:val="0"/>
      <w:marTop w:val="0"/>
      <w:marBottom w:val="0"/>
      <w:divBdr>
        <w:top w:val="none" w:sz="0" w:space="0" w:color="auto"/>
        <w:left w:val="none" w:sz="0" w:space="0" w:color="auto"/>
        <w:bottom w:val="none" w:sz="0" w:space="0" w:color="auto"/>
        <w:right w:val="none" w:sz="0" w:space="0" w:color="auto"/>
      </w:divBdr>
      <w:divsChild>
        <w:div w:id="1622227034">
          <w:marLeft w:val="0"/>
          <w:marRight w:val="0"/>
          <w:marTop w:val="0"/>
          <w:marBottom w:val="0"/>
          <w:divBdr>
            <w:top w:val="none" w:sz="0" w:space="0" w:color="auto"/>
            <w:left w:val="none" w:sz="0" w:space="0" w:color="auto"/>
            <w:bottom w:val="none" w:sz="0" w:space="0" w:color="auto"/>
            <w:right w:val="none" w:sz="0" w:space="0" w:color="auto"/>
          </w:divBdr>
        </w:div>
      </w:divsChild>
    </w:div>
    <w:div w:id="1775056322">
      <w:bodyDiv w:val="1"/>
      <w:marLeft w:val="0"/>
      <w:marRight w:val="0"/>
      <w:marTop w:val="0"/>
      <w:marBottom w:val="0"/>
      <w:divBdr>
        <w:top w:val="none" w:sz="0" w:space="0" w:color="auto"/>
        <w:left w:val="none" w:sz="0" w:space="0" w:color="auto"/>
        <w:bottom w:val="none" w:sz="0" w:space="0" w:color="auto"/>
        <w:right w:val="none" w:sz="0" w:space="0" w:color="auto"/>
      </w:divBdr>
      <w:divsChild>
        <w:div w:id="1470318173">
          <w:marLeft w:val="0"/>
          <w:marRight w:val="0"/>
          <w:marTop w:val="0"/>
          <w:marBottom w:val="0"/>
          <w:divBdr>
            <w:top w:val="none" w:sz="0" w:space="0" w:color="auto"/>
            <w:left w:val="none" w:sz="0" w:space="0" w:color="auto"/>
            <w:bottom w:val="none" w:sz="0" w:space="0" w:color="auto"/>
            <w:right w:val="none" w:sz="0" w:space="0" w:color="auto"/>
          </w:divBdr>
        </w:div>
      </w:divsChild>
    </w:div>
    <w:div w:id="1825853053">
      <w:bodyDiv w:val="1"/>
      <w:marLeft w:val="0"/>
      <w:marRight w:val="0"/>
      <w:marTop w:val="0"/>
      <w:marBottom w:val="0"/>
      <w:divBdr>
        <w:top w:val="none" w:sz="0" w:space="0" w:color="auto"/>
        <w:left w:val="none" w:sz="0" w:space="0" w:color="auto"/>
        <w:bottom w:val="none" w:sz="0" w:space="0" w:color="auto"/>
        <w:right w:val="none" w:sz="0" w:space="0" w:color="auto"/>
      </w:divBdr>
      <w:divsChild>
        <w:div w:id="1841580574">
          <w:marLeft w:val="0"/>
          <w:marRight w:val="0"/>
          <w:marTop w:val="0"/>
          <w:marBottom w:val="0"/>
          <w:divBdr>
            <w:top w:val="none" w:sz="0" w:space="0" w:color="auto"/>
            <w:left w:val="none" w:sz="0" w:space="0" w:color="auto"/>
            <w:bottom w:val="none" w:sz="0" w:space="0" w:color="auto"/>
            <w:right w:val="none" w:sz="0" w:space="0" w:color="auto"/>
          </w:divBdr>
        </w:div>
      </w:divsChild>
    </w:div>
    <w:div w:id="1840074350">
      <w:bodyDiv w:val="1"/>
      <w:marLeft w:val="0"/>
      <w:marRight w:val="0"/>
      <w:marTop w:val="0"/>
      <w:marBottom w:val="0"/>
      <w:divBdr>
        <w:top w:val="none" w:sz="0" w:space="0" w:color="auto"/>
        <w:left w:val="none" w:sz="0" w:space="0" w:color="auto"/>
        <w:bottom w:val="none" w:sz="0" w:space="0" w:color="auto"/>
        <w:right w:val="none" w:sz="0" w:space="0" w:color="auto"/>
      </w:divBdr>
      <w:divsChild>
        <w:div w:id="1711492314">
          <w:marLeft w:val="0"/>
          <w:marRight w:val="0"/>
          <w:marTop w:val="0"/>
          <w:marBottom w:val="0"/>
          <w:divBdr>
            <w:top w:val="none" w:sz="0" w:space="0" w:color="auto"/>
            <w:left w:val="none" w:sz="0" w:space="0" w:color="auto"/>
            <w:bottom w:val="none" w:sz="0" w:space="0" w:color="auto"/>
            <w:right w:val="none" w:sz="0" w:space="0" w:color="auto"/>
          </w:divBdr>
        </w:div>
      </w:divsChild>
    </w:div>
    <w:div w:id="1886016700">
      <w:bodyDiv w:val="1"/>
      <w:marLeft w:val="0"/>
      <w:marRight w:val="0"/>
      <w:marTop w:val="0"/>
      <w:marBottom w:val="0"/>
      <w:divBdr>
        <w:top w:val="none" w:sz="0" w:space="0" w:color="auto"/>
        <w:left w:val="none" w:sz="0" w:space="0" w:color="auto"/>
        <w:bottom w:val="none" w:sz="0" w:space="0" w:color="auto"/>
        <w:right w:val="none" w:sz="0" w:space="0" w:color="auto"/>
      </w:divBdr>
      <w:divsChild>
        <w:div w:id="1031685698">
          <w:marLeft w:val="0"/>
          <w:marRight w:val="0"/>
          <w:marTop w:val="0"/>
          <w:marBottom w:val="0"/>
          <w:divBdr>
            <w:top w:val="none" w:sz="0" w:space="0" w:color="auto"/>
            <w:left w:val="none" w:sz="0" w:space="0" w:color="auto"/>
            <w:bottom w:val="none" w:sz="0" w:space="0" w:color="auto"/>
            <w:right w:val="none" w:sz="0" w:space="0" w:color="auto"/>
          </w:divBdr>
        </w:div>
      </w:divsChild>
    </w:div>
    <w:div w:id="1889563159">
      <w:bodyDiv w:val="1"/>
      <w:marLeft w:val="0"/>
      <w:marRight w:val="0"/>
      <w:marTop w:val="0"/>
      <w:marBottom w:val="0"/>
      <w:divBdr>
        <w:top w:val="none" w:sz="0" w:space="0" w:color="auto"/>
        <w:left w:val="none" w:sz="0" w:space="0" w:color="auto"/>
        <w:bottom w:val="none" w:sz="0" w:space="0" w:color="auto"/>
        <w:right w:val="none" w:sz="0" w:space="0" w:color="auto"/>
      </w:divBdr>
      <w:divsChild>
        <w:div w:id="397170694">
          <w:marLeft w:val="0"/>
          <w:marRight w:val="0"/>
          <w:marTop w:val="0"/>
          <w:marBottom w:val="0"/>
          <w:divBdr>
            <w:top w:val="none" w:sz="0" w:space="0" w:color="auto"/>
            <w:left w:val="none" w:sz="0" w:space="0" w:color="auto"/>
            <w:bottom w:val="none" w:sz="0" w:space="0" w:color="auto"/>
            <w:right w:val="none" w:sz="0" w:space="0" w:color="auto"/>
          </w:divBdr>
        </w:div>
      </w:divsChild>
    </w:div>
    <w:div w:id="1896232205">
      <w:bodyDiv w:val="1"/>
      <w:marLeft w:val="0"/>
      <w:marRight w:val="0"/>
      <w:marTop w:val="0"/>
      <w:marBottom w:val="0"/>
      <w:divBdr>
        <w:top w:val="none" w:sz="0" w:space="0" w:color="auto"/>
        <w:left w:val="none" w:sz="0" w:space="0" w:color="auto"/>
        <w:bottom w:val="none" w:sz="0" w:space="0" w:color="auto"/>
        <w:right w:val="none" w:sz="0" w:space="0" w:color="auto"/>
      </w:divBdr>
      <w:divsChild>
        <w:div w:id="774790644">
          <w:marLeft w:val="0"/>
          <w:marRight w:val="0"/>
          <w:marTop w:val="0"/>
          <w:marBottom w:val="0"/>
          <w:divBdr>
            <w:top w:val="none" w:sz="0" w:space="0" w:color="auto"/>
            <w:left w:val="none" w:sz="0" w:space="0" w:color="auto"/>
            <w:bottom w:val="none" w:sz="0" w:space="0" w:color="auto"/>
            <w:right w:val="none" w:sz="0" w:space="0" w:color="auto"/>
          </w:divBdr>
        </w:div>
      </w:divsChild>
    </w:div>
    <w:div w:id="1914122684">
      <w:bodyDiv w:val="1"/>
      <w:marLeft w:val="0"/>
      <w:marRight w:val="0"/>
      <w:marTop w:val="0"/>
      <w:marBottom w:val="0"/>
      <w:divBdr>
        <w:top w:val="none" w:sz="0" w:space="0" w:color="auto"/>
        <w:left w:val="none" w:sz="0" w:space="0" w:color="auto"/>
        <w:bottom w:val="none" w:sz="0" w:space="0" w:color="auto"/>
        <w:right w:val="none" w:sz="0" w:space="0" w:color="auto"/>
      </w:divBdr>
      <w:divsChild>
        <w:div w:id="508066367">
          <w:marLeft w:val="0"/>
          <w:marRight w:val="0"/>
          <w:marTop w:val="0"/>
          <w:marBottom w:val="0"/>
          <w:divBdr>
            <w:top w:val="none" w:sz="0" w:space="0" w:color="auto"/>
            <w:left w:val="none" w:sz="0" w:space="0" w:color="auto"/>
            <w:bottom w:val="none" w:sz="0" w:space="0" w:color="auto"/>
            <w:right w:val="none" w:sz="0" w:space="0" w:color="auto"/>
          </w:divBdr>
        </w:div>
      </w:divsChild>
    </w:div>
    <w:div w:id="1914463755">
      <w:bodyDiv w:val="1"/>
      <w:marLeft w:val="0"/>
      <w:marRight w:val="0"/>
      <w:marTop w:val="0"/>
      <w:marBottom w:val="0"/>
      <w:divBdr>
        <w:top w:val="none" w:sz="0" w:space="0" w:color="auto"/>
        <w:left w:val="none" w:sz="0" w:space="0" w:color="auto"/>
        <w:bottom w:val="none" w:sz="0" w:space="0" w:color="auto"/>
        <w:right w:val="none" w:sz="0" w:space="0" w:color="auto"/>
      </w:divBdr>
      <w:divsChild>
        <w:div w:id="1543520046">
          <w:marLeft w:val="0"/>
          <w:marRight w:val="0"/>
          <w:marTop w:val="0"/>
          <w:marBottom w:val="0"/>
          <w:divBdr>
            <w:top w:val="none" w:sz="0" w:space="0" w:color="auto"/>
            <w:left w:val="none" w:sz="0" w:space="0" w:color="auto"/>
            <w:bottom w:val="none" w:sz="0" w:space="0" w:color="auto"/>
            <w:right w:val="none" w:sz="0" w:space="0" w:color="auto"/>
          </w:divBdr>
        </w:div>
      </w:divsChild>
    </w:div>
    <w:div w:id="1931038005">
      <w:bodyDiv w:val="1"/>
      <w:marLeft w:val="0"/>
      <w:marRight w:val="0"/>
      <w:marTop w:val="0"/>
      <w:marBottom w:val="0"/>
      <w:divBdr>
        <w:top w:val="none" w:sz="0" w:space="0" w:color="auto"/>
        <w:left w:val="none" w:sz="0" w:space="0" w:color="auto"/>
        <w:bottom w:val="none" w:sz="0" w:space="0" w:color="auto"/>
        <w:right w:val="none" w:sz="0" w:space="0" w:color="auto"/>
      </w:divBdr>
      <w:divsChild>
        <w:div w:id="1082533663">
          <w:marLeft w:val="0"/>
          <w:marRight w:val="0"/>
          <w:marTop w:val="0"/>
          <w:marBottom w:val="0"/>
          <w:divBdr>
            <w:top w:val="none" w:sz="0" w:space="0" w:color="auto"/>
            <w:left w:val="none" w:sz="0" w:space="0" w:color="auto"/>
            <w:bottom w:val="none" w:sz="0" w:space="0" w:color="auto"/>
            <w:right w:val="none" w:sz="0" w:space="0" w:color="auto"/>
          </w:divBdr>
        </w:div>
      </w:divsChild>
    </w:div>
    <w:div w:id="2003926762">
      <w:bodyDiv w:val="1"/>
      <w:marLeft w:val="0"/>
      <w:marRight w:val="0"/>
      <w:marTop w:val="0"/>
      <w:marBottom w:val="0"/>
      <w:divBdr>
        <w:top w:val="none" w:sz="0" w:space="0" w:color="auto"/>
        <w:left w:val="none" w:sz="0" w:space="0" w:color="auto"/>
        <w:bottom w:val="none" w:sz="0" w:space="0" w:color="auto"/>
        <w:right w:val="none" w:sz="0" w:space="0" w:color="auto"/>
      </w:divBdr>
      <w:divsChild>
        <w:div w:id="926110335">
          <w:marLeft w:val="0"/>
          <w:marRight w:val="0"/>
          <w:marTop w:val="0"/>
          <w:marBottom w:val="0"/>
          <w:divBdr>
            <w:top w:val="none" w:sz="0" w:space="0" w:color="auto"/>
            <w:left w:val="none" w:sz="0" w:space="0" w:color="auto"/>
            <w:bottom w:val="none" w:sz="0" w:space="0" w:color="auto"/>
            <w:right w:val="none" w:sz="0" w:space="0" w:color="auto"/>
          </w:divBdr>
        </w:div>
      </w:divsChild>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07897998">
      <w:bodyDiv w:val="1"/>
      <w:marLeft w:val="0"/>
      <w:marRight w:val="0"/>
      <w:marTop w:val="0"/>
      <w:marBottom w:val="0"/>
      <w:divBdr>
        <w:top w:val="none" w:sz="0" w:space="0" w:color="auto"/>
        <w:left w:val="none" w:sz="0" w:space="0" w:color="auto"/>
        <w:bottom w:val="none" w:sz="0" w:space="0" w:color="auto"/>
        <w:right w:val="none" w:sz="0" w:space="0" w:color="auto"/>
      </w:divBdr>
    </w:div>
    <w:div w:id="2008052964">
      <w:bodyDiv w:val="1"/>
      <w:marLeft w:val="0"/>
      <w:marRight w:val="0"/>
      <w:marTop w:val="0"/>
      <w:marBottom w:val="0"/>
      <w:divBdr>
        <w:top w:val="none" w:sz="0" w:space="0" w:color="auto"/>
        <w:left w:val="none" w:sz="0" w:space="0" w:color="auto"/>
        <w:bottom w:val="none" w:sz="0" w:space="0" w:color="auto"/>
        <w:right w:val="none" w:sz="0" w:space="0" w:color="auto"/>
      </w:divBdr>
      <w:divsChild>
        <w:div w:id="764771156">
          <w:marLeft w:val="0"/>
          <w:marRight w:val="0"/>
          <w:marTop w:val="0"/>
          <w:marBottom w:val="0"/>
          <w:divBdr>
            <w:top w:val="none" w:sz="0" w:space="0" w:color="auto"/>
            <w:left w:val="none" w:sz="0" w:space="0" w:color="auto"/>
            <w:bottom w:val="none" w:sz="0" w:space="0" w:color="auto"/>
            <w:right w:val="none" w:sz="0" w:space="0" w:color="auto"/>
          </w:divBdr>
        </w:div>
      </w:divsChild>
    </w:div>
    <w:div w:id="2017884439">
      <w:bodyDiv w:val="1"/>
      <w:marLeft w:val="0"/>
      <w:marRight w:val="0"/>
      <w:marTop w:val="0"/>
      <w:marBottom w:val="0"/>
      <w:divBdr>
        <w:top w:val="none" w:sz="0" w:space="0" w:color="auto"/>
        <w:left w:val="none" w:sz="0" w:space="0" w:color="auto"/>
        <w:bottom w:val="none" w:sz="0" w:space="0" w:color="auto"/>
        <w:right w:val="none" w:sz="0" w:space="0" w:color="auto"/>
      </w:divBdr>
      <w:divsChild>
        <w:div w:id="513153609">
          <w:marLeft w:val="0"/>
          <w:marRight w:val="0"/>
          <w:marTop w:val="0"/>
          <w:marBottom w:val="0"/>
          <w:divBdr>
            <w:top w:val="none" w:sz="0" w:space="0" w:color="auto"/>
            <w:left w:val="none" w:sz="0" w:space="0" w:color="auto"/>
            <w:bottom w:val="none" w:sz="0" w:space="0" w:color="auto"/>
            <w:right w:val="none" w:sz="0" w:space="0" w:color="auto"/>
          </w:divBdr>
        </w:div>
      </w:divsChild>
    </w:div>
    <w:div w:id="2062824849">
      <w:bodyDiv w:val="1"/>
      <w:marLeft w:val="0"/>
      <w:marRight w:val="0"/>
      <w:marTop w:val="0"/>
      <w:marBottom w:val="0"/>
      <w:divBdr>
        <w:top w:val="none" w:sz="0" w:space="0" w:color="auto"/>
        <w:left w:val="none" w:sz="0" w:space="0" w:color="auto"/>
        <w:bottom w:val="none" w:sz="0" w:space="0" w:color="auto"/>
        <w:right w:val="none" w:sz="0" w:space="0" w:color="auto"/>
      </w:divBdr>
      <w:divsChild>
        <w:div w:id="1102456274">
          <w:marLeft w:val="0"/>
          <w:marRight w:val="0"/>
          <w:marTop w:val="0"/>
          <w:marBottom w:val="0"/>
          <w:divBdr>
            <w:top w:val="none" w:sz="0" w:space="0" w:color="auto"/>
            <w:left w:val="none" w:sz="0" w:space="0" w:color="auto"/>
            <w:bottom w:val="none" w:sz="0" w:space="0" w:color="auto"/>
            <w:right w:val="none" w:sz="0" w:space="0" w:color="auto"/>
          </w:divBdr>
        </w:div>
      </w:divsChild>
    </w:div>
    <w:div w:id="2075271916">
      <w:bodyDiv w:val="1"/>
      <w:marLeft w:val="0"/>
      <w:marRight w:val="0"/>
      <w:marTop w:val="0"/>
      <w:marBottom w:val="0"/>
      <w:divBdr>
        <w:top w:val="none" w:sz="0" w:space="0" w:color="auto"/>
        <w:left w:val="none" w:sz="0" w:space="0" w:color="auto"/>
        <w:bottom w:val="none" w:sz="0" w:space="0" w:color="auto"/>
        <w:right w:val="none" w:sz="0" w:space="0" w:color="auto"/>
      </w:divBdr>
      <w:divsChild>
        <w:div w:id="578491213">
          <w:marLeft w:val="0"/>
          <w:marRight w:val="0"/>
          <w:marTop w:val="0"/>
          <w:marBottom w:val="0"/>
          <w:divBdr>
            <w:top w:val="none" w:sz="0" w:space="0" w:color="auto"/>
            <w:left w:val="none" w:sz="0" w:space="0" w:color="auto"/>
            <w:bottom w:val="none" w:sz="0" w:space="0" w:color="auto"/>
            <w:right w:val="none" w:sz="0" w:space="0" w:color="auto"/>
          </w:divBdr>
        </w:div>
      </w:divsChild>
    </w:div>
    <w:div w:id="2090955391">
      <w:bodyDiv w:val="1"/>
      <w:marLeft w:val="0"/>
      <w:marRight w:val="0"/>
      <w:marTop w:val="0"/>
      <w:marBottom w:val="0"/>
      <w:divBdr>
        <w:top w:val="none" w:sz="0" w:space="0" w:color="auto"/>
        <w:left w:val="none" w:sz="0" w:space="0" w:color="auto"/>
        <w:bottom w:val="none" w:sz="0" w:space="0" w:color="auto"/>
        <w:right w:val="none" w:sz="0" w:space="0" w:color="auto"/>
      </w:divBdr>
      <w:divsChild>
        <w:div w:id="1442333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openxmlformats.org/officeDocument/2006/relationships/hyperlink" Target="https://etup.de.gts/group/index.html" TargetMode="External"/><Relationship Id="rId18" Type="http://schemas.openxmlformats.org/officeDocument/2006/relationships/image" Target="media/image4.png"/><Relationship Id="rId26" Type="http://schemas.openxmlformats.org/officeDocument/2006/relationships/image" Target="media/image8.png"/><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package" Target="embeddings/Microsoft_PowerPoint_Slide.sldx"/><Relationship Id="rId20" Type="http://schemas.microsoft.com/office/2011/relationships/commentsExtended" Target="commentsExtended.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4.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5.JPG"/><Relationship Id="rId28" Type="http://schemas.openxmlformats.org/officeDocument/2006/relationships/package" Target="embeddings/Microsoft_PowerPoint_Slide1.sldx"/><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rbanandmainlines.sharepoint.com/sites/FR_GTS_TOL_DEPT_Management_System" TargetMode="External"/><Relationship Id="rId22" Type="http://schemas.microsoft.com/office/2018/08/relationships/commentsExtensible" Target="commentsExtensible.xml"/><Relationship Id="rId27" Type="http://schemas.openxmlformats.org/officeDocument/2006/relationships/image" Target="media/image9.emf"/><Relationship Id="rId30" Type="http://schemas.openxmlformats.org/officeDocument/2006/relationships/header" Target="header3.xml"/><Relationship Id="rId35"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file:///C:\Users\T0030495\AppData\Local\Microsoft\Windows\INetCache\Content.Word\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41E57"/>
    <w:rsid w:val="00043C03"/>
    <w:rsid w:val="000634E2"/>
    <w:rsid w:val="00081A1A"/>
    <w:rsid w:val="00087746"/>
    <w:rsid w:val="000A2C92"/>
    <w:rsid w:val="001264F6"/>
    <w:rsid w:val="00137856"/>
    <w:rsid w:val="00173722"/>
    <w:rsid w:val="0019479A"/>
    <w:rsid w:val="001F0F08"/>
    <w:rsid w:val="002165B9"/>
    <w:rsid w:val="00216C17"/>
    <w:rsid w:val="00232687"/>
    <w:rsid w:val="00262134"/>
    <w:rsid w:val="00262237"/>
    <w:rsid w:val="002A1A49"/>
    <w:rsid w:val="002F561D"/>
    <w:rsid w:val="00323611"/>
    <w:rsid w:val="0036112A"/>
    <w:rsid w:val="0039729D"/>
    <w:rsid w:val="003A3A2F"/>
    <w:rsid w:val="003F5C37"/>
    <w:rsid w:val="00410503"/>
    <w:rsid w:val="00414A98"/>
    <w:rsid w:val="00446F6D"/>
    <w:rsid w:val="00460B24"/>
    <w:rsid w:val="0047757F"/>
    <w:rsid w:val="004B0DA3"/>
    <w:rsid w:val="004C35C5"/>
    <w:rsid w:val="004D0DEC"/>
    <w:rsid w:val="004D2B5D"/>
    <w:rsid w:val="00517C46"/>
    <w:rsid w:val="005215C3"/>
    <w:rsid w:val="005331C1"/>
    <w:rsid w:val="00563240"/>
    <w:rsid w:val="00577BB6"/>
    <w:rsid w:val="00591818"/>
    <w:rsid w:val="005B742E"/>
    <w:rsid w:val="005C2ADE"/>
    <w:rsid w:val="005D1CEA"/>
    <w:rsid w:val="00640797"/>
    <w:rsid w:val="006665D8"/>
    <w:rsid w:val="00683AFC"/>
    <w:rsid w:val="00694C33"/>
    <w:rsid w:val="006965CD"/>
    <w:rsid w:val="006A50E4"/>
    <w:rsid w:val="006A6DDB"/>
    <w:rsid w:val="006D064B"/>
    <w:rsid w:val="0071355E"/>
    <w:rsid w:val="0073025B"/>
    <w:rsid w:val="00733B2B"/>
    <w:rsid w:val="00741524"/>
    <w:rsid w:val="00784396"/>
    <w:rsid w:val="007935EB"/>
    <w:rsid w:val="007F4896"/>
    <w:rsid w:val="00813CAC"/>
    <w:rsid w:val="00851BF5"/>
    <w:rsid w:val="008533B1"/>
    <w:rsid w:val="008567F1"/>
    <w:rsid w:val="00860B06"/>
    <w:rsid w:val="00864514"/>
    <w:rsid w:val="008D6A96"/>
    <w:rsid w:val="009022B3"/>
    <w:rsid w:val="00920351"/>
    <w:rsid w:val="009246E0"/>
    <w:rsid w:val="009D1C32"/>
    <w:rsid w:val="009D5815"/>
    <w:rsid w:val="009E36A2"/>
    <w:rsid w:val="009E554B"/>
    <w:rsid w:val="009F42DA"/>
    <w:rsid w:val="00A44159"/>
    <w:rsid w:val="00A5207C"/>
    <w:rsid w:val="00A55B1A"/>
    <w:rsid w:val="00A71A45"/>
    <w:rsid w:val="00A82B62"/>
    <w:rsid w:val="00AA05CB"/>
    <w:rsid w:val="00AE1D96"/>
    <w:rsid w:val="00AF7D3F"/>
    <w:rsid w:val="00B144F1"/>
    <w:rsid w:val="00B22E2B"/>
    <w:rsid w:val="00B252F6"/>
    <w:rsid w:val="00B348AA"/>
    <w:rsid w:val="00B44325"/>
    <w:rsid w:val="00B5081A"/>
    <w:rsid w:val="00BB2401"/>
    <w:rsid w:val="00BC358A"/>
    <w:rsid w:val="00BC6B46"/>
    <w:rsid w:val="00BD2EE3"/>
    <w:rsid w:val="00C645F3"/>
    <w:rsid w:val="00C80EC6"/>
    <w:rsid w:val="00CB21A4"/>
    <w:rsid w:val="00D13B03"/>
    <w:rsid w:val="00D27330"/>
    <w:rsid w:val="00D5550B"/>
    <w:rsid w:val="00D81BA0"/>
    <w:rsid w:val="00DD2579"/>
    <w:rsid w:val="00E51BEF"/>
    <w:rsid w:val="00E8622D"/>
    <w:rsid w:val="00F2297A"/>
    <w:rsid w:val="00F363B4"/>
    <w:rsid w:val="00F56558"/>
    <w:rsid w:val="00FD4C49"/>
    <w:rsid w:val="00FF1A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2f9dc90f-1299-4b9a-818c-ce6c4da475dd" xsi:nil="true"/>
    <_ip_UnifiedCompliancePolicyUIAction xmlns="http://schemas.microsoft.com/sharepoint/v3" xsi:nil="true"/>
    <lcf76f155ced4ddcb4097134ff3c332f xmlns="2f9dc90f-1299-4b9a-818c-ce6c4da475dd">
      <Terms xmlns="http://schemas.microsoft.com/office/infopath/2007/PartnerControls"/>
    </lcf76f155ced4ddcb4097134ff3c332f>
    <TaxCatchAll xmlns="d6727227-78a3-4c6b-8cf9-fbafb3cba6e5" xsi:nil="true"/>
    <_ip_UnifiedCompliancePolicyProperties xmlns="http://schemas.microsoft.com/sharepoint/v3" xsi:nil="true"/>
    <Comment xmlns="2f9dc90f-1299-4b9a-818c-ce6c4da475dd" xsi:nil="true"/>
  </documentManagement>
</p:properties>
</file>

<file path=customXml/item2.xml><?xml version="1.0" encoding="utf-8"?>
<b:Sources xmlns="http://schemas.openxmlformats.org/officeDocument/2006/bibliography"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D68582EA61824C83DFEE30F0A57123" ma:contentTypeVersion="19" ma:contentTypeDescription="Create a new document." ma:contentTypeScope="" ma:versionID="def3fac8e97e4c0ea9725329e1c6551e">
  <xsd:schema xmlns:xsd="http://www.w3.org/2001/XMLSchema" xmlns:xs="http://www.w3.org/2001/XMLSchema" xmlns:p="http://schemas.microsoft.com/office/2006/metadata/properties" xmlns:ns1="http://schemas.microsoft.com/sharepoint/v3" xmlns:ns2="2f9dc90f-1299-4b9a-818c-ce6c4da475dd" xmlns:ns3="d6727227-78a3-4c6b-8cf9-fbafb3cba6e5" targetNamespace="http://schemas.microsoft.com/office/2006/metadata/properties" ma:root="true" ma:fieldsID="05b26b410d3663b466e9699fbdb0271e" ns1:_="" ns2:_="" ns3:_="">
    <xsd:import namespace="http://schemas.microsoft.com/sharepoint/v3"/>
    <xsd:import namespace="2f9dc90f-1299-4b9a-818c-ce6c4da475dd"/>
    <xsd:import namespace="d6727227-78a3-4c6b-8cf9-fbafb3cba6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1:_ip_UnifiedCompliancePolicyProperties" minOccurs="0"/>
                <xsd:element ref="ns1:_ip_UnifiedCompliancePolicyUIAction" minOccurs="0"/>
                <xsd:element ref="ns2:Notes" minOccurs="0"/>
                <xsd:element ref="ns2:MediaServiceSearchProperties"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9dc90f-1299-4b9a-818c-ce6c4da475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element name="Comment" ma:index="26"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727227-78a3-4c6b-8cf9-fbafb3cba6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549b0e7f-8387-4258-85dc-c5eafec7bade}" ma:internalName="TaxCatchAll" ma:showField="CatchAllData" ma:web="d6727227-78a3-4c6b-8cf9-fbafb3cba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EF8950-AE60-4585-86DC-8FDB1CCF9D86}">
  <ds:schemaRefs>
    <ds:schemaRef ds:uri="http://schemas.microsoft.com/office/2006/metadata/properties"/>
    <ds:schemaRef ds:uri="http://schemas.microsoft.com/office/infopath/2007/PartnerControls"/>
    <ds:schemaRef ds:uri="2f9dc90f-1299-4b9a-818c-ce6c4da475dd"/>
    <ds:schemaRef ds:uri="http://schemas.microsoft.com/sharepoint/v3"/>
    <ds:schemaRef ds:uri="d6727227-78a3-4c6b-8cf9-fbafb3cba6e5"/>
  </ds:schemaRefs>
</ds:datastoreItem>
</file>

<file path=customXml/itemProps2.xml><?xml version="1.0" encoding="utf-8"?>
<ds:datastoreItem xmlns:ds="http://schemas.openxmlformats.org/officeDocument/2006/customXml" ds:itemID="{5FA0F728-EB03-4129-AD7F-A3BA082A6296}">
  <ds:schemaRefs>
    <ds:schemaRef ds:uri="http://schemas.openxmlformats.org/officeDocument/2006/bibliography"/>
  </ds:schemaRefs>
</ds:datastoreItem>
</file>

<file path=customXml/itemProps3.xml><?xml version="1.0" encoding="utf-8"?>
<ds:datastoreItem xmlns:ds="http://schemas.openxmlformats.org/officeDocument/2006/customXml" ds:itemID="{6D4EDBEA-7AF3-45DA-883A-7F24DD75702F}">
  <ds:schemaRefs>
    <ds:schemaRef ds:uri="http://schemas.microsoft.com/sharepoint/v3/contenttype/forms"/>
  </ds:schemaRefs>
</ds:datastoreItem>
</file>

<file path=customXml/itemProps4.xml><?xml version="1.0" encoding="utf-8"?>
<ds:datastoreItem xmlns:ds="http://schemas.openxmlformats.org/officeDocument/2006/customXml" ds:itemID="{36D5F6DF-BD3C-4C05-BB52-DADD3109D1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f9dc90f-1299-4b9a-818c-ce6c4da475dd"/>
    <ds:schemaRef ds:uri="d6727227-78a3-4c6b-8cf9-fbafb3cba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46</Pages>
  <Words>11800</Words>
  <Characters>74344</Characters>
  <Application>Microsoft Office Word</Application>
  <DocSecurity>0</DocSecurity>
  <Lines>619</Lines>
  <Paragraphs>171</Paragraphs>
  <ScaleCrop>false</ScaleCrop>
  <HeadingPairs>
    <vt:vector size="2" baseType="variant">
      <vt:variant>
        <vt:lpstr>Title</vt:lpstr>
      </vt:variant>
      <vt:variant>
        <vt:i4>1</vt:i4>
      </vt:variant>
    </vt:vector>
  </HeadingPairs>
  <TitlesOfParts>
    <vt:vector size="1" baseType="lpstr">
      <vt:lpstr>Sicherheitskonzept DFE</vt:lpstr>
    </vt:vector>
  </TitlesOfParts>
  <Company>Hitachi Rail</Company>
  <LinksUpToDate>false</LinksUpToDate>
  <CharactersWithSpaces>85973</CharactersWithSpaces>
  <SharedDoc>false</SharedDoc>
  <HLinks>
    <vt:vector size="456" baseType="variant">
      <vt:variant>
        <vt:i4>4980797</vt:i4>
      </vt:variant>
      <vt:variant>
        <vt:i4>495</vt:i4>
      </vt:variant>
      <vt:variant>
        <vt:i4>0</vt:i4>
      </vt:variant>
      <vt:variant>
        <vt:i4>5</vt:i4>
      </vt:variant>
      <vt:variant>
        <vt:lpwstr>https://urbanandmainlines.sharepoint.com/sites/FR_GTS_TOL_DEPT_Management_System</vt:lpwstr>
      </vt:variant>
      <vt:variant>
        <vt:lpwstr/>
      </vt:variant>
      <vt:variant>
        <vt:i4>1114119</vt:i4>
      </vt:variant>
      <vt:variant>
        <vt:i4>492</vt:i4>
      </vt:variant>
      <vt:variant>
        <vt:i4>0</vt:i4>
      </vt:variant>
      <vt:variant>
        <vt:i4>5</vt:i4>
      </vt:variant>
      <vt:variant>
        <vt:lpwstr>https://etup.de.gts/group/index.html</vt:lpwstr>
      </vt:variant>
      <vt:variant>
        <vt:lpwstr/>
      </vt:variant>
      <vt:variant>
        <vt:i4>1310776</vt:i4>
      </vt:variant>
      <vt:variant>
        <vt:i4>440</vt:i4>
      </vt:variant>
      <vt:variant>
        <vt:i4>0</vt:i4>
      </vt:variant>
      <vt:variant>
        <vt:i4>5</vt:i4>
      </vt:variant>
      <vt:variant>
        <vt:lpwstr/>
      </vt:variant>
      <vt:variant>
        <vt:lpwstr>_Toc232410942</vt:lpwstr>
      </vt:variant>
      <vt:variant>
        <vt:i4>1310776</vt:i4>
      </vt:variant>
      <vt:variant>
        <vt:i4>434</vt:i4>
      </vt:variant>
      <vt:variant>
        <vt:i4>0</vt:i4>
      </vt:variant>
      <vt:variant>
        <vt:i4>5</vt:i4>
      </vt:variant>
      <vt:variant>
        <vt:lpwstr/>
      </vt:variant>
      <vt:variant>
        <vt:lpwstr>_Toc232410941</vt:lpwstr>
      </vt:variant>
      <vt:variant>
        <vt:i4>1310776</vt:i4>
      </vt:variant>
      <vt:variant>
        <vt:i4>428</vt:i4>
      </vt:variant>
      <vt:variant>
        <vt:i4>0</vt:i4>
      </vt:variant>
      <vt:variant>
        <vt:i4>5</vt:i4>
      </vt:variant>
      <vt:variant>
        <vt:lpwstr/>
      </vt:variant>
      <vt:variant>
        <vt:lpwstr>_Toc232410940</vt:lpwstr>
      </vt:variant>
      <vt:variant>
        <vt:i4>1245240</vt:i4>
      </vt:variant>
      <vt:variant>
        <vt:i4>422</vt:i4>
      </vt:variant>
      <vt:variant>
        <vt:i4>0</vt:i4>
      </vt:variant>
      <vt:variant>
        <vt:i4>5</vt:i4>
      </vt:variant>
      <vt:variant>
        <vt:lpwstr/>
      </vt:variant>
      <vt:variant>
        <vt:lpwstr>_Toc232410939</vt:lpwstr>
      </vt:variant>
      <vt:variant>
        <vt:i4>1245240</vt:i4>
      </vt:variant>
      <vt:variant>
        <vt:i4>416</vt:i4>
      </vt:variant>
      <vt:variant>
        <vt:i4>0</vt:i4>
      </vt:variant>
      <vt:variant>
        <vt:i4>5</vt:i4>
      </vt:variant>
      <vt:variant>
        <vt:lpwstr/>
      </vt:variant>
      <vt:variant>
        <vt:lpwstr>_Toc232410938</vt:lpwstr>
      </vt:variant>
      <vt:variant>
        <vt:i4>1245240</vt:i4>
      </vt:variant>
      <vt:variant>
        <vt:i4>410</vt:i4>
      </vt:variant>
      <vt:variant>
        <vt:i4>0</vt:i4>
      </vt:variant>
      <vt:variant>
        <vt:i4>5</vt:i4>
      </vt:variant>
      <vt:variant>
        <vt:lpwstr/>
      </vt:variant>
      <vt:variant>
        <vt:lpwstr>_Toc232410937</vt:lpwstr>
      </vt:variant>
      <vt:variant>
        <vt:i4>1245240</vt:i4>
      </vt:variant>
      <vt:variant>
        <vt:i4>404</vt:i4>
      </vt:variant>
      <vt:variant>
        <vt:i4>0</vt:i4>
      </vt:variant>
      <vt:variant>
        <vt:i4>5</vt:i4>
      </vt:variant>
      <vt:variant>
        <vt:lpwstr/>
      </vt:variant>
      <vt:variant>
        <vt:lpwstr>_Toc232410936</vt:lpwstr>
      </vt:variant>
      <vt:variant>
        <vt:i4>1245240</vt:i4>
      </vt:variant>
      <vt:variant>
        <vt:i4>398</vt:i4>
      </vt:variant>
      <vt:variant>
        <vt:i4>0</vt:i4>
      </vt:variant>
      <vt:variant>
        <vt:i4>5</vt:i4>
      </vt:variant>
      <vt:variant>
        <vt:lpwstr/>
      </vt:variant>
      <vt:variant>
        <vt:lpwstr>_Toc232410935</vt:lpwstr>
      </vt:variant>
      <vt:variant>
        <vt:i4>1245240</vt:i4>
      </vt:variant>
      <vt:variant>
        <vt:i4>392</vt:i4>
      </vt:variant>
      <vt:variant>
        <vt:i4>0</vt:i4>
      </vt:variant>
      <vt:variant>
        <vt:i4>5</vt:i4>
      </vt:variant>
      <vt:variant>
        <vt:lpwstr/>
      </vt:variant>
      <vt:variant>
        <vt:lpwstr>_Toc232410934</vt:lpwstr>
      </vt:variant>
      <vt:variant>
        <vt:i4>1245240</vt:i4>
      </vt:variant>
      <vt:variant>
        <vt:i4>386</vt:i4>
      </vt:variant>
      <vt:variant>
        <vt:i4>0</vt:i4>
      </vt:variant>
      <vt:variant>
        <vt:i4>5</vt:i4>
      </vt:variant>
      <vt:variant>
        <vt:lpwstr/>
      </vt:variant>
      <vt:variant>
        <vt:lpwstr>_Toc232410933</vt:lpwstr>
      </vt:variant>
      <vt:variant>
        <vt:i4>1245240</vt:i4>
      </vt:variant>
      <vt:variant>
        <vt:i4>380</vt:i4>
      </vt:variant>
      <vt:variant>
        <vt:i4>0</vt:i4>
      </vt:variant>
      <vt:variant>
        <vt:i4>5</vt:i4>
      </vt:variant>
      <vt:variant>
        <vt:lpwstr/>
      </vt:variant>
      <vt:variant>
        <vt:lpwstr>_Toc232410932</vt:lpwstr>
      </vt:variant>
      <vt:variant>
        <vt:i4>1245240</vt:i4>
      </vt:variant>
      <vt:variant>
        <vt:i4>374</vt:i4>
      </vt:variant>
      <vt:variant>
        <vt:i4>0</vt:i4>
      </vt:variant>
      <vt:variant>
        <vt:i4>5</vt:i4>
      </vt:variant>
      <vt:variant>
        <vt:lpwstr/>
      </vt:variant>
      <vt:variant>
        <vt:lpwstr>_Toc232410931</vt:lpwstr>
      </vt:variant>
      <vt:variant>
        <vt:i4>1245240</vt:i4>
      </vt:variant>
      <vt:variant>
        <vt:i4>368</vt:i4>
      </vt:variant>
      <vt:variant>
        <vt:i4>0</vt:i4>
      </vt:variant>
      <vt:variant>
        <vt:i4>5</vt:i4>
      </vt:variant>
      <vt:variant>
        <vt:lpwstr/>
      </vt:variant>
      <vt:variant>
        <vt:lpwstr>_Toc232410930</vt:lpwstr>
      </vt:variant>
      <vt:variant>
        <vt:i4>1179704</vt:i4>
      </vt:variant>
      <vt:variant>
        <vt:i4>362</vt:i4>
      </vt:variant>
      <vt:variant>
        <vt:i4>0</vt:i4>
      </vt:variant>
      <vt:variant>
        <vt:i4>5</vt:i4>
      </vt:variant>
      <vt:variant>
        <vt:lpwstr/>
      </vt:variant>
      <vt:variant>
        <vt:lpwstr>_Toc232410929</vt:lpwstr>
      </vt:variant>
      <vt:variant>
        <vt:i4>1114168</vt:i4>
      </vt:variant>
      <vt:variant>
        <vt:i4>353</vt:i4>
      </vt:variant>
      <vt:variant>
        <vt:i4>0</vt:i4>
      </vt:variant>
      <vt:variant>
        <vt:i4>5</vt:i4>
      </vt:variant>
      <vt:variant>
        <vt:lpwstr/>
      </vt:variant>
      <vt:variant>
        <vt:lpwstr>_Toc232410914</vt:lpwstr>
      </vt:variant>
      <vt:variant>
        <vt:i4>1114168</vt:i4>
      </vt:variant>
      <vt:variant>
        <vt:i4>347</vt:i4>
      </vt:variant>
      <vt:variant>
        <vt:i4>0</vt:i4>
      </vt:variant>
      <vt:variant>
        <vt:i4>5</vt:i4>
      </vt:variant>
      <vt:variant>
        <vt:lpwstr/>
      </vt:variant>
      <vt:variant>
        <vt:lpwstr>_Toc232410913</vt:lpwstr>
      </vt:variant>
      <vt:variant>
        <vt:i4>1114168</vt:i4>
      </vt:variant>
      <vt:variant>
        <vt:i4>341</vt:i4>
      </vt:variant>
      <vt:variant>
        <vt:i4>0</vt:i4>
      </vt:variant>
      <vt:variant>
        <vt:i4>5</vt:i4>
      </vt:variant>
      <vt:variant>
        <vt:lpwstr/>
      </vt:variant>
      <vt:variant>
        <vt:lpwstr>_Toc232410912</vt:lpwstr>
      </vt:variant>
      <vt:variant>
        <vt:i4>1114168</vt:i4>
      </vt:variant>
      <vt:variant>
        <vt:i4>335</vt:i4>
      </vt:variant>
      <vt:variant>
        <vt:i4>0</vt:i4>
      </vt:variant>
      <vt:variant>
        <vt:i4>5</vt:i4>
      </vt:variant>
      <vt:variant>
        <vt:lpwstr/>
      </vt:variant>
      <vt:variant>
        <vt:lpwstr>_Toc232410911</vt:lpwstr>
      </vt:variant>
      <vt:variant>
        <vt:i4>1114168</vt:i4>
      </vt:variant>
      <vt:variant>
        <vt:i4>329</vt:i4>
      </vt:variant>
      <vt:variant>
        <vt:i4>0</vt:i4>
      </vt:variant>
      <vt:variant>
        <vt:i4>5</vt:i4>
      </vt:variant>
      <vt:variant>
        <vt:lpwstr/>
      </vt:variant>
      <vt:variant>
        <vt:lpwstr>_Toc232410910</vt:lpwstr>
      </vt:variant>
      <vt:variant>
        <vt:i4>1048632</vt:i4>
      </vt:variant>
      <vt:variant>
        <vt:i4>320</vt:i4>
      </vt:variant>
      <vt:variant>
        <vt:i4>0</vt:i4>
      </vt:variant>
      <vt:variant>
        <vt:i4>5</vt:i4>
      </vt:variant>
      <vt:variant>
        <vt:lpwstr/>
      </vt:variant>
      <vt:variant>
        <vt:lpwstr>_Toc232410909</vt:lpwstr>
      </vt:variant>
      <vt:variant>
        <vt:i4>1048632</vt:i4>
      </vt:variant>
      <vt:variant>
        <vt:i4>314</vt:i4>
      </vt:variant>
      <vt:variant>
        <vt:i4>0</vt:i4>
      </vt:variant>
      <vt:variant>
        <vt:i4>5</vt:i4>
      </vt:variant>
      <vt:variant>
        <vt:lpwstr/>
      </vt:variant>
      <vt:variant>
        <vt:lpwstr>_Toc232410908</vt:lpwstr>
      </vt:variant>
      <vt:variant>
        <vt:i4>1048632</vt:i4>
      </vt:variant>
      <vt:variant>
        <vt:i4>308</vt:i4>
      </vt:variant>
      <vt:variant>
        <vt:i4>0</vt:i4>
      </vt:variant>
      <vt:variant>
        <vt:i4>5</vt:i4>
      </vt:variant>
      <vt:variant>
        <vt:lpwstr/>
      </vt:variant>
      <vt:variant>
        <vt:lpwstr>_Toc232410907</vt:lpwstr>
      </vt:variant>
      <vt:variant>
        <vt:i4>1048632</vt:i4>
      </vt:variant>
      <vt:variant>
        <vt:i4>302</vt:i4>
      </vt:variant>
      <vt:variant>
        <vt:i4>0</vt:i4>
      </vt:variant>
      <vt:variant>
        <vt:i4>5</vt:i4>
      </vt:variant>
      <vt:variant>
        <vt:lpwstr/>
      </vt:variant>
      <vt:variant>
        <vt:lpwstr>_Toc232410906</vt:lpwstr>
      </vt:variant>
      <vt:variant>
        <vt:i4>1048632</vt:i4>
      </vt:variant>
      <vt:variant>
        <vt:i4>296</vt:i4>
      </vt:variant>
      <vt:variant>
        <vt:i4>0</vt:i4>
      </vt:variant>
      <vt:variant>
        <vt:i4>5</vt:i4>
      </vt:variant>
      <vt:variant>
        <vt:lpwstr/>
      </vt:variant>
      <vt:variant>
        <vt:lpwstr>_Toc232410905</vt:lpwstr>
      </vt:variant>
      <vt:variant>
        <vt:i4>1048632</vt:i4>
      </vt:variant>
      <vt:variant>
        <vt:i4>290</vt:i4>
      </vt:variant>
      <vt:variant>
        <vt:i4>0</vt:i4>
      </vt:variant>
      <vt:variant>
        <vt:i4>5</vt:i4>
      </vt:variant>
      <vt:variant>
        <vt:lpwstr/>
      </vt:variant>
      <vt:variant>
        <vt:lpwstr>_Toc232410904</vt:lpwstr>
      </vt:variant>
      <vt:variant>
        <vt:i4>1048632</vt:i4>
      </vt:variant>
      <vt:variant>
        <vt:i4>284</vt:i4>
      </vt:variant>
      <vt:variant>
        <vt:i4>0</vt:i4>
      </vt:variant>
      <vt:variant>
        <vt:i4>5</vt:i4>
      </vt:variant>
      <vt:variant>
        <vt:lpwstr/>
      </vt:variant>
      <vt:variant>
        <vt:lpwstr>_Toc232410903</vt:lpwstr>
      </vt:variant>
      <vt:variant>
        <vt:i4>1048632</vt:i4>
      </vt:variant>
      <vt:variant>
        <vt:i4>278</vt:i4>
      </vt:variant>
      <vt:variant>
        <vt:i4>0</vt:i4>
      </vt:variant>
      <vt:variant>
        <vt:i4>5</vt:i4>
      </vt:variant>
      <vt:variant>
        <vt:lpwstr/>
      </vt:variant>
      <vt:variant>
        <vt:lpwstr>_Toc232410902</vt:lpwstr>
      </vt:variant>
      <vt:variant>
        <vt:i4>1048632</vt:i4>
      </vt:variant>
      <vt:variant>
        <vt:i4>272</vt:i4>
      </vt:variant>
      <vt:variant>
        <vt:i4>0</vt:i4>
      </vt:variant>
      <vt:variant>
        <vt:i4>5</vt:i4>
      </vt:variant>
      <vt:variant>
        <vt:lpwstr/>
      </vt:variant>
      <vt:variant>
        <vt:lpwstr>_Toc232410901</vt:lpwstr>
      </vt:variant>
      <vt:variant>
        <vt:i4>1048632</vt:i4>
      </vt:variant>
      <vt:variant>
        <vt:i4>266</vt:i4>
      </vt:variant>
      <vt:variant>
        <vt:i4>0</vt:i4>
      </vt:variant>
      <vt:variant>
        <vt:i4>5</vt:i4>
      </vt:variant>
      <vt:variant>
        <vt:lpwstr/>
      </vt:variant>
      <vt:variant>
        <vt:lpwstr>_Toc232410900</vt:lpwstr>
      </vt:variant>
      <vt:variant>
        <vt:i4>1638457</vt:i4>
      </vt:variant>
      <vt:variant>
        <vt:i4>260</vt:i4>
      </vt:variant>
      <vt:variant>
        <vt:i4>0</vt:i4>
      </vt:variant>
      <vt:variant>
        <vt:i4>5</vt:i4>
      </vt:variant>
      <vt:variant>
        <vt:lpwstr/>
      </vt:variant>
      <vt:variant>
        <vt:lpwstr>_Toc232410899</vt:lpwstr>
      </vt:variant>
      <vt:variant>
        <vt:i4>1638457</vt:i4>
      </vt:variant>
      <vt:variant>
        <vt:i4>254</vt:i4>
      </vt:variant>
      <vt:variant>
        <vt:i4>0</vt:i4>
      </vt:variant>
      <vt:variant>
        <vt:i4>5</vt:i4>
      </vt:variant>
      <vt:variant>
        <vt:lpwstr/>
      </vt:variant>
      <vt:variant>
        <vt:lpwstr>_Toc232410898</vt:lpwstr>
      </vt:variant>
      <vt:variant>
        <vt:i4>1638457</vt:i4>
      </vt:variant>
      <vt:variant>
        <vt:i4>248</vt:i4>
      </vt:variant>
      <vt:variant>
        <vt:i4>0</vt:i4>
      </vt:variant>
      <vt:variant>
        <vt:i4>5</vt:i4>
      </vt:variant>
      <vt:variant>
        <vt:lpwstr/>
      </vt:variant>
      <vt:variant>
        <vt:lpwstr>_Toc232410897</vt:lpwstr>
      </vt:variant>
      <vt:variant>
        <vt:i4>1638457</vt:i4>
      </vt:variant>
      <vt:variant>
        <vt:i4>242</vt:i4>
      </vt:variant>
      <vt:variant>
        <vt:i4>0</vt:i4>
      </vt:variant>
      <vt:variant>
        <vt:i4>5</vt:i4>
      </vt:variant>
      <vt:variant>
        <vt:lpwstr/>
      </vt:variant>
      <vt:variant>
        <vt:lpwstr>_Toc232410896</vt:lpwstr>
      </vt:variant>
      <vt:variant>
        <vt:i4>1638457</vt:i4>
      </vt:variant>
      <vt:variant>
        <vt:i4>236</vt:i4>
      </vt:variant>
      <vt:variant>
        <vt:i4>0</vt:i4>
      </vt:variant>
      <vt:variant>
        <vt:i4>5</vt:i4>
      </vt:variant>
      <vt:variant>
        <vt:lpwstr/>
      </vt:variant>
      <vt:variant>
        <vt:lpwstr>_Toc232410895</vt:lpwstr>
      </vt:variant>
      <vt:variant>
        <vt:i4>1638457</vt:i4>
      </vt:variant>
      <vt:variant>
        <vt:i4>230</vt:i4>
      </vt:variant>
      <vt:variant>
        <vt:i4>0</vt:i4>
      </vt:variant>
      <vt:variant>
        <vt:i4>5</vt:i4>
      </vt:variant>
      <vt:variant>
        <vt:lpwstr/>
      </vt:variant>
      <vt:variant>
        <vt:lpwstr>_Toc232410894</vt:lpwstr>
      </vt:variant>
      <vt:variant>
        <vt:i4>1638457</vt:i4>
      </vt:variant>
      <vt:variant>
        <vt:i4>224</vt:i4>
      </vt:variant>
      <vt:variant>
        <vt:i4>0</vt:i4>
      </vt:variant>
      <vt:variant>
        <vt:i4>5</vt:i4>
      </vt:variant>
      <vt:variant>
        <vt:lpwstr/>
      </vt:variant>
      <vt:variant>
        <vt:lpwstr>_Toc232410893</vt:lpwstr>
      </vt:variant>
      <vt:variant>
        <vt:i4>1638457</vt:i4>
      </vt:variant>
      <vt:variant>
        <vt:i4>218</vt:i4>
      </vt:variant>
      <vt:variant>
        <vt:i4>0</vt:i4>
      </vt:variant>
      <vt:variant>
        <vt:i4>5</vt:i4>
      </vt:variant>
      <vt:variant>
        <vt:lpwstr/>
      </vt:variant>
      <vt:variant>
        <vt:lpwstr>_Toc232410892</vt:lpwstr>
      </vt:variant>
      <vt:variant>
        <vt:i4>1638457</vt:i4>
      </vt:variant>
      <vt:variant>
        <vt:i4>212</vt:i4>
      </vt:variant>
      <vt:variant>
        <vt:i4>0</vt:i4>
      </vt:variant>
      <vt:variant>
        <vt:i4>5</vt:i4>
      </vt:variant>
      <vt:variant>
        <vt:lpwstr/>
      </vt:variant>
      <vt:variant>
        <vt:lpwstr>_Toc232410891</vt:lpwstr>
      </vt:variant>
      <vt:variant>
        <vt:i4>1638457</vt:i4>
      </vt:variant>
      <vt:variant>
        <vt:i4>206</vt:i4>
      </vt:variant>
      <vt:variant>
        <vt:i4>0</vt:i4>
      </vt:variant>
      <vt:variant>
        <vt:i4>5</vt:i4>
      </vt:variant>
      <vt:variant>
        <vt:lpwstr/>
      </vt:variant>
      <vt:variant>
        <vt:lpwstr>_Toc232410890</vt:lpwstr>
      </vt:variant>
      <vt:variant>
        <vt:i4>1572921</vt:i4>
      </vt:variant>
      <vt:variant>
        <vt:i4>200</vt:i4>
      </vt:variant>
      <vt:variant>
        <vt:i4>0</vt:i4>
      </vt:variant>
      <vt:variant>
        <vt:i4>5</vt:i4>
      </vt:variant>
      <vt:variant>
        <vt:lpwstr/>
      </vt:variant>
      <vt:variant>
        <vt:lpwstr>_Toc232410889</vt:lpwstr>
      </vt:variant>
      <vt:variant>
        <vt:i4>1572921</vt:i4>
      </vt:variant>
      <vt:variant>
        <vt:i4>194</vt:i4>
      </vt:variant>
      <vt:variant>
        <vt:i4>0</vt:i4>
      </vt:variant>
      <vt:variant>
        <vt:i4>5</vt:i4>
      </vt:variant>
      <vt:variant>
        <vt:lpwstr/>
      </vt:variant>
      <vt:variant>
        <vt:lpwstr>_Toc232410888</vt:lpwstr>
      </vt:variant>
      <vt:variant>
        <vt:i4>1572921</vt:i4>
      </vt:variant>
      <vt:variant>
        <vt:i4>188</vt:i4>
      </vt:variant>
      <vt:variant>
        <vt:i4>0</vt:i4>
      </vt:variant>
      <vt:variant>
        <vt:i4>5</vt:i4>
      </vt:variant>
      <vt:variant>
        <vt:lpwstr/>
      </vt:variant>
      <vt:variant>
        <vt:lpwstr>_Toc232410887</vt:lpwstr>
      </vt:variant>
      <vt:variant>
        <vt:i4>1572921</vt:i4>
      </vt:variant>
      <vt:variant>
        <vt:i4>182</vt:i4>
      </vt:variant>
      <vt:variant>
        <vt:i4>0</vt:i4>
      </vt:variant>
      <vt:variant>
        <vt:i4>5</vt:i4>
      </vt:variant>
      <vt:variant>
        <vt:lpwstr/>
      </vt:variant>
      <vt:variant>
        <vt:lpwstr>_Toc232410886</vt:lpwstr>
      </vt:variant>
      <vt:variant>
        <vt:i4>1572921</vt:i4>
      </vt:variant>
      <vt:variant>
        <vt:i4>176</vt:i4>
      </vt:variant>
      <vt:variant>
        <vt:i4>0</vt:i4>
      </vt:variant>
      <vt:variant>
        <vt:i4>5</vt:i4>
      </vt:variant>
      <vt:variant>
        <vt:lpwstr/>
      </vt:variant>
      <vt:variant>
        <vt:lpwstr>_Toc232410885</vt:lpwstr>
      </vt:variant>
      <vt:variant>
        <vt:i4>1572921</vt:i4>
      </vt:variant>
      <vt:variant>
        <vt:i4>170</vt:i4>
      </vt:variant>
      <vt:variant>
        <vt:i4>0</vt:i4>
      </vt:variant>
      <vt:variant>
        <vt:i4>5</vt:i4>
      </vt:variant>
      <vt:variant>
        <vt:lpwstr/>
      </vt:variant>
      <vt:variant>
        <vt:lpwstr>_Toc232410884</vt:lpwstr>
      </vt:variant>
      <vt:variant>
        <vt:i4>1572921</vt:i4>
      </vt:variant>
      <vt:variant>
        <vt:i4>164</vt:i4>
      </vt:variant>
      <vt:variant>
        <vt:i4>0</vt:i4>
      </vt:variant>
      <vt:variant>
        <vt:i4>5</vt:i4>
      </vt:variant>
      <vt:variant>
        <vt:lpwstr/>
      </vt:variant>
      <vt:variant>
        <vt:lpwstr>_Toc232410883</vt:lpwstr>
      </vt:variant>
      <vt:variant>
        <vt:i4>1572921</vt:i4>
      </vt:variant>
      <vt:variant>
        <vt:i4>158</vt:i4>
      </vt:variant>
      <vt:variant>
        <vt:i4>0</vt:i4>
      </vt:variant>
      <vt:variant>
        <vt:i4>5</vt:i4>
      </vt:variant>
      <vt:variant>
        <vt:lpwstr/>
      </vt:variant>
      <vt:variant>
        <vt:lpwstr>_Toc232410882</vt:lpwstr>
      </vt:variant>
      <vt:variant>
        <vt:i4>1572921</vt:i4>
      </vt:variant>
      <vt:variant>
        <vt:i4>152</vt:i4>
      </vt:variant>
      <vt:variant>
        <vt:i4>0</vt:i4>
      </vt:variant>
      <vt:variant>
        <vt:i4>5</vt:i4>
      </vt:variant>
      <vt:variant>
        <vt:lpwstr/>
      </vt:variant>
      <vt:variant>
        <vt:lpwstr>_Toc232410881</vt:lpwstr>
      </vt:variant>
      <vt:variant>
        <vt:i4>1572921</vt:i4>
      </vt:variant>
      <vt:variant>
        <vt:i4>146</vt:i4>
      </vt:variant>
      <vt:variant>
        <vt:i4>0</vt:i4>
      </vt:variant>
      <vt:variant>
        <vt:i4>5</vt:i4>
      </vt:variant>
      <vt:variant>
        <vt:lpwstr/>
      </vt:variant>
      <vt:variant>
        <vt:lpwstr>_Toc232410880</vt:lpwstr>
      </vt:variant>
      <vt:variant>
        <vt:i4>1507385</vt:i4>
      </vt:variant>
      <vt:variant>
        <vt:i4>140</vt:i4>
      </vt:variant>
      <vt:variant>
        <vt:i4>0</vt:i4>
      </vt:variant>
      <vt:variant>
        <vt:i4>5</vt:i4>
      </vt:variant>
      <vt:variant>
        <vt:lpwstr/>
      </vt:variant>
      <vt:variant>
        <vt:lpwstr>_Toc232410879</vt:lpwstr>
      </vt:variant>
      <vt:variant>
        <vt:i4>1507385</vt:i4>
      </vt:variant>
      <vt:variant>
        <vt:i4>134</vt:i4>
      </vt:variant>
      <vt:variant>
        <vt:i4>0</vt:i4>
      </vt:variant>
      <vt:variant>
        <vt:i4>5</vt:i4>
      </vt:variant>
      <vt:variant>
        <vt:lpwstr/>
      </vt:variant>
      <vt:variant>
        <vt:lpwstr>_Toc232410878</vt:lpwstr>
      </vt:variant>
      <vt:variant>
        <vt:i4>1507385</vt:i4>
      </vt:variant>
      <vt:variant>
        <vt:i4>128</vt:i4>
      </vt:variant>
      <vt:variant>
        <vt:i4>0</vt:i4>
      </vt:variant>
      <vt:variant>
        <vt:i4>5</vt:i4>
      </vt:variant>
      <vt:variant>
        <vt:lpwstr/>
      </vt:variant>
      <vt:variant>
        <vt:lpwstr>_Toc232410877</vt:lpwstr>
      </vt:variant>
      <vt:variant>
        <vt:i4>1507385</vt:i4>
      </vt:variant>
      <vt:variant>
        <vt:i4>122</vt:i4>
      </vt:variant>
      <vt:variant>
        <vt:i4>0</vt:i4>
      </vt:variant>
      <vt:variant>
        <vt:i4>5</vt:i4>
      </vt:variant>
      <vt:variant>
        <vt:lpwstr/>
      </vt:variant>
      <vt:variant>
        <vt:lpwstr>_Toc232410876</vt:lpwstr>
      </vt:variant>
      <vt:variant>
        <vt:i4>1507385</vt:i4>
      </vt:variant>
      <vt:variant>
        <vt:i4>116</vt:i4>
      </vt:variant>
      <vt:variant>
        <vt:i4>0</vt:i4>
      </vt:variant>
      <vt:variant>
        <vt:i4>5</vt:i4>
      </vt:variant>
      <vt:variant>
        <vt:lpwstr/>
      </vt:variant>
      <vt:variant>
        <vt:lpwstr>_Toc232410875</vt:lpwstr>
      </vt:variant>
      <vt:variant>
        <vt:i4>1507385</vt:i4>
      </vt:variant>
      <vt:variant>
        <vt:i4>110</vt:i4>
      </vt:variant>
      <vt:variant>
        <vt:i4>0</vt:i4>
      </vt:variant>
      <vt:variant>
        <vt:i4>5</vt:i4>
      </vt:variant>
      <vt:variant>
        <vt:lpwstr/>
      </vt:variant>
      <vt:variant>
        <vt:lpwstr>_Toc232410874</vt:lpwstr>
      </vt:variant>
      <vt:variant>
        <vt:i4>1507385</vt:i4>
      </vt:variant>
      <vt:variant>
        <vt:i4>104</vt:i4>
      </vt:variant>
      <vt:variant>
        <vt:i4>0</vt:i4>
      </vt:variant>
      <vt:variant>
        <vt:i4>5</vt:i4>
      </vt:variant>
      <vt:variant>
        <vt:lpwstr/>
      </vt:variant>
      <vt:variant>
        <vt:lpwstr>_Toc232410873</vt:lpwstr>
      </vt:variant>
      <vt:variant>
        <vt:i4>1507385</vt:i4>
      </vt:variant>
      <vt:variant>
        <vt:i4>98</vt:i4>
      </vt:variant>
      <vt:variant>
        <vt:i4>0</vt:i4>
      </vt:variant>
      <vt:variant>
        <vt:i4>5</vt:i4>
      </vt:variant>
      <vt:variant>
        <vt:lpwstr/>
      </vt:variant>
      <vt:variant>
        <vt:lpwstr>_Toc232410872</vt:lpwstr>
      </vt:variant>
      <vt:variant>
        <vt:i4>1507385</vt:i4>
      </vt:variant>
      <vt:variant>
        <vt:i4>92</vt:i4>
      </vt:variant>
      <vt:variant>
        <vt:i4>0</vt:i4>
      </vt:variant>
      <vt:variant>
        <vt:i4>5</vt:i4>
      </vt:variant>
      <vt:variant>
        <vt:lpwstr/>
      </vt:variant>
      <vt:variant>
        <vt:lpwstr>_Toc232410871</vt:lpwstr>
      </vt:variant>
      <vt:variant>
        <vt:i4>1507385</vt:i4>
      </vt:variant>
      <vt:variant>
        <vt:i4>86</vt:i4>
      </vt:variant>
      <vt:variant>
        <vt:i4>0</vt:i4>
      </vt:variant>
      <vt:variant>
        <vt:i4>5</vt:i4>
      </vt:variant>
      <vt:variant>
        <vt:lpwstr/>
      </vt:variant>
      <vt:variant>
        <vt:lpwstr>_Toc232410870</vt:lpwstr>
      </vt:variant>
      <vt:variant>
        <vt:i4>1441849</vt:i4>
      </vt:variant>
      <vt:variant>
        <vt:i4>80</vt:i4>
      </vt:variant>
      <vt:variant>
        <vt:i4>0</vt:i4>
      </vt:variant>
      <vt:variant>
        <vt:i4>5</vt:i4>
      </vt:variant>
      <vt:variant>
        <vt:lpwstr/>
      </vt:variant>
      <vt:variant>
        <vt:lpwstr>_Toc232410869</vt:lpwstr>
      </vt:variant>
      <vt:variant>
        <vt:i4>1441849</vt:i4>
      </vt:variant>
      <vt:variant>
        <vt:i4>74</vt:i4>
      </vt:variant>
      <vt:variant>
        <vt:i4>0</vt:i4>
      </vt:variant>
      <vt:variant>
        <vt:i4>5</vt:i4>
      </vt:variant>
      <vt:variant>
        <vt:lpwstr/>
      </vt:variant>
      <vt:variant>
        <vt:lpwstr>_Toc232410868</vt:lpwstr>
      </vt:variant>
      <vt:variant>
        <vt:i4>1441849</vt:i4>
      </vt:variant>
      <vt:variant>
        <vt:i4>68</vt:i4>
      </vt:variant>
      <vt:variant>
        <vt:i4>0</vt:i4>
      </vt:variant>
      <vt:variant>
        <vt:i4>5</vt:i4>
      </vt:variant>
      <vt:variant>
        <vt:lpwstr/>
      </vt:variant>
      <vt:variant>
        <vt:lpwstr>_Toc232410867</vt:lpwstr>
      </vt:variant>
      <vt:variant>
        <vt:i4>1441849</vt:i4>
      </vt:variant>
      <vt:variant>
        <vt:i4>62</vt:i4>
      </vt:variant>
      <vt:variant>
        <vt:i4>0</vt:i4>
      </vt:variant>
      <vt:variant>
        <vt:i4>5</vt:i4>
      </vt:variant>
      <vt:variant>
        <vt:lpwstr/>
      </vt:variant>
      <vt:variant>
        <vt:lpwstr>_Toc232410866</vt:lpwstr>
      </vt:variant>
      <vt:variant>
        <vt:i4>1441849</vt:i4>
      </vt:variant>
      <vt:variant>
        <vt:i4>56</vt:i4>
      </vt:variant>
      <vt:variant>
        <vt:i4>0</vt:i4>
      </vt:variant>
      <vt:variant>
        <vt:i4>5</vt:i4>
      </vt:variant>
      <vt:variant>
        <vt:lpwstr/>
      </vt:variant>
      <vt:variant>
        <vt:lpwstr>_Toc232410865</vt:lpwstr>
      </vt:variant>
      <vt:variant>
        <vt:i4>1441849</vt:i4>
      </vt:variant>
      <vt:variant>
        <vt:i4>50</vt:i4>
      </vt:variant>
      <vt:variant>
        <vt:i4>0</vt:i4>
      </vt:variant>
      <vt:variant>
        <vt:i4>5</vt:i4>
      </vt:variant>
      <vt:variant>
        <vt:lpwstr/>
      </vt:variant>
      <vt:variant>
        <vt:lpwstr>_Toc232410864</vt:lpwstr>
      </vt:variant>
      <vt:variant>
        <vt:i4>1441849</vt:i4>
      </vt:variant>
      <vt:variant>
        <vt:i4>44</vt:i4>
      </vt:variant>
      <vt:variant>
        <vt:i4>0</vt:i4>
      </vt:variant>
      <vt:variant>
        <vt:i4>5</vt:i4>
      </vt:variant>
      <vt:variant>
        <vt:lpwstr/>
      </vt:variant>
      <vt:variant>
        <vt:lpwstr>_Toc232410863</vt:lpwstr>
      </vt:variant>
      <vt:variant>
        <vt:i4>1441849</vt:i4>
      </vt:variant>
      <vt:variant>
        <vt:i4>38</vt:i4>
      </vt:variant>
      <vt:variant>
        <vt:i4>0</vt:i4>
      </vt:variant>
      <vt:variant>
        <vt:i4>5</vt:i4>
      </vt:variant>
      <vt:variant>
        <vt:lpwstr/>
      </vt:variant>
      <vt:variant>
        <vt:lpwstr>_Toc232410862</vt:lpwstr>
      </vt:variant>
      <vt:variant>
        <vt:i4>1441849</vt:i4>
      </vt:variant>
      <vt:variant>
        <vt:i4>32</vt:i4>
      </vt:variant>
      <vt:variant>
        <vt:i4>0</vt:i4>
      </vt:variant>
      <vt:variant>
        <vt:i4>5</vt:i4>
      </vt:variant>
      <vt:variant>
        <vt:lpwstr/>
      </vt:variant>
      <vt:variant>
        <vt:lpwstr>_Toc232410861</vt:lpwstr>
      </vt:variant>
      <vt:variant>
        <vt:i4>1441849</vt:i4>
      </vt:variant>
      <vt:variant>
        <vt:i4>26</vt:i4>
      </vt:variant>
      <vt:variant>
        <vt:i4>0</vt:i4>
      </vt:variant>
      <vt:variant>
        <vt:i4>5</vt:i4>
      </vt:variant>
      <vt:variant>
        <vt:lpwstr/>
      </vt:variant>
      <vt:variant>
        <vt:lpwstr>_Toc232410860</vt:lpwstr>
      </vt:variant>
      <vt:variant>
        <vt:i4>1376313</vt:i4>
      </vt:variant>
      <vt:variant>
        <vt:i4>20</vt:i4>
      </vt:variant>
      <vt:variant>
        <vt:i4>0</vt:i4>
      </vt:variant>
      <vt:variant>
        <vt:i4>5</vt:i4>
      </vt:variant>
      <vt:variant>
        <vt:lpwstr/>
      </vt:variant>
      <vt:variant>
        <vt:lpwstr>_Toc232410859</vt:lpwstr>
      </vt:variant>
      <vt:variant>
        <vt:i4>1376313</vt:i4>
      </vt:variant>
      <vt:variant>
        <vt:i4>14</vt:i4>
      </vt:variant>
      <vt:variant>
        <vt:i4>0</vt:i4>
      </vt:variant>
      <vt:variant>
        <vt:i4>5</vt:i4>
      </vt:variant>
      <vt:variant>
        <vt:lpwstr/>
      </vt:variant>
      <vt:variant>
        <vt:lpwstr>_Toc232410858</vt:lpwstr>
      </vt:variant>
      <vt:variant>
        <vt:i4>1376313</vt:i4>
      </vt:variant>
      <vt:variant>
        <vt:i4>8</vt:i4>
      </vt:variant>
      <vt:variant>
        <vt:i4>0</vt:i4>
      </vt:variant>
      <vt:variant>
        <vt:i4>5</vt:i4>
      </vt:variant>
      <vt:variant>
        <vt:lpwstr/>
      </vt:variant>
      <vt:variant>
        <vt:lpwstr>_Toc232410857</vt:lpwstr>
      </vt:variant>
      <vt:variant>
        <vt:i4>1376313</vt:i4>
      </vt:variant>
      <vt:variant>
        <vt:i4>2</vt:i4>
      </vt:variant>
      <vt:variant>
        <vt:i4>0</vt:i4>
      </vt:variant>
      <vt:variant>
        <vt:i4>5</vt:i4>
      </vt:variant>
      <vt:variant>
        <vt:lpwstr/>
      </vt:variant>
      <vt:variant>
        <vt:lpwstr>_Toc232410856</vt:lpwstr>
      </vt:variant>
      <vt:variant>
        <vt:i4>5767202</vt:i4>
      </vt:variant>
      <vt:variant>
        <vt:i4>0</vt:i4>
      </vt:variant>
      <vt:variant>
        <vt:i4>0</vt:i4>
      </vt:variant>
      <vt:variant>
        <vt:i4>5</vt:i4>
      </vt:variant>
      <vt:variant>
        <vt:lpwstr>C:\Users\T0030495\AppData\Local\Microsoft\Windows\INetCache\Content.Word\www.hitachirail.com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Sicherheitskonzept DFE</dc:title>
  <dc:subject/>
  <dc:creator>Manfred POHL / Roman BÜGER</dc:creator>
  <cp:keywords/>
  <cp:lastModifiedBy>BUEGER Roman</cp:lastModifiedBy>
  <cp:revision>84</cp:revision>
  <cp:lastPrinted>2025-04-01T22:49:00Z</cp:lastPrinted>
  <dcterms:created xsi:type="dcterms:W3CDTF">2026-10-01T07:24:00Z</dcterms:created>
  <dcterms:modified xsi:type="dcterms:W3CDTF">2026-10-12T10:39:00Z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2026-06-09T09:18:45Z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e9113c1b-4c92-4289-bdab-edfa013355da</vt:lpwstr>
  </property>
  <property fmtid="{D5CDD505-2E9C-101B-9397-08002B2CF9AE}" pid="8" name="MSIP_Label_35f56cb4-cf75-4ce6-b7c8-188d9e5f1dd3_ContentBits">
    <vt:lpwstr>0</vt:lpwstr>
  </property>
  <property fmtid="{D5CDD505-2E9C-101B-9397-08002B2CF9AE}" pid="9" name="ContentTypeId">
    <vt:lpwstr>0x01010069D68582EA61824C83DFEE30F0A57123</vt:lpwstr>
  </property>
  <property fmtid="{D5CDD505-2E9C-101B-9397-08002B2CF9AE}" pid="10" name="MediaServiceImageTags">
    <vt:lpwstr/>
  </property>
</Properties>
</file>