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0F3EE" w14:textId="3878837E" w:rsidR="00492D76" w:rsidRPr="00492D76" w:rsidRDefault="00492D76" w:rsidP="00492D7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CA"/>
        </w:rPr>
      </w:pPr>
      <w:r w:rsidRPr="00492D7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CA"/>
        </w:rPr>
        <w:t>Healthcare Appointment No-Show Analysis</w:t>
      </w:r>
      <w:r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CA"/>
        </w:rPr>
        <w:br/>
      </w:r>
      <w:r w:rsidRPr="00492D76">
        <w:rPr>
          <w:rFonts w:ascii="Calibri" w:eastAsia="Times New Roman" w:hAnsi="Calibri" w:cs="Calibri"/>
          <w:b/>
          <w:bCs/>
          <w:sz w:val="27"/>
          <w:szCs w:val="27"/>
          <w:lang w:eastAsia="en-CA"/>
        </w:rPr>
        <w:t>A Data Analytics Project Report</w:t>
      </w:r>
    </w:p>
    <w:p w14:paraId="627ACF58" w14:textId="77777777" w:rsidR="00492D76" w:rsidRPr="00492D76" w:rsidRDefault="00492D76" w:rsidP="00492D7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:lang w:eastAsia="en-CA"/>
        </w:rPr>
      </w:pPr>
      <w:r w:rsidRPr="00492D76">
        <w:rPr>
          <w:rFonts w:ascii="Calibri" w:eastAsia="Times New Roman" w:hAnsi="Calibri" w:cs="Calibri"/>
          <w:b/>
          <w:bCs/>
          <w:sz w:val="36"/>
          <w:szCs w:val="36"/>
          <w:lang w:eastAsia="en-CA"/>
        </w:rPr>
        <w:t>1. Introduction</w:t>
      </w:r>
    </w:p>
    <w:p w14:paraId="1C7153AA" w14:textId="77777777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>Healthcare appointment no-shows are a persistent problem across clinics and hospitals worldwide. When a patient books an appointment but doesn't show up — without canceling — it creates a ripple effect: wasted doctor time, longer wait times for other patients, and increased operational costs for the facility.</w:t>
      </w:r>
    </w:p>
    <w:p w14:paraId="42A35B6D" w14:textId="77777777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This project takes a closer look at that problem using real appointment data. The goal was to understand </w:t>
      </w:r>
      <w:r w:rsidRPr="00492D76">
        <w:rPr>
          <w:rFonts w:ascii="Calibri" w:eastAsia="Times New Roman" w:hAnsi="Calibri" w:cs="Calibri"/>
          <w:i/>
          <w:iCs/>
          <w:sz w:val="24"/>
          <w:szCs w:val="24"/>
          <w:lang w:eastAsia="en-CA"/>
        </w:rPr>
        <w:t>why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patients miss appointments and </w:t>
      </w:r>
      <w:r w:rsidRPr="00492D76">
        <w:rPr>
          <w:rFonts w:ascii="Calibri" w:eastAsia="Times New Roman" w:hAnsi="Calibri" w:cs="Calibri"/>
          <w:i/>
          <w:iCs/>
          <w:sz w:val="24"/>
          <w:szCs w:val="24"/>
          <w:lang w:eastAsia="en-CA"/>
        </w:rPr>
        <w:t>which factors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— waiting time, demographics, location, medical condition, or SMS reminders — are most connected to no-show behavior.</w:t>
      </w:r>
    </w:p>
    <w:p w14:paraId="0FF7470F" w14:textId="77777777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>The analysis was done using Python for data processing and visualization, and Power BI for building interactive dashboards.</w:t>
      </w:r>
    </w:p>
    <w:p w14:paraId="1C6DB17D" w14:textId="77777777" w:rsidR="00492D76" w:rsidRPr="00492D76" w:rsidRDefault="00492D76" w:rsidP="00492D76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pict w14:anchorId="20F46005">
          <v:rect id="_x0000_i1027" style="width:0;height:1.5pt" o:hralign="center" o:hrstd="t" o:hr="t" fillcolor="#a0a0a0" stroked="f"/>
        </w:pict>
      </w:r>
    </w:p>
    <w:p w14:paraId="373ED43D" w14:textId="77777777" w:rsidR="00492D76" w:rsidRPr="00492D76" w:rsidRDefault="00492D76" w:rsidP="00492D7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:lang w:eastAsia="en-CA"/>
        </w:rPr>
      </w:pPr>
      <w:r w:rsidRPr="00492D76">
        <w:rPr>
          <w:rFonts w:ascii="Calibri" w:eastAsia="Times New Roman" w:hAnsi="Calibri" w:cs="Calibri"/>
          <w:b/>
          <w:bCs/>
          <w:sz w:val="36"/>
          <w:szCs w:val="36"/>
          <w:lang w:eastAsia="en-CA"/>
        </w:rPr>
        <w:t>2. Project Objective</w:t>
      </w:r>
    </w:p>
    <w:p w14:paraId="0060FB1C" w14:textId="77777777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>The main aim of this project was to analyze patterns in healthcare appointment attendance and identify the key drivers of no-show behavior. Specifically, the project set out to:</w:t>
      </w:r>
    </w:p>
    <w:p w14:paraId="238E1792" w14:textId="77777777" w:rsidR="00492D76" w:rsidRPr="00492D76" w:rsidRDefault="00492D76" w:rsidP="00492D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>Measure the overall no-show rate across the dataset</w:t>
      </w:r>
    </w:p>
    <w:p w14:paraId="1D2B10F0" w14:textId="77777777" w:rsidR="00492D76" w:rsidRPr="00492D76" w:rsidRDefault="00492D76" w:rsidP="00492D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>Understand how waiting time between booking and appointment affects attendance</w:t>
      </w:r>
    </w:p>
    <w:p w14:paraId="18358156" w14:textId="77777777" w:rsidR="00492D76" w:rsidRPr="00492D76" w:rsidRDefault="00492D76" w:rsidP="00492D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>Explore which age groups, genders, and weekdays have higher no-show rates</w:t>
      </w:r>
    </w:p>
    <w:p w14:paraId="57AF71EB" w14:textId="77777777" w:rsidR="00492D76" w:rsidRPr="00492D76" w:rsidRDefault="00492D76" w:rsidP="00492D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>Identify neighborhoods with the most missed appointments</w:t>
      </w:r>
    </w:p>
    <w:p w14:paraId="00B22EA0" w14:textId="77777777" w:rsidR="00492D76" w:rsidRPr="00492D76" w:rsidRDefault="00492D76" w:rsidP="00492D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>Evaluate whether SMS reminders make a difference</w:t>
      </w:r>
    </w:p>
    <w:p w14:paraId="4EB352F7" w14:textId="77777777" w:rsidR="00492D76" w:rsidRPr="00492D76" w:rsidRDefault="00492D76" w:rsidP="00492D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>Analyze the role of chronic medical conditions like diabetes</w:t>
      </w:r>
    </w:p>
    <w:p w14:paraId="5082B954" w14:textId="77777777" w:rsidR="00492D76" w:rsidRPr="00492D76" w:rsidRDefault="00492D76" w:rsidP="00492D76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pict w14:anchorId="5A147396">
          <v:rect id="_x0000_i1028" style="width:0;height:1.5pt" o:hralign="center" o:hrstd="t" o:hr="t" fillcolor="#a0a0a0" stroked="f"/>
        </w:pict>
      </w:r>
    </w:p>
    <w:p w14:paraId="420CAA86" w14:textId="77777777" w:rsidR="00492D76" w:rsidRPr="00492D76" w:rsidRDefault="00492D76" w:rsidP="00492D7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:lang w:eastAsia="en-CA"/>
        </w:rPr>
      </w:pPr>
      <w:r w:rsidRPr="00492D76">
        <w:rPr>
          <w:rFonts w:ascii="Calibri" w:eastAsia="Times New Roman" w:hAnsi="Calibri" w:cs="Calibri"/>
          <w:b/>
          <w:bCs/>
          <w:sz w:val="36"/>
          <w:szCs w:val="36"/>
          <w:lang w:eastAsia="en-CA"/>
        </w:rPr>
        <w:t>3. Dataset Overview</w:t>
      </w:r>
    </w:p>
    <w:p w14:paraId="7AF6BCCE" w14:textId="77777777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>The dataset contains medical appointment records from a public healthcare system. Each row represents a single appointment and includes information about the patient and the appointment itself.</w:t>
      </w:r>
    </w:p>
    <w:p w14:paraId="66B61AC7" w14:textId="77777777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b/>
          <w:bCs/>
          <w:sz w:val="24"/>
          <w:szCs w:val="24"/>
          <w:lang w:eastAsia="en-CA"/>
        </w:rPr>
        <w:t>Key columns in the dataset: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5967"/>
      </w:tblGrid>
      <w:tr w:rsidR="00492D76" w:rsidRPr="00492D76" w14:paraId="2B76BABA" w14:textId="77777777" w:rsidTr="00492D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E2C84" w14:textId="77777777" w:rsidR="00492D76" w:rsidRPr="00492D76" w:rsidRDefault="00492D76" w:rsidP="00492D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CA"/>
              </w:rPr>
            </w:pPr>
            <w:r w:rsidRPr="00492D76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CA"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4D6EB731" w14:textId="77777777" w:rsidR="00492D76" w:rsidRPr="00492D76" w:rsidRDefault="00492D76" w:rsidP="00492D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CA"/>
              </w:rPr>
            </w:pPr>
            <w:r w:rsidRPr="00492D76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CA"/>
              </w:rPr>
              <w:t>Description</w:t>
            </w:r>
          </w:p>
        </w:tc>
      </w:tr>
      <w:tr w:rsidR="00492D76" w:rsidRPr="00492D76" w14:paraId="4D95A0EC" w14:textId="77777777" w:rsidTr="00492D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648F1" w14:textId="77777777" w:rsidR="00492D76" w:rsidRPr="00492D76" w:rsidRDefault="00492D76" w:rsidP="00492D76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CA"/>
              </w:rPr>
            </w:pPr>
            <w:r w:rsidRPr="00492D76">
              <w:rPr>
                <w:rFonts w:ascii="Calibri" w:eastAsia="Times New Roman" w:hAnsi="Calibri" w:cs="Calibri"/>
                <w:sz w:val="24"/>
                <w:szCs w:val="24"/>
                <w:lang w:eastAsia="en-CA"/>
              </w:rPr>
              <w:t>AppointmentID</w:t>
            </w:r>
          </w:p>
        </w:tc>
        <w:tc>
          <w:tcPr>
            <w:tcW w:w="0" w:type="auto"/>
            <w:vAlign w:val="center"/>
            <w:hideMark/>
          </w:tcPr>
          <w:p w14:paraId="1188F116" w14:textId="77777777" w:rsidR="00492D76" w:rsidRPr="00492D76" w:rsidRDefault="00492D76" w:rsidP="00492D76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CA"/>
              </w:rPr>
            </w:pPr>
            <w:r w:rsidRPr="00492D76">
              <w:rPr>
                <w:rFonts w:ascii="Calibri" w:eastAsia="Times New Roman" w:hAnsi="Calibri" w:cs="Calibri"/>
                <w:sz w:val="24"/>
                <w:szCs w:val="24"/>
                <w:lang w:eastAsia="en-CA"/>
              </w:rPr>
              <w:t>Unique identifier for each appointment</w:t>
            </w:r>
          </w:p>
        </w:tc>
      </w:tr>
      <w:tr w:rsidR="00492D76" w:rsidRPr="00492D76" w14:paraId="1B20414E" w14:textId="77777777" w:rsidTr="00492D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B65F7" w14:textId="77777777" w:rsidR="00492D76" w:rsidRPr="00492D76" w:rsidRDefault="00492D76" w:rsidP="00492D76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CA"/>
              </w:rPr>
            </w:pPr>
            <w:r w:rsidRPr="00492D76">
              <w:rPr>
                <w:rFonts w:ascii="Calibri" w:eastAsia="Times New Roman" w:hAnsi="Calibri" w:cs="Calibri"/>
                <w:sz w:val="24"/>
                <w:szCs w:val="24"/>
                <w:lang w:eastAsia="en-CA"/>
              </w:rPr>
              <w:t>PatientID</w:t>
            </w:r>
          </w:p>
        </w:tc>
        <w:tc>
          <w:tcPr>
            <w:tcW w:w="0" w:type="auto"/>
            <w:vAlign w:val="center"/>
            <w:hideMark/>
          </w:tcPr>
          <w:p w14:paraId="67935B3E" w14:textId="77777777" w:rsidR="00492D76" w:rsidRPr="00492D76" w:rsidRDefault="00492D76" w:rsidP="00492D76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CA"/>
              </w:rPr>
            </w:pPr>
            <w:r w:rsidRPr="00492D76">
              <w:rPr>
                <w:rFonts w:ascii="Calibri" w:eastAsia="Times New Roman" w:hAnsi="Calibri" w:cs="Calibri"/>
                <w:sz w:val="24"/>
                <w:szCs w:val="24"/>
                <w:lang w:eastAsia="en-CA"/>
              </w:rPr>
              <w:t>Unique identifier per patient</w:t>
            </w:r>
          </w:p>
        </w:tc>
      </w:tr>
      <w:tr w:rsidR="00492D76" w:rsidRPr="00492D76" w14:paraId="51D79523" w14:textId="77777777" w:rsidTr="00492D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5FECA" w14:textId="77777777" w:rsidR="00492D76" w:rsidRPr="00492D76" w:rsidRDefault="00492D76" w:rsidP="00492D76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CA"/>
              </w:rPr>
            </w:pPr>
            <w:r w:rsidRPr="00492D76">
              <w:rPr>
                <w:rFonts w:ascii="Calibri" w:eastAsia="Times New Roman" w:hAnsi="Calibri" w:cs="Calibri"/>
                <w:sz w:val="24"/>
                <w:szCs w:val="24"/>
                <w:lang w:eastAsia="en-CA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2CBC60BA" w14:textId="77777777" w:rsidR="00492D76" w:rsidRPr="00492D76" w:rsidRDefault="00492D76" w:rsidP="00492D76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CA"/>
              </w:rPr>
            </w:pPr>
            <w:r w:rsidRPr="00492D76">
              <w:rPr>
                <w:rFonts w:ascii="Calibri" w:eastAsia="Times New Roman" w:hAnsi="Calibri" w:cs="Calibri"/>
                <w:sz w:val="24"/>
                <w:szCs w:val="24"/>
                <w:lang w:eastAsia="en-CA"/>
              </w:rPr>
              <w:t>Patient gender (Male / Female)</w:t>
            </w:r>
          </w:p>
        </w:tc>
      </w:tr>
      <w:tr w:rsidR="00492D76" w:rsidRPr="00492D76" w14:paraId="00CA6719" w14:textId="77777777" w:rsidTr="00492D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14A30" w14:textId="77777777" w:rsidR="00492D76" w:rsidRPr="00492D76" w:rsidRDefault="00492D76" w:rsidP="00492D76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CA"/>
              </w:rPr>
            </w:pPr>
            <w:r w:rsidRPr="00492D76">
              <w:rPr>
                <w:rFonts w:ascii="Calibri" w:eastAsia="Times New Roman" w:hAnsi="Calibri" w:cs="Calibri"/>
                <w:sz w:val="24"/>
                <w:szCs w:val="24"/>
                <w:lang w:eastAsia="en-CA"/>
              </w:rPr>
              <w:t>ScheduledDay</w:t>
            </w:r>
          </w:p>
        </w:tc>
        <w:tc>
          <w:tcPr>
            <w:tcW w:w="0" w:type="auto"/>
            <w:vAlign w:val="center"/>
            <w:hideMark/>
          </w:tcPr>
          <w:p w14:paraId="3907F18C" w14:textId="77777777" w:rsidR="00492D76" w:rsidRPr="00492D76" w:rsidRDefault="00492D76" w:rsidP="00492D76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CA"/>
              </w:rPr>
            </w:pPr>
            <w:r w:rsidRPr="00492D76">
              <w:rPr>
                <w:rFonts w:ascii="Calibri" w:eastAsia="Times New Roman" w:hAnsi="Calibri" w:cs="Calibri"/>
                <w:sz w:val="24"/>
                <w:szCs w:val="24"/>
                <w:lang w:eastAsia="en-CA"/>
              </w:rPr>
              <w:t>Date the appointment was booked</w:t>
            </w:r>
          </w:p>
        </w:tc>
      </w:tr>
      <w:tr w:rsidR="00492D76" w:rsidRPr="00492D76" w14:paraId="4E74964F" w14:textId="77777777" w:rsidTr="00492D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1D863" w14:textId="77777777" w:rsidR="00492D76" w:rsidRPr="00492D76" w:rsidRDefault="00492D76" w:rsidP="00492D76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CA"/>
              </w:rPr>
            </w:pPr>
            <w:r w:rsidRPr="00492D76">
              <w:rPr>
                <w:rFonts w:ascii="Calibri" w:eastAsia="Times New Roman" w:hAnsi="Calibri" w:cs="Calibri"/>
                <w:sz w:val="24"/>
                <w:szCs w:val="24"/>
                <w:lang w:eastAsia="en-CA"/>
              </w:rPr>
              <w:t>AppointmentDay</w:t>
            </w:r>
          </w:p>
        </w:tc>
        <w:tc>
          <w:tcPr>
            <w:tcW w:w="0" w:type="auto"/>
            <w:vAlign w:val="center"/>
            <w:hideMark/>
          </w:tcPr>
          <w:p w14:paraId="4637318C" w14:textId="77777777" w:rsidR="00492D76" w:rsidRPr="00492D76" w:rsidRDefault="00492D76" w:rsidP="00492D76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CA"/>
              </w:rPr>
            </w:pPr>
            <w:r w:rsidRPr="00492D76">
              <w:rPr>
                <w:rFonts w:ascii="Calibri" w:eastAsia="Times New Roman" w:hAnsi="Calibri" w:cs="Calibri"/>
                <w:sz w:val="24"/>
                <w:szCs w:val="24"/>
                <w:lang w:eastAsia="en-CA"/>
              </w:rPr>
              <w:t>Actual appointment date</w:t>
            </w:r>
          </w:p>
        </w:tc>
      </w:tr>
      <w:tr w:rsidR="00492D76" w:rsidRPr="00492D76" w14:paraId="32019D47" w14:textId="77777777" w:rsidTr="00492D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7355B" w14:textId="77777777" w:rsidR="00492D76" w:rsidRPr="00492D76" w:rsidRDefault="00492D76" w:rsidP="00492D76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CA"/>
              </w:rPr>
            </w:pPr>
            <w:r w:rsidRPr="00492D76">
              <w:rPr>
                <w:rFonts w:ascii="Calibri" w:eastAsia="Times New Roman" w:hAnsi="Calibri" w:cs="Calibri"/>
                <w:sz w:val="24"/>
                <w:szCs w:val="24"/>
                <w:lang w:eastAsia="en-CA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486CA09" w14:textId="77777777" w:rsidR="00492D76" w:rsidRPr="00492D76" w:rsidRDefault="00492D76" w:rsidP="00492D76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CA"/>
              </w:rPr>
            </w:pPr>
            <w:r w:rsidRPr="00492D76">
              <w:rPr>
                <w:rFonts w:ascii="Calibri" w:eastAsia="Times New Roman" w:hAnsi="Calibri" w:cs="Calibri"/>
                <w:sz w:val="24"/>
                <w:szCs w:val="24"/>
                <w:lang w:eastAsia="en-CA"/>
              </w:rPr>
              <w:t>Patient age</w:t>
            </w:r>
          </w:p>
        </w:tc>
      </w:tr>
      <w:tr w:rsidR="00492D76" w:rsidRPr="00492D76" w14:paraId="2A452B41" w14:textId="77777777" w:rsidTr="00492D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B76C0" w14:textId="77777777" w:rsidR="00492D76" w:rsidRPr="00492D76" w:rsidRDefault="00492D76" w:rsidP="00492D76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CA"/>
              </w:rPr>
            </w:pPr>
            <w:r w:rsidRPr="00492D76">
              <w:rPr>
                <w:rFonts w:ascii="Calibri" w:eastAsia="Times New Roman" w:hAnsi="Calibri" w:cs="Calibri"/>
                <w:sz w:val="24"/>
                <w:szCs w:val="24"/>
                <w:lang w:eastAsia="en-CA"/>
              </w:rPr>
              <w:t>Neighbourhood</w:t>
            </w:r>
          </w:p>
        </w:tc>
        <w:tc>
          <w:tcPr>
            <w:tcW w:w="0" w:type="auto"/>
            <w:vAlign w:val="center"/>
            <w:hideMark/>
          </w:tcPr>
          <w:p w14:paraId="040761F2" w14:textId="77777777" w:rsidR="00492D76" w:rsidRPr="00492D76" w:rsidRDefault="00492D76" w:rsidP="00492D76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CA"/>
              </w:rPr>
            </w:pPr>
            <w:r w:rsidRPr="00492D76">
              <w:rPr>
                <w:rFonts w:ascii="Calibri" w:eastAsia="Times New Roman" w:hAnsi="Calibri" w:cs="Calibri"/>
                <w:sz w:val="24"/>
                <w:szCs w:val="24"/>
                <w:lang w:eastAsia="en-CA"/>
              </w:rPr>
              <w:t>Location/area of the clinic</w:t>
            </w:r>
          </w:p>
        </w:tc>
      </w:tr>
      <w:tr w:rsidR="00492D76" w:rsidRPr="00492D76" w14:paraId="372BB409" w14:textId="77777777" w:rsidTr="00492D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918C6" w14:textId="77777777" w:rsidR="00492D76" w:rsidRPr="00492D76" w:rsidRDefault="00492D76" w:rsidP="00492D76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CA"/>
              </w:rPr>
            </w:pPr>
            <w:r w:rsidRPr="00492D76">
              <w:rPr>
                <w:rFonts w:ascii="Calibri" w:eastAsia="Times New Roman" w:hAnsi="Calibri" w:cs="Calibri"/>
                <w:sz w:val="24"/>
                <w:szCs w:val="24"/>
                <w:lang w:eastAsia="en-CA"/>
              </w:rPr>
              <w:t>Scholarship</w:t>
            </w:r>
          </w:p>
        </w:tc>
        <w:tc>
          <w:tcPr>
            <w:tcW w:w="0" w:type="auto"/>
            <w:vAlign w:val="center"/>
            <w:hideMark/>
          </w:tcPr>
          <w:p w14:paraId="1E58290E" w14:textId="77777777" w:rsidR="00492D76" w:rsidRPr="00492D76" w:rsidRDefault="00492D76" w:rsidP="00492D76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CA"/>
              </w:rPr>
            </w:pPr>
            <w:r w:rsidRPr="00492D76">
              <w:rPr>
                <w:rFonts w:ascii="Calibri" w:eastAsia="Times New Roman" w:hAnsi="Calibri" w:cs="Calibri"/>
                <w:sz w:val="24"/>
                <w:szCs w:val="24"/>
                <w:lang w:eastAsia="en-CA"/>
              </w:rPr>
              <w:t>Whether the patient is enrolled in a welfare program</w:t>
            </w:r>
          </w:p>
        </w:tc>
      </w:tr>
      <w:tr w:rsidR="00492D76" w:rsidRPr="00492D76" w14:paraId="13468A1B" w14:textId="77777777" w:rsidTr="00492D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68EB8" w14:textId="77777777" w:rsidR="00492D76" w:rsidRPr="00492D76" w:rsidRDefault="00492D76" w:rsidP="00492D76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CA"/>
              </w:rPr>
            </w:pPr>
            <w:r w:rsidRPr="00492D76">
              <w:rPr>
                <w:rFonts w:ascii="Calibri" w:eastAsia="Times New Roman" w:hAnsi="Calibri" w:cs="Calibri"/>
                <w:sz w:val="24"/>
                <w:szCs w:val="24"/>
                <w:lang w:eastAsia="en-CA"/>
              </w:rPr>
              <w:t>Hipertension</w:t>
            </w:r>
          </w:p>
        </w:tc>
        <w:tc>
          <w:tcPr>
            <w:tcW w:w="0" w:type="auto"/>
            <w:vAlign w:val="center"/>
            <w:hideMark/>
          </w:tcPr>
          <w:p w14:paraId="6ABDED53" w14:textId="77777777" w:rsidR="00492D76" w:rsidRPr="00492D76" w:rsidRDefault="00492D76" w:rsidP="00492D76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CA"/>
              </w:rPr>
            </w:pPr>
            <w:r w:rsidRPr="00492D76">
              <w:rPr>
                <w:rFonts w:ascii="Calibri" w:eastAsia="Times New Roman" w:hAnsi="Calibri" w:cs="Calibri"/>
                <w:sz w:val="24"/>
                <w:szCs w:val="24"/>
                <w:lang w:eastAsia="en-CA"/>
              </w:rPr>
              <w:t>Whether the patient has hypertension</w:t>
            </w:r>
          </w:p>
        </w:tc>
      </w:tr>
      <w:tr w:rsidR="00492D76" w:rsidRPr="00492D76" w14:paraId="6CD92467" w14:textId="77777777" w:rsidTr="00492D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CF871" w14:textId="77777777" w:rsidR="00492D76" w:rsidRPr="00492D76" w:rsidRDefault="00492D76" w:rsidP="00492D76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CA"/>
              </w:rPr>
            </w:pPr>
            <w:r w:rsidRPr="00492D76">
              <w:rPr>
                <w:rFonts w:ascii="Calibri" w:eastAsia="Times New Roman" w:hAnsi="Calibri" w:cs="Calibri"/>
                <w:sz w:val="24"/>
                <w:szCs w:val="24"/>
                <w:lang w:eastAsia="en-CA"/>
              </w:rPr>
              <w:t>Diabetes</w:t>
            </w:r>
          </w:p>
        </w:tc>
        <w:tc>
          <w:tcPr>
            <w:tcW w:w="0" w:type="auto"/>
            <w:vAlign w:val="center"/>
            <w:hideMark/>
          </w:tcPr>
          <w:p w14:paraId="1C43B73B" w14:textId="77777777" w:rsidR="00492D76" w:rsidRPr="00492D76" w:rsidRDefault="00492D76" w:rsidP="00492D76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CA"/>
              </w:rPr>
            </w:pPr>
            <w:r w:rsidRPr="00492D76">
              <w:rPr>
                <w:rFonts w:ascii="Calibri" w:eastAsia="Times New Roman" w:hAnsi="Calibri" w:cs="Calibri"/>
                <w:sz w:val="24"/>
                <w:szCs w:val="24"/>
                <w:lang w:eastAsia="en-CA"/>
              </w:rPr>
              <w:t>Whether the patient has diabetes</w:t>
            </w:r>
          </w:p>
        </w:tc>
      </w:tr>
      <w:tr w:rsidR="00492D76" w:rsidRPr="00492D76" w14:paraId="0C69C38D" w14:textId="77777777" w:rsidTr="00492D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678AE" w14:textId="77777777" w:rsidR="00492D76" w:rsidRPr="00492D76" w:rsidRDefault="00492D76" w:rsidP="00492D76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CA"/>
              </w:rPr>
            </w:pPr>
            <w:r w:rsidRPr="00492D76">
              <w:rPr>
                <w:rFonts w:ascii="Calibri" w:eastAsia="Times New Roman" w:hAnsi="Calibri" w:cs="Calibri"/>
                <w:sz w:val="24"/>
                <w:szCs w:val="24"/>
                <w:lang w:eastAsia="en-CA"/>
              </w:rPr>
              <w:t>Alcoholism</w:t>
            </w:r>
          </w:p>
        </w:tc>
        <w:tc>
          <w:tcPr>
            <w:tcW w:w="0" w:type="auto"/>
            <w:vAlign w:val="center"/>
            <w:hideMark/>
          </w:tcPr>
          <w:p w14:paraId="4D608F64" w14:textId="77777777" w:rsidR="00492D76" w:rsidRPr="00492D76" w:rsidRDefault="00492D76" w:rsidP="00492D76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CA"/>
              </w:rPr>
            </w:pPr>
            <w:r w:rsidRPr="00492D76">
              <w:rPr>
                <w:rFonts w:ascii="Calibri" w:eastAsia="Times New Roman" w:hAnsi="Calibri" w:cs="Calibri"/>
                <w:sz w:val="24"/>
                <w:szCs w:val="24"/>
                <w:lang w:eastAsia="en-CA"/>
              </w:rPr>
              <w:t>Whether the patient has alcoholism</w:t>
            </w:r>
          </w:p>
        </w:tc>
      </w:tr>
      <w:tr w:rsidR="00492D76" w:rsidRPr="00492D76" w14:paraId="147D423C" w14:textId="77777777" w:rsidTr="00492D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FB1FE" w14:textId="77777777" w:rsidR="00492D76" w:rsidRPr="00492D76" w:rsidRDefault="00492D76" w:rsidP="00492D76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CA"/>
              </w:rPr>
            </w:pPr>
            <w:r w:rsidRPr="00492D76">
              <w:rPr>
                <w:rFonts w:ascii="Calibri" w:eastAsia="Times New Roman" w:hAnsi="Calibri" w:cs="Calibri"/>
                <w:sz w:val="24"/>
                <w:szCs w:val="24"/>
                <w:lang w:eastAsia="en-CA"/>
              </w:rPr>
              <w:t>SMS_received</w:t>
            </w:r>
          </w:p>
        </w:tc>
        <w:tc>
          <w:tcPr>
            <w:tcW w:w="0" w:type="auto"/>
            <w:vAlign w:val="center"/>
            <w:hideMark/>
          </w:tcPr>
          <w:p w14:paraId="4DDC38D6" w14:textId="77777777" w:rsidR="00492D76" w:rsidRPr="00492D76" w:rsidRDefault="00492D76" w:rsidP="00492D76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CA"/>
              </w:rPr>
            </w:pPr>
            <w:r w:rsidRPr="00492D76">
              <w:rPr>
                <w:rFonts w:ascii="Calibri" w:eastAsia="Times New Roman" w:hAnsi="Calibri" w:cs="Calibri"/>
                <w:sz w:val="24"/>
                <w:szCs w:val="24"/>
                <w:lang w:eastAsia="en-CA"/>
              </w:rPr>
              <w:t>Whether a reminder SMS was sent (1 = Yes)</w:t>
            </w:r>
          </w:p>
        </w:tc>
      </w:tr>
      <w:tr w:rsidR="00492D76" w:rsidRPr="00492D76" w14:paraId="0DDD51DD" w14:textId="77777777" w:rsidTr="00492D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2BF21" w14:textId="77777777" w:rsidR="00492D76" w:rsidRPr="00492D76" w:rsidRDefault="00492D76" w:rsidP="00492D76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CA"/>
              </w:rPr>
            </w:pPr>
            <w:r w:rsidRPr="00492D76">
              <w:rPr>
                <w:rFonts w:ascii="Calibri" w:eastAsia="Times New Roman" w:hAnsi="Calibri" w:cs="Calibri"/>
                <w:sz w:val="24"/>
                <w:szCs w:val="24"/>
                <w:lang w:eastAsia="en-CA"/>
              </w:rPr>
              <w:t>No-show</w:t>
            </w:r>
          </w:p>
        </w:tc>
        <w:tc>
          <w:tcPr>
            <w:tcW w:w="0" w:type="auto"/>
            <w:vAlign w:val="center"/>
            <w:hideMark/>
          </w:tcPr>
          <w:p w14:paraId="7B4B2BD4" w14:textId="77777777" w:rsidR="00492D76" w:rsidRPr="00492D76" w:rsidRDefault="00492D76" w:rsidP="00492D76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CA"/>
              </w:rPr>
            </w:pPr>
            <w:r w:rsidRPr="00492D76">
              <w:rPr>
                <w:rFonts w:ascii="Calibri" w:eastAsia="Times New Roman" w:hAnsi="Calibri" w:cs="Calibri"/>
                <w:sz w:val="24"/>
                <w:szCs w:val="24"/>
                <w:lang w:eastAsia="en-CA"/>
              </w:rPr>
              <w:t>Target variable — "Yes" means the patient did NOT show up</w:t>
            </w:r>
          </w:p>
        </w:tc>
      </w:tr>
    </w:tbl>
    <w:p w14:paraId="7E9A49D9" w14:textId="77777777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b/>
          <w:bCs/>
          <w:sz w:val="24"/>
          <w:szCs w:val="24"/>
          <w:lang w:eastAsia="en-CA"/>
        </w:rPr>
        <w:t>Dataset Size: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~71,959 appointments across 80 neighborhoods</w:t>
      </w:r>
    </w:p>
    <w:p w14:paraId="000FFD60" w14:textId="77777777" w:rsidR="00492D76" w:rsidRPr="00492D76" w:rsidRDefault="00492D76" w:rsidP="00492D76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pict w14:anchorId="5DA31E2D">
          <v:rect id="_x0000_i1029" style="width:0;height:1.5pt" o:hralign="center" o:hrstd="t" o:hr="t" fillcolor="#a0a0a0" stroked="f"/>
        </w:pict>
      </w:r>
    </w:p>
    <w:p w14:paraId="007802F4" w14:textId="77777777" w:rsidR="00492D76" w:rsidRPr="00492D76" w:rsidRDefault="00492D76" w:rsidP="00492D7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:lang w:eastAsia="en-CA"/>
        </w:rPr>
      </w:pPr>
      <w:r w:rsidRPr="00492D76">
        <w:rPr>
          <w:rFonts w:ascii="Calibri" w:eastAsia="Times New Roman" w:hAnsi="Calibri" w:cs="Calibri"/>
          <w:b/>
          <w:bCs/>
          <w:sz w:val="36"/>
          <w:szCs w:val="36"/>
          <w:lang w:eastAsia="en-CA"/>
        </w:rPr>
        <w:t>4. Data Cleaning and Preprocessing</w:t>
      </w:r>
    </w:p>
    <w:p w14:paraId="1715EB2A" w14:textId="77777777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>Before jumping into analysis, the raw data needed cleaning. The following steps were performed:</w:t>
      </w:r>
    </w:p>
    <w:p w14:paraId="3EEB64F2" w14:textId="77777777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b/>
          <w:bCs/>
          <w:sz w:val="24"/>
          <w:szCs w:val="24"/>
          <w:lang w:eastAsia="en-CA"/>
        </w:rPr>
        <w:t>Checked for missing values and duplicates: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The dataset was checked for null values and duplicate rows. No missing values were found. Any duplicate rows detected were dropped.</w:t>
      </w:r>
    </w:p>
    <w:p w14:paraId="678C6CC5" w14:textId="77777777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b/>
          <w:bCs/>
          <w:sz w:val="24"/>
          <w:szCs w:val="24"/>
          <w:lang w:eastAsia="en-CA"/>
        </w:rPr>
        <w:t>Converted date columns: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</w:t>
      </w:r>
      <w:r w:rsidRPr="00492D76">
        <w:rPr>
          <w:rFonts w:ascii="Calibri" w:eastAsia="Times New Roman" w:hAnsi="Calibri" w:cs="Calibri"/>
          <w:sz w:val="20"/>
          <w:szCs w:val="20"/>
          <w:lang w:eastAsia="en-CA"/>
        </w:rPr>
        <w:t>ScheduledDay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and </w:t>
      </w:r>
      <w:r w:rsidRPr="00492D76">
        <w:rPr>
          <w:rFonts w:ascii="Calibri" w:eastAsia="Times New Roman" w:hAnsi="Calibri" w:cs="Calibri"/>
          <w:sz w:val="20"/>
          <w:szCs w:val="20"/>
          <w:lang w:eastAsia="en-CA"/>
        </w:rPr>
        <w:t>AppointmentDay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were converted to proper datetime format using pandas so time-based calculations would work correctly.</w:t>
      </w:r>
    </w:p>
    <w:p w14:paraId="1135A36D" w14:textId="77777777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b/>
          <w:bCs/>
          <w:sz w:val="24"/>
          <w:szCs w:val="24"/>
          <w:lang w:eastAsia="en-CA"/>
        </w:rPr>
        <w:t>Created the target variable as numeric: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The </w:t>
      </w:r>
      <w:r w:rsidRPr="00492D76">
        <w:rPr>
          <w:rFonts w:ascii="Calibri" w:eastAsia="Times New Roman" w:hAnsi="Calibri" w:cs="Calibri"/>
          <w:sz w:val="20"/>
          <w:szCs w:val="20"/>
          <w:lang w:eastAsia="en-CA"/>
        </w:rPr>
        <w:t>No-show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column (values "Yes"/"No") was mapped to a binary </w:t>
      </w:r>
      <w:r w:rsidRPr="00492D76">
        <w:rPr>
          <w:rFonts w:ascii="Calibri" w:eastAsia="Times New Roman" w:hAnsi="Calibri" w:cs="Calibri"/>
          <w:sz w:val="20"/>
          <w:szCs w:val="20"/>
          <w:lang w:eastAsia="en-CA"/>
        </w:rPr>
        <w:t>NoShowFlag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column (1 = no-show, 0 = attended) for easier numerical analysis.</w:t>
      </w:r>
    </w:p>
    <w:p w14:paraId="51CB489D" w14:textId="77777777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b/>
          <w:bCs/>
          <w:sz w:val="24"/>
          <w:szCs w:val="24"/>
          <w:lang w:eastAsia="en-CA"/>
        </w:rPr>
        <w:t>Extracted calendar features: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</w:t>
      </w:r>
      <w:r w:rsidRPr="00492D76">
        <w:rPr>
          <w:rFonts w:ascii="Calibri" w:eastAsia="Times New Roman" w:hAnsi="Calibri" w:cs="Calibri"/>
          <w:sz w:val="20"/>
          <w:szCs w:val="20"/>
          <w:lang w:eastAsia="en-CA"/>
        </w:rPr>
        <w:t>ScheduledWeekday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and </w:t>
      </w:r>
      <w:r w:rsidRPr="00492D76">
        <w:rPr>
          <w:rFonts w:ascii="Calibri" w:eastAsia="Times New Roman" w:hAnsi="Calibri" w:cs="Calibri"/>
          <w:sz w:val="20"/>
          <w:szCs w:val="20"/>
          <w:lang w:eastAsia="en-CA"/>
        </w:rPr>
        <w:t>AppointmentWeekday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were derived from the date columns to support weekday-level analysis.</w:t>
      </w:r>
    </w:p>
    <w:p w14:paraId="7EAD9BD4" w14:textId="77777777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b/>
          <w:bCs/>
          <w:sz w:val="24"/>
          <w:szCs w:val="24"/>
          <w:lang w:eastAsia="en-CA"/>
        </w:rPr>
        <w:t>Created age groups: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Patients were grouped into five age bands — Child/Young Adult (0–18), Young Adult (18–35), Adult (35–50), Senior (50–65), and Elder (65+) — to support cohort comparisons.</w:t>
      </w:r>
    </w:p>
    <w:p w14:paraId="65400A53" w14:textId="77777777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b/>
          <w:bCs/>
          <w:sz w:val="24"/>
          <w:szCs w:val="24"/>
          <w:lang w:eastAsia="en-CA"/>
        </w:rPr>
        <w:lastRenderedPageBreak/>
        <w:t>Removed invalid age records: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Records with a negative age value were identified and removed.</w:t>
      </w:r>
    </w:p>
    <w:p w14:paraId="64D90B29" w14:textId="77777777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b/>
          <w:bCs/>
          <w:sz w:val="24"/>
          <w:szCs w:val="24"/>
          <w:lang w:eastAsia="en-CA"/>
        </w:rPr>
        <w:t>Calculated waiting time: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A new column </w:t>
      </w:r>
      <w:r w:rsidRPr="00492D76">
        <w:rPr>
          <w:rFonts w:ascii="Calibri" w:eastAsia="Times New Roman" w:hAnsi="Calibri" w:cs="Calibri"/>
          <w:sz w:val="20"/>
          <w:szCs w:val="20"/>
          <w:lang w:eastAsia="en-CA"/>
        </w:rPr>
        <w:t>WaitingDays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was created by subtracting </w:t>
      </w:r>
      <w:r w:rsidRPr="00492D76">
        <w:rPr>
          <w:rFonts w:ascii="Calibri" w:eastAsia="Times New Roman" w:hAnsi="Calibri" w:cs="Calibri"/>
          <w:sz w:val="20"/>
          <w:szCs w:val="20"/>
          <w:lang w:eastAsia="en-CA"/>
        </w:rPr>
        <w:t>ScheduledDay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from </w:t>
      </w:r>
      <w:r w:rsidRPr="00492D76">
        <w:rPr>
          <w:rFonts w:ascii="Calibri" w:eastAsia="Times New Roman" w:hAnsi="Calibri" w:cs="Calibri"/>
          <w:sz w:val="20"/>
          <w:szCs w:val="20"/>
          <w:lang w:eastAsia="en-CA"/>
        </w:rPr>
        <w:t>AppointmentDay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>. Records with negative waiting days (appointment before scheduling date — logically impossible) were removed.</w:t>
      </w:r>
    </w:p>
    <w:p w14:paraId="758E0B25" w14:textId="77777777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b/>
          <w:bCs/>
          <w:sz w:val="24"/>
          <w:szCs w:val="24"/>
          <w:lang w:eastAsia="en-CA"/>
        </w:rPr>
        <w:t>Categorized waiting time: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</w:t>
      </w:r>
      <w:r w:rsidRPr="00492D76">
        <w:rPr>
          <w:rFonts w:ascii="Calibri" w:eastAsia="Times New Roman" w:hAnsi="Calibri" w:cs="Calibri"/>
          <w:sz w:val="20"/>
          <w:szCs w:val="20"/>
          <w:lang w:eastAsia="en-CA"/>
        </w:rPr>
        <w:t>WaitingDays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was binned into six categories — Same Day, 1–3 Days, 4–7 Days, 8–15 Days, 16–30 Days, and 30+ Days — for easier analysis and visualization.</w:t>
      </w:r>
    </w:p>
    <w:p w14:paraId="654E6FD1" w14:textId="77777777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b/>
          <w:bCs/>
          <w:sz w:val="24"/>
          <w:szCs w:val="24"/>
          <w:lang w:eastAsia="en-CA"/>
        </w:rPr>
        <w:t>Exported cleaned data: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The final cleaned dataset was exported as </w:t>
      </w:r>
      <w:r w:rsidRPr="00492D76">
        <w:rPr>
          <w:rFonts w:ascii="Calibri" w:eastAsia="Times New Roman" w:hAnsi="Calibri" w:cs="Calibri"/>
          <w:sz w:val="20"/>
          <w:szCs w:val="20"/>
          <w:lang w:eastAsia="en-CA"/>
        </w:rPr>
        <w:t>healthcare_cleaned_final.csv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for use in Power BI dashboards.</w:t>
      </w:r>
    </w:p>
    <w:p w14:paraId="0D249BFE" w14:textId="77777777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All preprocessing was done using </w:t>
      </w:r>
      <w:r w:rsidRPr="00492D76">
        <w:rPr>
          <w:rFonts w:ascii="Calibri" w:eastAsia="Times New Roman" w:hAnsi="Calibri" w:cs="Calibri"/>
          <w:b/>
          <w:bCs/>
          <w:sz w:val="24"/>
          <w:szCs w:val="24"/>
          <w:lang w:eastAsia="en-CA"/>
        </w:rPr>
        <w:t>pandas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in Python.</w:t>
      </w:r>
    </w:p>
    <w:p w14:paraId="50810470" w14:textId="77777777" w:rsidR="00492D76" w:rsidRPr="00492D76" w:rsidRDefault="00492D76" w:rsidP="00492D76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pict w14:anchorId="55C998A3">
          <v:rect id="_x0000_i1030" style="width:0;height:1.5pt" o:hralign="center" o:hrstd="t" o:hr="t" fillcolor="#a0a0a0" stroked="f"/>
        </w:pict>
      </w:r>
    </w:p>
    <w:p w14:paraId="00941A21" w14:textId="77777777" w:rsidR="00492D76" w:rsidRPr="00492D76" w:rsidRDefault="00492D76" w:rsidP="00492D7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:lang w:eastAsia="en-CA"/>
        </w:rPr>
      </w:pPr>
      <w:r w:rsidRPr="00492D76">
        <w:rPr>
          <w:rFonts w:ascii="Calibri" w:eastAsia="Times New Roman" w:hAnsi="Calibri" w:cs="Calibri"/>
          <w:b/>
          <w:bCs/>
          <w:sz w:val="36"/>
          <w:szCs w:val="36"/>
          <w:lang w:eastAsia="en-CA"/>
        </w:rPr>
        <w:t>5. Exploratory Data Analysis</w:t>
      </w:r>
    </w:p>
    <w:p w14:paraId="4CBB0482" w14:textId="77777777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The EDA phase involved analyzing the cleaned data with Python — using </w:t>
      </w:r>
      <w:r w:rsidRPr="00492D76">
        <w:rPr>
          <w:rFonts w:ascii="Calibri" w:eastAsia="Times New Roman" w:hAnsi="Calibri" w:cs="Calibri"/>
          <w:b/>
          <w:bCs/>
          <w:sz w:val="24"/>
          <w:szCs w:val="24"/>
          <w:lang w:eastAsia="en-CA"/>
        </w:rPr>
        <w:t>Matplotlib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and </w:t>
      </w:r>
      <w:r w:rsidRPr="00492D76">
        <w:rPr>
          <w:rFonts w:ascii="Calibri" w:eastAsia="Times New Roman" w:hAnsi="Calibri" w:cs="Calibri"/>
          <w:b/>
          <w:bCs/>
          <w:sz w:val="24"/>
          <w:szCs w:val="24"/>
          <w:lang w:eastAsia="en-CA"/>
        </w:rPr>
        <w:t>Seaborn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— to spot patterns before building the dashboards.</w:t>
      </w:r>
    </w:p>
    <w:p w14:paraId="3DA8C2A0" w14:textId="77777777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b/>
          <w:bCs/>
          <w:sz w:val="24"/>
          <w:szCs w:val="24"/>
          <w:lang w:eastAsia="en-CA"/>
        </w:rPr>
        <w:t>No-Show Rate: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After cleaning, the overall no-show rate was calculated. Roughly 28.52% of appointments were no-shows — meaning more than one in four booked appointments went unattended.</w:t>
      </w:r>
    </w:p>
    <w:p w14:paraId="0E3F3970" w14:textId="77777777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b/>
          <w:bCs/>
          <w:sz w:val="24"/>
          <w:szCs w:val="24"/>
          <w:lang w:eastAsia="en-CA"/>
        </w:rPr>
        <w:t>Waiting Time: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The clearest pattern in the data was the relationship between waiting time and attendance. A cross-tabulation of </w:t>
      </w:r>
      <w:r w:rsidRPr="00492D76">
        <w:rPr>
          <w:rFonts w:ascii="Calibri" w:eastAsia="Times New Roman" w:hAnsi="Calibri" w:cs="Calibri"/>
          <w:sz w:val="20"/>
          <w:szCs w:val="20"/>
          <w:lang w:eastAsia="en-CA"/>
        </w:rPr>
        <w:t>WaitingCategory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vs </w:t>
      </w:r>
      <w:r w:rsidRPr="00492D76">
        <w:rPr>
          <w:rFonts w:ascii="Calibri" w:eastAsia="Times New Roman" w:hAnsi="Calibri" w:cs="Calibri"/>
          <w:sz w:val="20"/>
          <w:szCs w:val="20"/>
          <w:lang w:eastAsia="en-CA"/>
        </w:rPr>
        <w:t>No-show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showed that the no-show rate increased steadily from approximately 21% for same-day appointments to over 33% for appointments scheduled 30 or more days in advance. Patients with shorter waiting periods consistently showed lower no-show percentages.</w:t>
      </w:r>
    </w:p>
    <w:p w14:paraId="2A8B31D7" w14:textId="77777777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b/>
          <w:bCs/>
          <w:sz w:val="24"/>
          <w:szCs w:val="24"/>
          <w:lang w:eastAsia="en-CA"/>
        </w:rPr>
        <w:t>Gender: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A count plot of gender vs no-show was generated. Female patients made up a larger share of total appointments, but the no-show behavior was analyzed across both genders.</w:t>
      </w:r>
    </w:p>
    <w:p w14:paraId="3903C8C4" w14:textId="77777777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b/>
          <w:bCs/>
          <w:sz w:val="24"/>
          <w:szCs w:val="24"/>
          <w:lang w:eastAsia="en-CA"/>
        </w:rPr>
        <w:t>Age: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A box plot of age vs no-show was produced to compare the age distributions of patients who showed up vs those who didn't.</w:t>
      </w:r>
    </w:p>
    <w:p w14:paraId="6139E1DD" w14:textId="77777777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b/>
          <w:bCs/>
          <w:sz w:val="24"/>
          <w:szCs w:val="24"/>
          <w:lang w:eastAsia="en-CA"/>
        </w:rPr>
        <w:t>SMS Reminders: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A count plot of </w:t>
      </w:r>
      <w:r w:rsidRPr="00492D76">
        <w:rPr>
          <w:rFonts w:ascii="Calibri" w:eastAsia="Times New Roman" w:hAnsi="Calibri" w:cs="Calibri"/>
          <w:sz w:val="20"/>
          <w:szCs w:val="20"/>
          <w:lang w:eastAsia="en-CA"/>
        </w:rPr>
        <w:t>SMS_received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vs </w:t>
      </w:r>
      <w:r w:rsidRPr="00492D76">
        <w:rPr>
          <w:rFonts w:ascii="Calibri" w:eastAsia="Times New Roman" w:hAnsi="Calibri" w:cs="Calibri"/>
          <w:sz w:val="20"/>
          <w:szCs w:val="20"/>
          <w:lang w:eastAsia="en-CA"/>
        </w:rPr>
        <w:t>No-show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and a cross-tabulation were both generated. The analysis showed that patients receiving SMS reminders still exhibited significant no-show behavior, suggesting reminders alone are not sufficient.</w:t>
      </w:r>
    </w:p>
    <w:p w14:paraId="049AD340" w14:textId="77777777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b/>
          <w:bCs/>
          <w:sz w:val="24"/>
          <w:szCs w:val="24"/>
          <w:lang w:eastAsia="en-CA"/>
        </w:rPr>
        <w:t>Scholarship (Welfare Assistance):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A cross-tabulation showed that patients enrolled in financial assistance programs demonstrated slightly different attendance behavior compared to non-assisted patients. This variable was flagged as useful for dashboard segmentation.</w:t>
      </w:r>
    </w:p>
    <w:p w14:paraId="42A6EA4F" w14:textId="77777777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b/>
          <w:bCs/>
          <w:sz w:val="24"/>
          <w:szCs w:val="24"/>
          <w:lang w:eastAsia="en-CA"/>
        </w:rPr>
        <w:lastRenderedPageBreak/>
        <w:t>Medical Conditions — Diabetes: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A cross-tabulation of </w:t>
      </w:r>
      <w:r w:rsidRPr="00492D76">
        <w:rPr>
          <w:rFonts w:ascii="Calibri" w:eastAsia="Times New Roman" w:hAnsi="Calibri" w:cs="Calibri"/>
          <w:sz w:val="20"/>
          <w:szCs w:val="20"/>
          <w:lang w:eastAsia="en-CA"/>
        </w:rPr>
        <w:t>Diabetes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vs </w:t>
      </w:r>
      <w:r w:rsidRPr="00492D76">
        <w:rPr>
          <w:rFonts w:ascii="Calibri" w:eastAsia="Times New Roman" w:hAnsi="Calibri" w:cs="Calibri"/>
          <w:sz w:val="20"/>
          <w:szCs w:val="20"/>
          <w:lang w:eastAsia="en-CA"/>
        </w:rPr>
        <w:t>No-show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was performed. Patients with diabetes tended to attend appointments more consistently than the general population. This suggests chronic care patients may be more motivated to keep appointments.</w:t>
      </w:r>
    </w:p>
    <w:p w14:paraId="1877AB0C" w14:textId="77777777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b/>
          <w:bCs/>
          <w:sz w:val="24"/>
          <w:szCs w:val="24"/>
          <w:lang w:eastAsia="en-CA"/>
        </w:rPr>
        <w:t>Weekday Patterns: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No-show rates were calculated by </w:t>
      </w:r>
      <w:r w:rsidRPr="00492D76">
        <w:rPr>
          <w:rFonts w:ascii="Calibri" w:eastAsia="Times New Roman" w:hAnsi="Calibri" w:cs="Calibri"/>
          <w:sz w:val="20"/>
          <w:szCs w:val="20"/>
          <w:lang w:eastAsia="en-CA"/>
        </w:rPr>
        <w:t>AppointmentWeekday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>. The output was reviewed across Monday through Sunday to identify which days had higher missed appointment percentages.</w:t>
      </w:r>
    </w:p>
    <w:p w14:paraId="41E9B6BD" w14:textId="77777777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b/>
          <w:bCs/>
          <w:sz w:val="24"/>
          <w:szCs w:val="24"/>
          <w:lang w:eastAsia="en-CA"/>
        </w:rPr>
        <w:t>Neighborhoods: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The top 10 neighborhoods by no-show rate were calculated and printed, identifying which areas had the highest percentage of missed appointments.</w:t>
      </w:r>
    </w:p>
    <w:p w14:paraId="3E144029" w14:textId="77777777" w:rsidR="00492D76" w:rsidRPr="00492D76" w:rsidRDefault="00492D76" w:rsidP="00492D76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pict w14:anchorId="31F17B75">
          <v:rect id="_x0000_i1031" style="width:0;height:1.5pt" o:hralign="center" o:hrstd="t" o:hr="t" fillcolor="#a0a0a0" stroked="f"/>
        </w:pict>
      </w:r>
    </w:p>
    <w:p w14:paraId="436B1ABE" w14:textId="77777777" w:rsidR="00492D76" w:rsidRDefault="00492D76" w:rsidP="00492D7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:lang w:eastAsia="en-CA"/>
        </w:rPr>
      </w:pPr>
    </w:p>
    <w:p w14:paraId="018F5081" w14:textId="77777777" w:rsidR="00492D76" w:rsidRDefault="00492D76" w:rsidP="00492D7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:lang w:eastAsia="en-CA"/>
        </w:rPr>
      </w:pPr>
    </w:p>
    <w:p w14:paraId="70DE381E" w14:textId="77777777" w:rsidR="00492D76" w:rsidRDefault="00492D76" w:rsidP="00492D7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:lang w:eastAsia="en-CA"/>
        </w:rPr>
      </w:pPr>
    </w:p>
    <w:p w14:paraId="7D8B2409" w14:textId="77777777" w:rsidR="00492D76" w:rsidRDefault="00492D76" w:rsidP="00492D7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:lang w:eastAsia="en-CA"/>
        </w:rPr>
      </w:pPr>
    </w:p>
    <w:p w14:paraId="3855ED05" w14:textId="77777777" w:rsidR="00492D76" w:rsidRDefault="00492D76" w:rsidP="00492D7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:lang w:eastAsia="en-CA"/>
        </w:rPr>
      </w:pPr>
    </w:p>
    <w:p w14:paraId="6E45F65A" w14:textId="77777777" w:rsidR="00492D76" w:rsidRDefault="00492D76" w:rsidP="00492D7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:lang w:eastAsia="en-CA"/>
        </w:rPr>
      </w:pPr>
    </w:p>
    <w:p w14:paraId="273B614F" w14:textId="77777777" w:rsidR="00492D76" w:rsidRDefault="00492D76" w:rsidP="00492D7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:lang w:eastAsia="en-CA"/>
        </w:rPr>
      </w:pPr>
    </w:p>
    <w:p w14:paraId="1AEC7891" w14:textId="77777777" w:rsidR="00492D76" w:rsidRDefault="00492D76" w:rsidP="00492D7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:lang w:eastAsia="en-CA"/>
        </w:rPr>
      </w:pPr>
    </w:p>
    <w:p w14:paraId="52DD3B55" w14:textId="77777777" w:rsidR="00492D76" w:rsidRDefault="00492D76" w:rsidP="00492D7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:lang w:eastAsia="en-CA"/>
        </w:rPr>
      </w:pPr>
    </w:p>
    <w:p w14:paraId="28593CC2" w14:textId="77777777" w:rsidR="00492D76" w:rsidRDefault="00492D76" w:rsidP="00492D7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:lang w:eastAsia="en-CA"/>
        </w:rPr>
      </w:pPr>
    </w:p>
    <w:p w14:paraId="05BD8CD8" w14:textId="77777777" w:rsidR="00492D76" w:rsidRDefault="00492D76" w:rsidP="00492D7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:lang w:eastAsia="en-CA"/>
        </w:rPr>
      </w:pPr>
    </w:p>
    <w:p w14:paraId="301A778B" w14:textId="77777777" w:rsidR="00F80440" w:rsidRDefault="00F80440" w:rsidP="00492D7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:lang w:eastAsia="en-CA"/>
        </w:rPr>
      </w:pPr>
    </w:p>
    <w:p w14:paraId="09208FB8" w14:textId="77777777" w:rsidR="00F80440" w:rsidRDefault="00F80440" w:rsidP="00492D7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:lang w:eastAsia="en-CA"/>
        </w:rPr>
      </w:pPr>
    </w:p>
    <w:p w14:paraId="29EE3405" w14:textId="5664BCEC" w:rsidR="00492D76" w:rsidRPr="00492D76" w:rsidRDefault="00492D76" w:rsidP="00492D7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:lang w:eastAsia="en-CA"/>
        </w:rPr>
      </w:pPr>
      <w:r w:rsidRPr="00492D76">
        <w:rPr>
          <w:rFonts w:ascii="Calibri" w:eastAsia="Times New Roman" w:hAnsi="Calibri" w:cs="Calibri"/>
          <w:b/>
          <w:bCs/>
          <w:sz w:val="36"/>
          <w:szCs w:val="36"/>
          <w:lang w:eastAsia="en-CA"/>
        </w:rPr>
        <w:lastRenderedPageBreak/>
        <w:t xml:space="preserve">6. Dashboard </w:t>
      </w:r>
      <w:r w:rsidR="00F80440">
        <w:rPr>
          <w:rFonts w:ascii="Calibri" w:eastAsia="Times New Roman" w:hAnsi="Calibri" w:cs="Calibri"/>
          <w:b/>
          <w:bCs/>
          <w:sz w:val="36"/>
          <w:szCs w:val="36"/>
          <w:lang w:eastAsia="en-CA"/>
        </w:rPr>
        <w:t>1</w:t>
      </w:r>
    </w:p>
    <w:p w14:paraId="324E7677" w14:textId="68BBAE68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>
        <w:rPr>
          <w:rFonts w:ascii="Calibri" w:eastAsia="Times New Roman" w:hAnsi="Calibri" w:cs="Calibri"/>
          <w:b/>
          <w:bCs/>
          <w:noProof/>
          <w:sz w:val="24"/>
          <w:szCs w:val="24"/>
          <w:lang w:eastAsia="en-CA"/>
        </w:rPr>
        <w:drawing>
          <wp:inline distT="0" distB="0" distL="0" distR="0" wp14:anchorId="52C71298" wp14:editId="381B3D20">
            <wp:extent cx="5943600" cy="33547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b/>
          <w:bCs/>
          <w:sz w:val="24"/>
          <w:szCs w:val="24"/>
          <w:lang w:eastAsia="en-CA"/>
        </w:rPr>
        <w:t xml:space="preserve">  </w:t>
      </w:r>
      <w:r w:rsidRPr="00492D76">
        <w:rPr>
          <w:rFonts w:ascii="Calibri" w:eastAsia="Times New Roman" w:hAnsi="Calibri" w:cs="Calibri"/>
          <w:b/>
          <w:bCs/>
          <w:sz w:val="24"/>
          <w:szCs w:val="24"/>
          <w:lang w:eastAsia="en-CA"/>
        </w:rPr>
        <w:t>Figure 1: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Executive &amp; Operational Overview Dashboard — built in Power BI</w:t>
      </w:r>
    </w:p>
    <w:p w14:paraId="0723741F" w14:textId="352CF04E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>The first dashboard provides a high-level operational summary for healthcare managers.</w:t>
      </w:r>
    </w:p>
    <w:p w14:paraId="762A8846" w14:textId="77777777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b/>
          <w:bCs/>
          <w:sz w:val="24"/>
          <w:szCs w:val="24"/>
          <w:lang w:eastAsia="en-CA"/>
        </w:rPr>
        <w:t>Key metrics displayed:</w:t>
      </w:r>
    </w:p>
    <w:p w14:paraId="58BADC6A" w14:textId="77777777" w:rsidR="00492D76" w:rsidRPr="00492D76" w:rsidRDefault="00492D76" w:rsidP="00492D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b/>
          <w:bCs/>
          <w:sz w:val="24"/>
          <w:szCs w:val="24"/>
          <w:lang w:eastAsia="en-CA"/>
        </w:rPr>
        <w:t>Total Appointments: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71,959</w:t>
      </w:r>
    </w:p>
    <w:p w14:paraId="13A6B96F" w14:textId="77777777" w:rsidR="00492D76" w:rsidRPr="00492D76" w:rsidRDefault="00492D76" w:rsidP="00492D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b/>
          <w:bCs/>
          <w:sz w:val="24"/>
          <w:szCs w:val="24"/>
          <w:lang w:eastAsia="en-CA"/>
        </w:rPr>
        <w:t>No-Show Rate: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28.52%</w:t>
      </w:r>
    </w:p>
    <w:p w14:paraId="7E249284" w14:textId="77777777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b/>
          <w:bCs/>
          <w:sz w:val="24"/>
          <w:szCs w:val="24"/>
          <w:lang w:eastAsia="en-CA"/>
        </w:rPr>
        <w:t>Charts included:</w:t>
      </w:r>
    </w:p>
    <w:p w14:paraId="5C15BED3" w14:textId="77777777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i/>
          <w:iCs/>
          <w:sz w:val="24"/>
          <w:szCs w:val="24"/>
          <w:lang w:eastAsia="en-CA"/>
        </w:rPr>
        <w:t>Impact of Waiting Time on No-Show (Bar Chart)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Plots the number of no-shows by waiting time category. The 16–30 day bucket had the highest count, consistent with the notebook's finding that longer waits produce more no-shows.</w:t>
      </w:r>
    </w:p>
    <w:p w14:paraId="49467BA5" w14:textId="77777777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i/>
          <w:iCs/>
          <w:sz w:val="24"/>
          <w:szCs w:val="24"/>
          <w:lang w:eastAsia="en-CA"/>
        </w:rPr>
        <w:t>Appointment Distribution by Age Group (Grouped Bar Chart)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Shows how appointments are distributed across age groups with the no-show vs attended split visible for each band.</w:t>
      </w:r>
    </w:p>
    <w:p w14:paraId="30023E5C" w14:textId="77777777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i/>
          <w:iCs/>
          <w:sz w:val="24"/>
          <w:szCs w:val="24"/>
          <w:lang w:eastAsia="en-CA"/>
        </w:rPr>
        <w:t>No-Show Distribution by Gender (Donut Chart)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Male patients account for about 33.2% of appointments; female patients for 66.8%.</w:t>
      </w:r>
    </w:p>
    <w:p w14:paraId="611F2BF5" w14:textId="77777777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i/>
          <w:iCs/>
          <w:sz w:val="24"/>
          <w:szCs w:val="24"/>
          <w:lang w:eastAsia="en-CA"/>
        </w:rPr>
        <w:t>No-Show Rate by Weekday (Bar Chart)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Shows variation in no-show rates across days of the week. Wednesday and Thursday stand out with higher rates.</w:t>
      </w:r>
    </w:p>
    <w:p w14:paraId="03E63C5C" w14:textId="77777777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b/>
          <w:bCs/>
          <w:sz w:val="24"/>
          <w:szCs w:val="24"/>
          <w:lang w:eastAsia="en-CA"/>
        </w:rPr>
        <w:lastRenderedPageBreak/>
        <w:t>Dashboard Insight: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</w:t>
      </w:r>
      <w:r w:rsidRPr="00492D76">
        <w:rPr>
          <w:rFonts w:ascii="Calibri" w:eastAsia="Times New Roman" w:hAnsi="Calibri" w:cs="Calibri"/>
          <w:i/>
          <w:iCs/>
          <w:sz w:val="24"/>
          <w:szCs w:val="24"/>
          <w:lang w:eastAsia="en-CA"/>
        </w:rPr>
        <w:t>"Longer appointment waiting times are associated with higher patient no-show rates."</w:t>
      </w:r>
    </w:p>
    <w:p w14:paraId="32A64D8B" w14:textId="77777777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The dashboard also includes a </w:t>
      </w:r>
      <w:r w:rsidRPr="00492D76">
        <w:rPr>
          <w:rFonts w:ascii="Calibri" w:eastAsia="Times New Roman" w:hAnsi="Calibri" w:cs="Calibri"/>
          <w:b/>
          <w:bCs/>
          <w:sz w:val="24"/>
          <w:szCs w:val="24"/>
          <w:lang w:eastAsia="en-CA"/>
        </w:rPr>
        <w:t>Waiting Category filter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dropdown that lets users slice all charts interactively.</w:t>
      </w:r>
    </w:p>
    <w:p w14:paraId="30F9A936" w14:textId="77777777" w:rsidR="00492D76" w:rsidRPr="00492D76" w:rsidRDefault="00492D76" w:rsidP="00492D76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pict w14:anchorId="181A13F8">
          <v:rect id="_x0000_i1032" style="width:0;height:1.5pt" o:hralign="center" o:hrstd="t" o:hr="t" fillcolor="#a0a0a0" stroked="f"/>
        </w:pict>
      </w:r>
    </w:p>
    <w:p w14:paraId="74DD3CAE" w14:textId="71B08AB0" w:rsidR="00492D76" w:rsidRPr="00492D76" w:rsidRDefault="00492D76" w:rsidP="00492D7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:lang w:eastAsia="en-CA"/>
        </w:rPr>
      </w:pPr>
      <w:r w:rsidRPr="00492D76">
        <w:rPr>
          <w:rFonts w:ascii="Calibri" w:eastAsia="Times New Roman" w:hAnsi="Calibri" w:cs="Calibri"/>
          <w:b/>
          <w:bCs/>
          <w:sz w:val="36"/>
          <w:szCs w:val="36"/>
          <w:lang w:eastAsia="en-CA"/>
        </w:rPr>
        <w:t xml:space="preserve">7. Dashboard 2 </w:t>
      </w:r>
    </w:p>
    <w:p w14:paraId="666DC4A9" w14:textId="31A32ADA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>
        <w:rPr>
          <w:rFonts w:ascii="Calibri" w:eastAsia="Times New Roman" w:hAnsi="Calibri" w:cs="Calibri"/>
          <w:b/>
          <w:bCs/>
          <w:noProof/>
          <w:sz w:val="24"/>
          <w:szCs w:val="24"/>
          <w:lang w:eastAsia="en-CA"/>
        </w:rPr>
        <w:drawing>
          <wp:inline distT="0" distB="0" distL="0" distR="0" wp14:anchorId="5BAFB50D" wp14:editId="3AC3635C">
            <wp:extent cx="5943600" cy="33026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2D76">
        <w:rPr>
          <w:rFonts w:ascii="Calibri" w:eastAsia="Times New Roman" w:hAnsi="Calibri" w:cs="Calibri"/>
          <w:b/>
          <w:bCs/>
          <w:sz w:val="24"/>
          <w:szCs w:val="24"/>
          <w:lang w:eastAsia="en-CA"/>
        </w:rPr>
        <w:t>Figure 2: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Patient &amp; Geographic Insights Dashboard — built in Power BI</w:t>
      </w:r>
    </w:p>
    <w:p w14:paraId="1C1E8580" w14:textId="77777777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>The second dashboard focuses on geography and patient characteristics.</w:t>
      </w:r>
    </w:p>
    <w:p w14:paraId="59F44DE0" w14:textId="77777777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b/>
          <w:bCs/>
          <w:sz w:val="24"/>
          <w:szCs w:val="24"/>
          <w:lang w:eastAsia="en-CA"/>
        </w:rPr>
        <w:t>Key metrics displayed:</w:t>
      </w:r>
    </w:p>
    <w:p w14:paraId="0C5C6411" w14:textId="77777777" w:rsidR="00492D76" w:rsidRPr="00492D76" w:rsidRDefault="00492D76" w:rsidP="00492D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b/>
          <w:bCs/>
          <w:sz w:val="24"/>
          <w:szCs w:val="24"/>
          <w:lang w:eastAsia="en-CA"/>
        </w:rPr>
        <w:t>Total Neighborhoods: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80</w:t>
      </w:r>
    </w:p>
    <w:p w14:paraId="4F77A3E9" w14:textId="77777777" w:rsidR="00492D76" w:rsidRPr="00492D76" w:rsidRDefault="00492D76" w:rsidP="00492D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b/>
          <w:bCs/>
          <w:sz w:val="24"/>
          <w:szCs w:val="24"/>
          <w:lang w:eastAsia="en-CA"/>
        </w:rPr>
        <w:t>Average Waiting Days: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14.64</w:t>
      </w:r>
    </w:p>
    <w:p w14:paraId="3BD80347" w14:textId="77777777" w:rsidR="00492D76" w:rsidRPr="00492D76" w:rsidRDefault="00492D76" w:rsidP="00492D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b/>
          <w:bCs/>
          <w:sz w:val="24"/>
          <w:szCs w:val="24"/>
          <w:lang w:eastAsia="en-CA"/>
        </w:rPr>
        <w:t>Patients Receiving SMS: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35K</w:t>
      </w:r>
    </w:p>
    <w:p w14:paraId="69028844" w14:textId="77777777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b/>
          <w:bCs/>
          <w:sz w:val="24"/>
          <w:szCs w:val="24"/>
          <w:lang w:eastAsia="en-CA"/>
        </w:rPr>
        <w:t>Charts included:</w:t>
      </w:r>
    </w:p>
    <w:p w14:paraId="213291DD" w14:textId="77777777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i/>
          <w:iCs/>
          <w:sz w:val="24"/>
          <w:szCs w:val="24"/>
          <w:lang w:eastAsia="en-CA"/>
        </w:rPr>
        <w:t>Top 10 Neighborhoods by Missed Appointments (Horizontal Bar Chart)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Jardim Camburi leads the list, followed by Maria Ortiz and Resistência. These neighborhoods were also flagged in the notebook's neighborhood no-show rate analysis.</w:t>
      </w:r>
    </w:p>
    <w:p w14:paraId="2C129A1C" w14:textId="77777777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i/>
          <w:iCs/>
          <w:sz w:val="24"/>
          <w:szCs w:val="24"/>
          <w:lang w:eastAsia="en-CA"/>
        </w:rPr>
        <w:lastRenderedPageBreak/>
        <w:t>Missed Appointments by Medical Condition (Bar Chart)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Hypertension patients had the highest count of missed appointments, followed by diabetes and alcoholism.</w:t>
      </w:r>
    </w:p>
    <w:p w14:paraId="60AF014E" w14:textId="77777777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i/>
          <w:iCs/>
          <w:sz w:val="24"/>
          <w:szCs w:val="24"/>
          <w:lang w:eastAsia="en-CA"/>
        </w:rPr>
        <w:t>Impact of SMS Reminders on Attendance (Grouped Bar Chart)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Patients who received SMS reminders had nearly the same no-show counts as those who did not — consistent with the notebook's cross-tabulation findings. Reminders alone are not enough.</w:t>
      </w:r>
    </w:p>
    <w:p w14:paraId="34D20513" w14:textId="77777777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b/>
          <w:bCs/>
          <w:sz w:val="24"/>
          <w:szCs w:val="24"/>
          <w:lang w:eastAsia="en-CA"/>
        </w:rPr>
        <w:t>Dashboard Insight: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</w:t>
      </w:r>
      <w:r w:rsidRPr="00492D76">
        <w:rPr>
          <w:rFonts w:ascii="Calibri" w:eastAsia="Times New Roman" w:hAnsi="Calibri" w:cs="Calibri"/>
          <w:i/>
          <w:iCs/>
          <w:sz w:val="24"/>
          <w:szCs w:val="24"/>
          <w:lang w:eastAsia="en-CA"/>
        </w:rPr>
        <w:t>"Certain neighborhoods and chronic conditions are associated with higher appointment no-show patterns."</w:t>
      </w:r>
    </w:p>
    <w:p w14:paraId="7819676A" w14:textId="77777777" w:rsidR="00492D76" w:rsidRPr="00492D76" w:rsidRDefault="00492D76" w:rsidP="00492D76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pict w14:anchorId="3B7CCA1D">
          <v:rect id="_x0000_i1033" style="width:0;height:1.5pt" o:hralign="center" o:hrstd="t" o:hr="t" fillcolor="#a0a0a0" stroked="f"/>
        </w:pict>
      </w:r>
    </w:p>
    <w:p w14:paraId="01A15296" w14:textId="77777777" w:rsidR="00492D76" w:rsidRPr="00492D76" w:rsidRDefault="00492D76" w:rsidP="00492D7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:lang w:eastAsia="en-CA"/>
        </w:rPr>
      </w:pPr>
      <w:r w:rsidRPr="00492D76">
        <w:rPr>
          <w:rFonts w:ascii="Calibri" w:eastAsia="Times New Roman" w:hAnsi="Calibri" w:cs="Calibri"/>
          <w:b/>
          <w:bCs/>
          <w:sz w:val="36"/>
          <w:szCs w:val="36"/>
          <w:lang w:eastAsia="en-CA"/>
        </w:rPr>
        <w:t>8. Key Findings</w:t>
      </w:r>
    </w:p>
    <w:p w14:paraId="24E9E863" w14:textId="77777777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b/>
          <w:bCs/>
          <w:sz w:val="24"/>
          <w:szCs w:val="24"/>
          <w:lang w:eastAsia="en-CA"/>
        </w:rPr>
        <w:t>1. Longer waiting time strongly correlates with higher no-shows.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The no-show rate rose from ~21% for same-day appointments to over 33% for appointments booked 30+ days in advance.</w:t>
      </w:r>
    </w:p>
    <w:p w14:paraId="3C84D1AB" w14:textId="77777777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b/>
          <w:bCs/>
          <w:sz w:val="24"/>
          <w:szCs w:val="24"/>
          <w:lang w:eastAsia="en-CA"/>
        </w:rPr>
        <w:t>2. Over a quarter of all appointments go unattended.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A 28.52% no-show rate represents a significant operational inefficiency.</w:t>
      </w:r>
    </w:p>
    <w:p w14:paraId="4E6C58D6" w14:textId="77777777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b/>
          <w:bCs/>
          <w:sz w:val="24"/>
          <w:szCs w:val="24"/>
          <w:lang w:eastAsia="en-CA"/>
        </w:rPr>
        <w:t>3. SMS reminders did not meaningfully reduce no-shows.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The cross-tabulation and count plots showed that patients who received reminders still missed appointments at high rates.</w:t>
      </w:r>
    </w:p>
    <w:p w14:paraId="2D98E575" w14:textId="77777777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b/>
          <w:bCs/>
          <w:sz w:val="24"/>
          <w:szCs w:val="24"/>
          <w:lang w:eastAsia="en-CA"/>
        </w:rPr>
        <w:t>4. Certain neighborhoods have disproportionately high missed appointments.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The top 10 neighborhoods by no-show rate were identified and should be targeted for intervention.</w:t>
      </w:r>
    </w:p>
    <w:p w14:paraId="5DA77991" w14:textId="77777777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b/>
          <w:bCs/>
          <w:sz w:val="24"/>
          <w:szCs w:val="24"/>
          <w:lang w:eastAsia="en-CA"/>
        </w:rPr>
        <w:t>5. Diabetes patients attended more consistently.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Patients with chronic conditions like diabetes were comparatively more likely to attend their appointments.</w:t>
      </w:r>
    </w:p>
    <w:p w14:paraId="7CEF9520" w14:textId="77777777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b/>
          <w:bCs/>
          <w:sz w:val="24"/>
          <w:szCs w:val="24"/>
          <w:lang w:eastAsia="en-CA"/>
        </w:rPr>
        <w:t>6. Scholarship patients showed slightly different attendance behavior.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Financial assistance enrollment was flagged as a useful segmentation variable for further analysis.</w:t>
      </w:r>
    </w:p>
    <w:p w14:paraId="0E38EA95" w14:textId="77777777" w:rsidR="00492D76" w:rsidRPr="00492D76" w:rsidRDefault="00492D76" w:rsidP="00492D76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pict w14:anchorId="3D629D24">
          <v:rect id="_x0000_i1034" style="width:0;height:1.5pt" o:hralign="center" o:hrstd="t" o:hr="t" fillcolor="#a0a0a0" stroked="f"/>
        </w:pict>
      </w:r>
    </w:p>
    <w:p w14:paraId="388C16A5" w14:textId="77777777" w:rsidR="00492D76" w:rsidRPr="00492D76" w:rsidRDefault="00492D76" w:rsidP="00492D7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:lang w:eastAsia="en-CA"/>
        </w:rPr>
      </w:pPr>
      <w:r w:rsidRPr="00492D76">
        <w:rPr>
          <w:rFonts w:ascii="Calibri" w:eastAsia="Times New Roman" w:hAnsi="Calibri" w:cs="Calibri"/>
          <w:b/>
          <w:bCs/>
          <w:sz w:val="36"/>
          <w:szCs w:val="36"/>
          <w:lang w:eastAsia="en-CA"/>
        </w:rPr>
        <w:t>9. Recommendations</w:t>
      </w:r>
    </w:p>
    <w:p w14:paraId="714D7A7A" w14:textId="77777777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>Based on the findings from the notebook and dashboards:</w:t>
      </w:r>
    </w:p>
    <w:p w14:paraId="44607F8C" w14:textId="77777777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b/>
          <w:bCs/>
          <w:sz w:val="24"/>
          <w:szCs w:val="24"/>
          <w:lang w:eastAsia="en-CA"/>
        </w:rPr>
        <w:t>Reduce waiting times, especially for high-risk patients.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The data clearly shows that same-day and short-wait appointments have much lower no-show rates. Clinics should aim to keep wait windows short wherever possible, and prioritize follow-up for appointments booked more than two weeks in advance.</w:t>
      </w:r>
    </w:p>
    <w:p w14:paraId="450A06FC" w14:textId="77777777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b/>
          <w:bCs/>
          <w:sz w:val="24"/>
          <w:szCs w:val="24"/>
          <w:lang w:eastAsia="en-CA"/>
        </w:rPr>
        <w:lastRenderedPageBreak/>
        <w:t>Improve reminder strategies beyond SMS.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Since SMS alone did not significantly reduce no-shows, clinics should consider phone calls, WhatsApp messages, or two-step reminders (one week before and one day before).</w:t>
      </w:r>
    </w:p>
    <w:p w14:paraId="2CBAC551" w14:textId="77777777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b/>
          <w:bCs/>
          <w:sz w:val="24"/>
          <w:szCs w:val="24"/>
          <w:lang w:eastAsia="en-CA"/>
        </w:rPr>
        <w:t>Target high-miss neighborhoods with outreach.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Neighborhoods like Jardim Camburi and Maria Ortiz need dedicated interventions — whether that's transportation support, community health workers, or more accessible scheduling.</w:t>
      </w:r>
    </w:p>
    <w:p w14:paraId="1430911D" w14:textId="77777777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b/>
          <w:bCs/>
          <w:sz w:val="24"/>
          <w:szCs w:val="24"/>
          <w:lang w:eastAsia="en-CA"/>
        </w:rPr>
        <w:t>Use dashboard filters for smarter scheduling decisions.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The cleaned dataset includes </w:t>
      </w:r>
      <w:r w:rsidRPr="00492D76">
        <w:rPr>
          <w:rFonts w:ascii="Calibri" w:eastAsia="Times New Roman" w:hAnsi="Calibri" w:cs="Calibri"/>
          <w:sz w:val="20"/>
          <w:szCs w:val="20"/>
          <w:lang w:eastAsia="en-CA"/>
        </w:rPr>
        <w:t>WaitingCategory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, </w:t>
      </w:r>
      <w:r w:rsidRPr="00492D76">
        <w:rPr>
          <w:rFonts w:ascii="Calibri" w:eastAsia="Times New Roman" w:hAnsi="Calibri" w:cs="Calibri"/>
          <w:sz w:val="20"/>
          <w:szCs w:val="20"/>
          <w:lang w:eastAsia="en-CA"/>
        </w:rPr>
        <w:t>AgeGroup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, </w:t>
      </w:r>
      <w:r w:rsidRPr="00492D76">
        <w:rPr>
          <w:rFonts w:ascii="Calibri" w:eastAsia="Times New Roman" w:hAnsi="Calibri" w:cs="Calibri"/>
          <w:sz w:val="20"/>
          <w:szCs w:val="20"/>
          <w:lang w:eastAsia="en-CA"/>
        </w:rPr>
        <w:t>ScheduledWeekday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, and </w:t>
      </w:r>
      <w:r w:rsidRPr="00492D76">
        <w:rPr>
          <w:rFonts w:ascii="Calibri" w:eastAsia="Times New Roman" w:hAnsi="Calibri" w:cs="Calibri"/>
          <w:sz w:val="20"/>
          <w:szCs w:val="20"/>
          <w:lang w:eastAsia="en-CA"/>
        </w:rPr>
        <w:t>NoShowFlag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— all of which are recommended in the notebook as dashboard filter dimensions for operational planning.</w:t>
      </w:r>
    </w:p>
    <w:p w14:paraId="263BD376" w14:textId="77777777" w:rsidR="00492D76" w:rsidRPr="00492D76" w:rsidRDefault="00492D76" w:rsidP="00492D76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pict w14:anchorId="0B33496B">
          <v:rect id="_x0000_i1035" style="width:0;height:1.5pt" o:hralign="center" o:hrstd="t" o:hr="t" fillcolor="#a0a0a0" stroked="f"/>
        </w:pict>
      </w:r>
    </w:p>
    <w:p w14:paraId="602C2C1C" w14:textId="77777777" w:rsidR="00492D76" w:rsidRPr="00492D76" w:rsidRDefault="00492D76" w:rsidP="00492D7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:lang w:eastAsia="en-CA"/>
        </w:rPr>
      </w:pPr>
      <w:r w:rsidRPr="00492D76">
        <w:rPr>
          <w:rFonts w:ascii="Calibri" w:eastAsia="Times New Roman" w:hAnsi="Calibri" w:cs="Calibri"/>
          <w:b/>
          <w:bCs/>
          <w:sz w:val="36"/>
          <w:szCs w:val="36"/>
          <w:lang w:eastAsia="en-CA"/>
        </w:rPr>
        <w:t>10. Conclusion</w:t>
      </w:r>
    </w:p>
    <w:p w14:paraId="19A50AA3" w14:textId="77777777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This project analyzed nearly 72,000 healthcare appointment records to understand what drives patient no-shows. After cleaning the data and engineering key features like </w:t>
      </w:r>
      <w:r w:rsidRPr="00492D76">
        <w:rPr>
          <w:rFonts w:ascii="Calibri" w:eastAsia="Times New Roman" w:hAnsi="Calibri" w:cs="Calibri"/>
          <w:sz w:val="20"/>
          <w:szCs w:val="20"/>
          <w:lang w:eastAsia="en-CA"/>
        </w:rPr>
        <w:t>WaitingDays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, </w:t>
      </w:r>
      <w:r w:rsidRPr="00492D76">
        <w:rPr>
          <w:rFonts w:ascii="Calibri" w:eastAsia="Times New Roman" w:hAnsi="Calibri" w:cs="Calibri"/>
          <w:sz w:val="20"/>
          <w:szCs w:val="20"/>
          <w:lang w:eastAsia="en-CA"/>
        </w:rPr>
        <w:t>WaitingCategory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, </w:t>
      </w:r>
      <w:r w:rsidRPr="00492D76">
        <w:rPr>
          <w:rFonts w:ascii="Calibri" w:eastAsia="Times New Roman" w:hAnsi="Calibri" w:cs="Calibri"/>
          <w:sz w:val="20"/>
          <w:szCs w:val="20"/>
          <w:lang w:eastAsia="en-CA"/>
        </w:rPr>
        <w:t>AgeGroup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, and </w:t>
      </w:r>
      <w:r w:rsidRPr="00492D76">
        <w:rPr>
          <w:rFonts w:ascii="Calibri" w:eastAsia="Times New Roman" w:hAnsi="Calibri" w:cs="Calibri"/>
          <w:sz w:val="20"/>
          <w:szCs w:val="20"/>
          <w:lang w:eastAsia="en-CA"/>
        </w:rPr>
        <w:t>NoShowFlag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>, the analysis clearly showed that waiting time is the strongest factor associated with missed appointments — with no-show rates rising from 21% for same-day bookings to over 33% for those scheduled 30+ days out.</w:t>
      </w:r>
    </w:p>
    <w:p w14:paraId="6B95C83C" w14:textId="77777777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>The two Power BI dashboards translate these findings into interactive, actionable views for healthcare administrators. Reducing no-show rates even modestly could have a meaningful impact on patient outcomes and operational efficiency — and the data points clearly to where those improvements should start.</w:t>
      </w:r>
    </w:p>
    <w:p w14:paraId="6C2F8866" w14:textId="77777777" w:rsidR="00492D76" w:rsidRPr="00492D76" w:rsidRDefault="00492D76" w:rsidP="00492D76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pict w14:anchorId="49945175">
          <v:rect id="_x0000_i1036" style="width:0;height:1.5pt" o:hralign="center" o:hrstd="t" o:hr="t" fillcolor="#a0a0a0" stroked="f"/>
        </w:pict>
      </w:r>
    </w:p>
    <w:p w14:paraId="7690B2C1" w14:textId="77777777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b/>
          <w:bCs/>
          <w:sz w:val="24"/>
          <w:szCs w:val="24"/>
          <w:lang w:eastAsia="en-CA"/>
        </w:rPr>
        <w:t>Tools &amp; Technologies Used: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Python | Pandas | Matplotlib | Seaborn | Power BI</w:t>
      </w:r>
    </w:p>
    <w:p w14:paraId="28268023" w14:textId="77777777" w:rsidR="00492D76" w:rsidRPr="00492D76" w:rsidRDefault="00492D76" w:rsidP="00492D7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CA"/>
        </w:rPr>
      </w:pPr>
      <w:r w:rsidRPr="00492D76">
        <w:rPr>
          <w:rFonts w:ascii="Calibri" w:eastAsia="Times New Roman" w:hAnsi="Calibri" w:cs="Calibri"/>
          <w:b/>
          <w:bCs/>
          <w:sz w:val="24"/>
          <w:szCs w:val="24"/>
          <w:lang w:eastAsia="en-CA"/>
        </w:rPr>
        <w:t>Dataset Source:</w:t>
      </w:r>
      <w:r w:rsidRPr="00492D76">
        <w:rPr>
          <w:rFonts w:ascii="Calibri" w:eastAsia="Times New Roman" w:hAnsi="Calibri" w:cs="Calibri"/>
          <w:sz w:val="24"/>
          <w:szCs w:val="24"/>
          <w:lang w:eastAsia="en-CA"/>
        </w:rPr>
        <w:t xml:space="preserve"> Kaggle — Brazilian Medical Appointment Dataset (KaggleV2-May-2016.csv)</w:t>
      </w:r>
    </w:p>
    <w:p w14:paraId="0557E11A" w14:textId="77777777" w:rsidR="006A1D52" w:rsidRPr="00492D76" w:rsidRDefault="006A1D52">
      <w:pPr>
        <w:rPr>
          <w:rFonts w:ascii="Calibri" w:hAnsi="Calibri" w:cs="Calibri"/>
        </w:rPr>
      </w:pPr>
    </w:p>
    <w:sectPr w:rsidR="006A1D52" w:rsidRPr="00492D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22712"/>
    <w:multiLevelType w:val="multilevel"/>
    <w:tmpl w:val="38EC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61EED"/>
    <w:multiLevelType w:val="multilevel"/>
    <w:tmpl w:val="4314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9609F"/>
    <w:multiLevelType w:val="multilevel"/>
    <w:tmpl w:val="D9A4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257DA"/>
    <w:multiLevelType w:val="multilevel"/>
    <w:tmpl w:val="053C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8905694">
    <w:abstractNumId w:val="0"/>
  </w:num>
  <w:num w:numId="2" w16cid:durableId="97679764">
    <w:abstractNumId w:val="3"/>
  </w:num>
  <w:num w:numId="3" w16cid:durableId="2044018820">
    <w:abstractNumId w:val="2"/>
  </w:num>
  <w:num w:numId="4" w16cid:durableId="949439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D76"/>
    <w:rsid w:val="00492D76"/>
    <w:rsid w:val="006A1D52"/>
    <w:rsid w:val="00F80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AEA03"/>
  <w15:chartTrackingRefBased/>
  <w15:docId w15:val="{142FE4E2-3ED0-47A5-BB3E-18C8226EF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2D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2">
    <w:name w:val="heading 2"/>
    <w:basedOn w:val="Normal"/>
    <w:link w:val="Heading2Char"/>
    <w:uiPriority w:val="9"/>
    <w:qFormat/>
    <w:rsid w:val="00492D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492D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D76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492D76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492D76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492D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492D76"/>
    <w:rPr>
      <w:b/>
      <w:bCs/>
    </w:rPr>
  </w:style>
  <w:style w:type="character" w:styleId="Emphasis">
    <w:name w:val="Emphasis"/>
    <w:basedOn w:val="DefaultParagraphFont"/>
    <w:uiPriority w:val="20"/>
    <w:qFormat/>
    <w:rsid w:val="00492D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92D7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19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1691</Words>
  <Characters>9644</Characters>
  <Application>Microsoft Office Word</Application>
  <DocSecurity>0</DocSecurity>
  <Lines>80</Lines>
  <Paragraphs>22</Paragraphs>
  <ScaleCrop>false</ScaleCrop>
  <Company/>
  <LinksUpToDate>false</LinksUpToDate>
  <CharactersWithSpaces>11313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00005225089@aakashicampus.com</dc:creator>
  <cp:keywords/>
  <dc:description/>
  <cp:lastModifiedBy>00005225089@aakashicampus.com</cp:lastModifiedBy>
  <cp:revision>2</cp:revision>
  <cp:lastPrinted>2026-05-17T10:21:00Z</cp:lastPrinted>
  <dcterms:created xsi:type="dcterms:W3CDTF">2026-05-17T10:17:00Z</dcterms:created>
  <dcterms:modified xsi:type="dcterms:W3CDTF">2026-05-17T10:22:00Z</dcterms:modified>
</cp:coreProperties>
</file>