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C9A24B"/>
          <w:sz w:val="19"/>
        </w:rPr>
        <w:t>ACADEMIC PROJECT BRIEF &amp; TECHNICAL SPECIFICATION</w:t>
        <w:br/>
      </w:r>
      <w:r>
        <w:rPr>
          <w:rFonts w:ascii="Georgia" w:hAnsi="Georgia"/>
          <w:b/>
          <w:color w:val="0B1329"/>
          <w:sz w:val="48"/>
        </w:rPr>
        <w:t>Vijayraj Gems &amp; Jewellery</w:t>
        <w:br/>
      </w:r>
      <w:r>
        <w:rPr>
          <w:rFonts w:ascii="Calibri" w:hAnsi="Calibri"/>
          <w:color w:val="64748B"/>
          <w:sz w:val="24"/>
        </w:rPr>
        <w:t>Full-Stack Luxury E-Commerce &amp; Enterprise Boutique Management System</w:t>
      </w:r>
    </w:p>
    <w:p>
      <w:pPr>
        <w:spacing w:before="120" w:after="320"/>
        <w:jc w:val="center"/>
      </w:pPr>
      <w:r>
        <w:rPr>
          <w:rFonts w:ascii="Calibri" w:hAnsi="Calibri"/>
          <w:i/>
          <w:color w:val="64748B"/>
          <w:sz w:val="19"/>
        </w:rPr>
        <w:t>Student / Project Lead: Disha Sherigar  •  Tech Stack: Python Flask, MySQL, ReportLab, Vanilla CSS3/JS  •  Date: September 2026</w:t>
      </w:r>
    </w:p>
    <w:p>
      <w:pPr>
        <w:spacing w:before="0" w:after="280"/>
        <w:pBdr>
          <w:bottom w:val="single" w:sz="12" w:space="1" w:color="C9A24B"/>
        </w:pBdr>
      </w:pPr>
    </w:p>
    <w:p>
      <w:pPr>
        <w:keepNext/>
        <w:spacing w:before="320" w:after="120"/>
      </w:pPr>
      <w:r>
        <w:rPr>
          <w:rFonts w:ascii="Georgia" w:hAnsi="Georgia"/>
          <w:b/>
          <w:color w:val="0B1329"/>
          <w:sz w:val="32"/>
        </w:rPr>
        <w:t>1. Executive Summary &amp; Real-World Boutique Domain</w:t>
      </w:r>
    </w:p>
    <w:p>
      <w:pPr>
        <w:spacing w:after="120" w:line="276" w:lineRule="auto"/>
      </w:pPr>
      <w:r>
        <w:rPr>
          <w:rFonts w:ascii="Calibri" w:hAnsi="Calibri"/>
          <w:color w:val="1E293B"/>
          <w:sz w:val="21"/>
        </w:rPr>
        <w:t>This project delivers a production-grade, full-stack enterprise web application and e-commerce platform custom-tailored for the luxury fine jewellery sector. It combines a public-facing haute joaillerie client boutique with a secure internal Enterprise Resource Planning (ERP) and Point of Sale (POS) management suite.</w:t>
        <w:br/>
        <w:br/>
        <w:t>The system is modelled around an authentic flagship luxury boutique, Vijayraj Gems &amp; Jewellery, situated in Koregaon Park, Pune (Damco Society, C1, N Main Rd, near Loftman Clothing Lane). Real boutique metadata—including Google Maps trust credentials (4.8 ★ rating with 33+ reviews), business contact hotline (+91 91723 87741), verified operating hours (Mon–Sun 9:00 AM – 10:30 PM), and authentic client testimonials—are organically integrated into the user experience.</w:t>
      </w:r>
    </w:p>
    <w:p>
      <w:pPr>
        <w:keepNext/>
        <w:spacing w:before="320" w:after="120"/>
      </w:pPr>
      <w:r>
        <w:rPr>
          <w:rFonts w:ascii="Georgia" w:hAnsi="Georgia"/>
          <w:b/>
          <w:color w:val="0B1329"/>
          <w:sz w:val="32"/>
        </w:rPr>
        <w:t>2. System Architecture &amp; Technology Stack</w:t>
      </w:r>
    </w:p>
    <w:p>
      <w:pPr>
        <w:spacing w:after="160"/>
      </w:pPr>
      <w:r>
        <w:rPr>
          <w:rFonts w:ascii="Calibri" w:hAnsi="Calibri"/>
          <w:color w:val="1E293B"/>
          <w:sz w:val="21"/>
        </w:rPr>
        <w:t>The platform implements a clean 3-tier client-server architecture with strict separation of concerns, parameterized data abstraction, and zero reliance on heavy third-party CSS or JS frameworks.</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0B1329"/>
            <w:tcMar>
              <w:top w:w="120" w:type="dxa"/>
              <w:bottom w:w="120" w:type="dxa"/>
              <w:left w:w="120" w:type="dxa"/>
              <w:right w:w="120" w:type="dxa"/>
            </w:tcMar>
          </w:tcPr>
          <w:p>
            <w:pPr>
              <w:spacing w:before="0" w:after="0"/>
            </w:pPr>
            <w:r>
              <w:rPr>
                <w:rFonts w:ascii="Calibri" w:hAnsi="Calibri"/>
                <w:b/>
                <w:color w:val="FFFFFF"/>
                <w:sz w:val="20"/>
              </w:rPr>
              <w:t>Architectural Layer</w:t>
            </w:r>
          </w:p>
        </w:tc>
        <w:tc>
          <w:tcPr>
            <w:tcW w:type="dxa" w:w="3168"/>
            <w:shd w:fill="0B1329"/>
            <w:tcMar>
              <w:top w:w="120" w:type="dxa"/>
              <w:bottom w:w="120" w:type="dxa"/>
              <w:left w:w="120" w:type="dxa"/>
              <w:right w:w="120" w:type="dxa"/>
            </w:tcMar>
          </w:tcPr>
          <w:p>
            <w:pPr>
              <w:spacing w:before="0" w:after="0"/>
            </w:pPr>
            <w:r>
              <w:rPr>
                <w:rFonts w:ascii="Calibri" w:hAnsi="Calibri"/>
                <w:b/>
                <w:color w:val="FFFFFF"/>
                <w:sz w:val="20"/>
              </w:rPr>
              <w:t>Technology Component</w:t>
            </w:r>
          </w:p>
        </w:tc>
        <w:tc>
          <w:tcPr>
            <w:tcW w:type="dxa" w:w="4464"/>
            <w:shd w:fill="0B1329"/>
            <w:tcMar>
              <w:top w:w="120" w:type="dxa"/>
              <w:bottom w:w="120" w:type="dxa"/>
              <w:left w:w="120" w:type="dxa"/>
              <w:right w:w="120" w:type="dxa"/>
            </w:tcMar>
          </w:tcPr>
          <w:p>
            <w:pPr>
              <w:spacing w:before="0" w:after="0"/>
            </w:pPr>
            <w:r>
              <w:rPr>
                <w:rFonts w:ascii="Calibri" w:hAnsi="Calibri"/>
                <w:b/>
                <w:color w:val="FFFFFF"/>
                <w:sz w:val="20"/>
              </w:rPr>
              <w:t>Technical Purpose &amp; Implementation</w:t>
            </w:r>
          </w:p>
        </w:tc>
      </w:tr>
      <w:tr>
        <w:tc>
          <w:tcPr>
            <w:tcW w:type="dxa" w:w="2160"/>
            <w:shd w:fill="F8FAFC"/>
            <w:tcMar>
              <w:top w:w="100" w:type="dxa"/>
              <w:bottom w:w="100" w:type="dxa"/>
              <w:left w:w="120" w:type="dxa"/>
              <w:right w:w="120" w:type="dxa"/>
            </w:tcMar>
          </w:tcPr>
          <w:p>
            <w:pPr>
              <w:spacing w:before="0" w:after="0"/>
            </w:pPr>
            <w:r>
              <w:rPr>
                <w:rFonts w:ascii="Calibri" w:hAnsi="Calibri"/>
                <w:b/>
                <w:color w:val="0B1329"/>
                <w:sz w:val="19"/>
              </w:rPr>
              <w:t>Frontend (Structure &amp; Semantics)</w:t>
            </w:r>
          </w:p>
        </w:tc>
        <w:tc>
          <w:tcPr>
            <w:tcW w:type="dxa" w:w="3168"/>
            <w:shd w:fill="F8FAFC"/>
            <w:tcMar>
              <w:top w:w="100" w:type="dxa"/>
              <w:bottom w:w="100" w:type="dxa"/>
              <w:left w:w="120" w:type="dxa"/>
              <w:right w:w="120" w:type="dxa"/>
            </w:tcMar>
          </w:tcPr>
          <w:p>
            <w:pPr>
              <w:spacing w:before="0" w:after="0"/>
            </w:pPr>
            <w:r>
              <w:rPr>
                <w:rFonts w:ascii="Calibri" w:hAnsi="Calibri"/>
                <w:color w:val="1E293B"/>
                <w:sz w:val="19"/>
              </w:rPr>
              <w:t>HTML5 &amp; Semantic Hierarchy</w:t>
            </w:r>
          </w:p>
        </w:tc>
        <w:tc>
          <w:tcPr>
            <w:tcW w:type="dxa" w:w="4464"/>
            <w:shd w:fill="F8FAFC"/>
            <w:tcMar>
              <w:top w:w="100" w:type="dxa"/>
              <w:bottom w:w="100" w:type="dxa"/>
              <w:left w:w="120" w:type="dxa"/>
              <w:right w:w="120" w:type="dxa"/>
            </w:tcMar>
          </w:tcPr>
          <w:p>
            <w:pPr>
              <w:spacing w:before="0" w:after="0"/>
            </w:pPr>
            <w:r>
              <w:rPr>
                <w:rFonts w:ascii="Calibri" w:hAnsi="Calibri"/>
                <w:color w:val="1E293B"/>
                <w:sz w:val="19"/>
              </w:rPr>
              <w:t>W3C compliant HTML5 (&lt;header&gt;, &lt;main&gt;, &lt;section&gt;, &lt;article&gt;). Full SEO meta-tags, OpenGraph preview cards, and accessibility markup.</w:t>
            </w:r>
          </w:p>
        </w:tc>
      </w:tr>
      <w:tr>
        <w:tc>
          <w:tcPr>
            <w:tcW w:type="dxa" w:w="2160"/>
            <w:shd w:fill="FFFFFF"/>
            <w:tcMar>
              <w:top w:w="100" w:type="dxa"/>
              <w:bottom w:w="100" w:type="dxa"/>
              <w:left w:w="120" w:type="dxa"/>
              <w:right w:w="120" w:type="dxa"/>
            </w:tcMar>
          </w:tcPr>
          <w:p>
            <w:pPr>
              <w:spacing w:before="0" w:after="0"/>
            </w:pPr>
            <w:r>
              <w:rPr>
                <w:rFonts w:ascii="Calibri" w:hAnsi="Calibri"/>
                <w:b/>
                <w:color w:val="0B1329"/>
                <w:sz w:val="19"/>
              </w:rPr>
              <w:t>Frontend (Styling &amp; Aesthetics)</w:t>
            </w:r>
          </w:p>
        </w:tc>
        <w:tc>
          <w:tcPr>
            <w:tcW w:type="dxa" w:w="3168"/>
            <w:shd w:fill="FFFFFF"/>
            <w:tcMar>
              <w:top w:w="100" w:type="dxa"/>
              <w:bottom w:w="100" w:type="dxa"/>
              <w:left w:w="120" w:type="dxa"/>
              <w:right w:w="120" w:type="dxa"/>
            </w:tcMar>
          </w:tcPr>
          <w:p>
            <w:pPr>
              <w:spacing w:before="0" w:after="0"/>
            </w:pPr>
            <w:r>
              <w:rPr>
                <w:rFonts w:ascii="Calibri" w:hAnsi="Calibri"/>
                <w:color w:val="1E293B"/>
                <w:sz w:val="19"/>
              </w:rPr>
              <w:t>Handcrafted Vanilla CSS3</w:t>
            </w:r>
          </w:p>
        </w:tc>
        <w:tc>
          <w:tcPr>
            <w:tcW w:type="dxa" w:w="4464"/>
            <w:shd w:fill="FFFFFF"/>
            <w:tcMar>
              <w:top w:w="100" w:type="dxa"/>
              <w:bottom w:w="100" w:type="dxa"/>
              <w:left w:w="120" w:type="dxa"/>
              <w:right w:w="120" w:type="dxa"/>
            </w:tcMar>
          </w:tcPr>
          <w:p>
            <w:pPr>
              <w:spacing w:before="0" w:after="0"/>
            </w:pPr>
            <w:r>
              <w:rPr>
                <w:rFonts w:ascii="Calibri" w:hAnsi="Calibri"/>
                <w:color w:val="1E293B"/>
                <w:sz w:val="19"/>
              </w:rPr>
              <w:t>Custom Design System (Tokens): Primary Navy (#0B1329), Champagne Gold (#C9A24B), Ivory. Glassmorphism, CSS Grid, Flexbox, zero Tailwind/Bootstrap bloat.</w:t>
            </w:r>
          </w:p>
        </w:tc>
      </w:tr>
      <w:tr>
        <w:tc>
          <w:tcPr>
            <w:tcW w:type="dxa" w:w="2160"/>
            <w:shd w:fill="F8FAFC"/>
            <w:tcMar>
              <w:top w:w="100" w:type="dxa"/>
              <w:bottom w:w="100" w:type="dxa"/>
              <w:left w:w="120" w:type="dxa"/>
              <w:right w:w="120" w:type="dxa"/>
            </w:tcMar>
          </w:tcPr>
          <w:p>
            <w:pPr>
              <w:spacing w:before="0" w:after="0"/>
            </w:pPr>
            <w:r>
              <w:rPr>
                <w:rFonts w:ascii="Calibri" w:hAnsi="Calibri"/>
                <w:b/>
                <w:color w:val="0B1329"/>
                <w:sz w:val="19"/>
              </w:rPr>
              <w:t>Frontend (Interactivity)</w:t>
            </w:r>
          </w:p>
        </w:tc>
        <w:tc>
          <w:tcPr>
            <w:tcW w:type="dxa" w:w="3168"/>
            <w:shd w:fill="F8FAFC"/>
            <w:tcMar>
              <w:top w:w="100" w:type="dxa"/>
              <w:bottom w:w="100" w:type="dxa"/>
              <w:left w:w="120" w:type="dxa"/>
              <w:right w:w="120" w:type="dxa"/>
            </w:tcMar>
          </w:tcPr>
          <w:p>
            <w:pPr>
              <w:spacing w:before="0" w:after="0"/>
            </w:pPr>
            <w:r>
              <w:rPr>
                <w:rFonts w:ascii="Calibri" w:hAnsi="Calibri"/>
                <w:color w:val="1E293B"/>
                <w:sz w:val="19"/>
              </w:rPr>
              <w:t>Vanilla JavaScript (ES6+)</w:t>
            </w:r>
          </w:p>
        </w:tc>
        <w:tc>
          <w:tcPr>
            <w:tcW w:type="dxa" w:w="4464"/>
            <w:shd w:fill="F8FAFC"/>
            <w:tcMar>
              <w:top w:w="100" w:type="dxa"/>
              <w:bottom w:w="100" w:type="dxa"/>
              <w:left w:w="120" w:type="dxa"/>
              <w:right w:w="120" w:type="dxa"/>
            </w:tcMar>
          </w:tcPr>
          <w:p>
            <w:pPr>
              <w:spacing w:before="0" w:after="0"/>
            </w:pPr>
            <w:r>
              <w:rPr>
                <w:rFonts w:ascii="Calibri" w:hAnsi="Calibri"/>
                <w:color w:val="1E293B"/>
                <w:sz w:val="19"/>
              </w:rPr>
              <w:t>DOM manipulation, real-time card visualizer, live QR expiry timer, asynchronous payment state toggles, and dynamic GST calculations.</w:t>
            </w:r>
          </w:p>
        </w:tc>
      </w:tr>
      <w:tr>
        <w:tc>
          <w:tcPr>
            <w:tcW w:type="dxa" w:w="2160"/>
            <w:shd w:fill="FFFFFF"/>
            <w:tcMar>
              <w:top w:w="100" w:type="dxa"/>
              <w:bottom w:w="100" w:type="dxa"/>
              <w:left w:w="120" w:type="dxa"/>
              <w:right w:w="120" w:type="dxa"/>
            </w:tcMar>
          </w:tcPr>
          <w:p>
            <w:pPr>
              <w:spacing w:before="0" w:after="0"/>
            </w:pPr>
            <w:r>
              <w:rPr>
                <w:rFonts w:ascii="Calibri" w:hAnsi="Calibri"/>
                <w:b/>
                <w:color w:val="0B1329"/>
                <w:sz w:val="19"/>
              </w:rPr>
              <w:t>Backend (Logic &amp; API)</w:t>
            </w:r>
          </w:p>
        </w:tc>
        <w:tc>
          <w:tcPr>
            <w:tcW w:type="dxa" w:w="3168"/>
            <w:shd w:fill="FFFFFF"/>
            <w:tcMar>
              <w:top w:w="100" w:type="dxa"/>
              <w:bottom w:w="100" w:type="dxa"/>
              <w:left w:w="120" w:type="dxa"/>
              <w:right w:w="120" w:type="dxa"/>
            </w:tcMar>
          </w:tcPr>
          <w:p>
            <w:pPr>
              <w:spacing w:before="0" w:after="0"/>
            </w:pPr>
            <w:r>
              <w:rPr>
                <w:rFonts w:ascii="Calibri" w:hAnsi="Calibri"/>
                <w:color w:val="1E293B"/>
                <w:sz w:val="19"/>
              </w:rPr>
              <w:t>Python 3.14 &amp; Flask Framework</w:t>
            </w:r>
          </w:p>
        </w:tc>
        <w:tc>
          <w:tcPr>
            <w:tcW w:type="dxa" w:w="4464"/>
            <w:shd w:fill="FFFFFF"/>
            <w:tcMar>
              <w:top w:w="100" w:type="dxa"/>
              <w:bottom w:w="100" w:type="dxa"/>
              <w:left w:w="120" w:type="dxa"/>
              <w:right w:w="120" w:type="dxa"/>
            </w:tcMar>
          </w:tcPr>
          <w:p>
            <w:pPr>
              <w:spacing w:before="0" w:after="0"/>
            </w:pPr>
            <w:r>
              <w:rPr>
                <w:rFonts w:ascii="Calibri" w:hAnsi="Calibri"/>
                <w:color w:val="1E293B"/>
                <w:sz w:val="19"/>
              </w:rPr>
              <w:t>Lightweight WSGI microframework handling routing, Jinja2 SSR, session auth, CSRF token validation, and custom template filters (INR formatting).</w:t>
            </w:r>
          </w:p>
        </w:tc>
      </w:tr>
      <w:tr>
        <w:tc>
          <w:tcPr>
            <w:tcW w:type="dxa" w:w="2160"/>
            <w:shd w:fill="F8FAFC"/>
            <w:tcMar>
              <w:top w:w="100" w:type="dxa"/>
              <w:bottom w:w="100" w:type="dxa"/>
              <w:left w:w="120" w:type="dxa"/>
              <w:right w:w="120" w:type="dxa"/>
            </w:tcMar>
          </w:tcPr>
          <w:p>
            <w:pPr>
              <w:spacing w:before="0" w:after="0"/>
            </w:pPr>
            <w:r>
              <w:rPr>
                <w:rFonts w:ascii="Calibri" w:hAnsi="Calibri"/>
                <w:b/>
                <w:color w:val="0B1329"/>
                <w:sz w:val="19"/>
              </w:rPr>
              <w:t>Database &amp; Persistence</w:t>
            </w:r>
          </w:p>
        </w:tc>
        <w:tc>
          <w:tcPr>
            <w:tcW w:type="dxa" w:w="3168"/>
            <w:shd w:fill="F8FAFC"/>
            <w:tcMar>
              <w:top w:w="100" w:type="dxa"/>
              <w:bottom w:w="100" w:type="dxa"/>
              <w:left w:w="120" w:type="dxa"/>
              <w:right w:w="120" w:type="dxa"/>
            </w:tcMar>
          </w:tcPr>
          <w:p>
            <w:pPr>
              <w:spacing w:before="0" w:after="0"/>
            </w:pPr>
            <w:r>
              <w:rPr>
                <w:rFonts w:ascii="Calibri" w:hAnsi="Calibri"/>
                <w:color w:val="1E293B"/>
                <w:sz w:val="19"/>
              </w:rPr>
              <w:t>MySQL 8.0 (InnoDB Engine)</w:t>
            </w:r>
          </w:p>
        </w:tc>
        <w:tc>
          <w:tcPr>
            <w:tcW w:type="dxa" w:w="4464"/>
            <w:shd w:fill="F8FAFC"/>
            <w:tcMar>
              <w:top w:w="100" w:type="dxa"/>
              <w:bottom w:w="100" w:type="dxa"/>
              <w:left w:w="120" w:type="dxa"/>
              <w:right w:w="120" w:type="dxa"/>
            </w:tcMar>
          </w:tcPr>
          <w:p>
            <w:pPr>
              <w:spacing w:before="0" w:after="0"/>
            </w:pPr>
            <w:r>
              <w:rPr>
                <w:rFonts w:ascii="Calibri" w:hAnsi="Calibri"/>
                <w:color w:val="1E293B"/>
                <w:sz w:val="19"/>
              </w:rPr>
              <w:t>ACID transactions, foreign key constraints (RESTRICT/CASCADE), PyMySQL connection pooling with 100% parameterized queries (Zero SQL injection).</w:t>
            </w:r>
          </w:p>
        </w:tc>
      </w:tr>
    </w:tbl>
    <w:p>
      <w:pPr>
        <w:spacing w:before="80" w:after="80"/>
      </w:pPr>
    </w:p>
    <w:p>
      <w:pPr>
        <w:keepNext/>
        <w:spacing w:before="320" w:after="120"/>
      </w:pPr>
      <w:r>
        <w:rPr>
          <w:rFonts w:ascii="Georgia" w:hAnsi="Georgia"/>
          <w:b/>
          <w:color w:val="0B1329"/>
          <w:sz w:val="32"/>
        </w:rPr>
        <w:t>3. Core Functional Modules Breakdown</w:t>
      </w:r>
    </w:p>
    <w:p>
      <w:pPr>
        <w:keepNext/>
        <w:spacing w:before="240" w:after="80"/>
      </w:pPr>
      <w:r>
        <w:rPr>
          <w:rFonts w:ascii="Georgia" w:hAnsi="Georgia"/>
          <w:b/>
          <w:color w:val="C9A24B"/>
          <w:sz w:val="26"/>
        </w:rPr>
        <w:t>A. Client-Facing Luxury E-Commerce Storefront</w:t>
      </w:r>
    </w:p>
    <w:p>
      <w:pPr>
        <w:spacing w:before="40" w:after="60"/>
        <w:ind w:left="360"/>
      </w:pPr>
      <w:r>
        <w:rPr>
          <w:rFonts w:ascii="Calibri" w:hAnsi="Calibri"/>
          <w:b/>
          <w:color w:val="0B1329"/>
          <w:sz w:val="21"/>
        </w:rPr>
        <w:t xml:space="preserve">• Continuous Live Spot Rates Ticker: </w:t>
      </w:r>
      <w:r>
        <w:rPr>
          <w:rFonts w:ascii="Calibri" w:hAnsi="Calibri"/>
          <w:color w:val="1E293B"/>
          <w:sz w:val="21"/>
        </w:rPr>
        <w:t>Newsroom-style infinite marquee displaying real-time benchmark rates for Solitaires, Emeralds, Rubies, Sapphires, and Precious Metal Mountings with pause-on-hover interaction.</w:t>
      </w:r>
    </w:p>
    <w:p>
      <w:pPr>
        <w:spacing w:before="40" w:after="60"/>
        <w:ind w:left="360"/>
      </w:pPr>
      <w:r>
        <w:rPr>
          <w:rFonts w:ascii="Calibri" w:hAnsi="Calibri"/>
          <w:b/>
          <w:color w:val="0B1329"/>
          <w:sz w:val="21"/>
        </w:rPr>
        <w:t xml:space="preserve">• Filterable Jewellery Catalog: </w:t>
      </w:r>
      <w:r>
        <w:rPr>
          <w:rFonts w:ascii="Calibri" w:hAnsi="Calibri"/>
          <w:color w:val="1E293B"/>
          <w:sz w:val="21"/>
        </w:rPr>
        <w:t>Multi-attribute filtering by category (Rings, Necklaces, Earrings, Bangles, Solitaires), price range, purity (18K, 22K, Pt950), and stock availability.</w:t>
      </w:r>
    </w:p>
    <w:p>
      <w:pPr>
        <w:spacing w:before="40" w:after="60"/>
        <w:ind w:left="360"/>
      </w:pPr>
      <w:r>
        <w:rPr>
          <w:rFonts w:ascii="Calibri" w:hAnsi="Calibri"/>
          <w:b/>
          <w:color w:val="0B1329"/>
          <w:sz w:val="21"/>
        </w:rPr>
        <w:t xml:space="preserve">• Isolated Customer Profile at Checkout: </w:t>
      </w:r>
      <w:r>
        <w:rPr>
          <w:rFonts w:ascii="Calibri" w:hAnsi="Calibri"/>
          <w:color w:val="1E293B"/>
          <w:sz w:val="21"/>
        </w:rPr>
        <w:t>Strict privacy-isolated saved profiles. Clicking "Use Saved Profile" cleanly populates only the authenticated patron’s verified name, phone, address, city, state, and PIN code. Zero leakage of third-party customer records.</w:t>
      </w:r>
    </w:p>
    <w:p>
      <w:pPr>
        <w:spacing w:before="40" w:after="60"/>
        <w:ind w:left="360"/>
      </w:pPr>
      <w:r>
        <w:rPr>
          <w:rFonts w:ascii="Calibri" w:hAnsi="Calibri"/>
          <w:b/>
          <w:color w:val="0B1329"/>
          <w:sz w:val="21"/>
        </w:rPr>
        <w:t xml:space="preserve">• Dynamic Vector SVG UPI QR Code: </w:t>
      </w:r>
      <w:r>
        <w:rPr>
          <w:rFonts w:ascii="Calibri" w:hAnsi="Calibri"/>
          <w:color w:val="1E293B"/>
          <w:sz w:val="21"/>
        </w:rPr>
        <w:t>Real-time high-resolution SVG QR code encoding authentic upi://pay merchant URI with custom center diamond emblem, BHIM UPI branding, live payable amount badge, and a 10-minute expiry countdown timer.</w:t>
      </w:r>
    </w:p>
    <w:p>
      <w:pPr>
        <w:spacing w:before="40" w:after="60"/>
        <w:ind w:left="360"/>
      </w:pPr>
      <w:r>
        <w:rPr>
          <w:rFonts w:ascii="Calibri" w:hAnsi="Calibri"/>
          <w:b/>
          <w:color w:val="0B1329"/>
          <w:sz w:val="21"/>
        </w:rPr>
        <w:t xml:space="preserve">• 3D Metallic Card Visualizer: </w:t>
      </w:r>
      <w:r>
        <w:rPr>
          <w:rFonts w:ascii="Calibri" w:hAnsi="Calibri"/>
          <w:color w:val="1E293B"/>
          <w:sz w:val="21"/>
        </w:rPr>
        <w:t>Interactive card graphic with EMV gold chip, dynamic cardholder name, formatted 16-digit card input, and real-time brand detection (VISA, Mastercard, RuPay, AMEX).</w:t>
      </w:r>
    </w:p>
    <w:p>
      <w:pPr>
        <w:spacing w:before="40" w:after="60"/>
        <w:ind w:left="360"/>
      </w:pPr>
      <w:r>
        <w:rPr>
          <w:rFonts w:ascii="Calibri" w:hAnsi="Calibri"/>
          <w:b/>
          <w:color w:val="0B1329"/>
          <w:sz w:val="21"/>
        </w:rPr>
        <w:t xml:space="preserve">• Cash on Delivery (COD): </w:t>
      </w:r>
      <w:r>
        <w:rPr>
          <w:rFonts w:ascii="Calibri" w:hAnsi="Calibri"/>
          <w:color w:val="1E293B"/>
          <w:sz w:val="21"/>
        </w:rPr>
        <w:t>Doorstep payment option featuring serialized tamper-evident security vault pouch handover, with option for physical cash or digital courier POS terminal tap upon delivery.</w:t>
      </w:r>
    </w:p>
    <w:p>
      <w:pPr>
        <w:spacing w:before="40" w:after="60"/>
        <w:ind w:left="360"/>
      </w:pPr>
      <w:r>
        <w:rPr>
          <w:rFonts w:ascii="Calibri" w:hAnsi="Calibri"/>
          <w:b/>
          <w:color w:val="0B1329"/>
          <w:sz w:val="21"/>
        </w:rPr>
        <w:t xml:space="preserve">• Statutory PDF Invoice &amp; HTML Printing: </w:t>
      </w:r>
      <w:r>
        <w:rPr>
          <w:rFonts w:ascii="Calibri" w:hAnsi="Calibri"/>
          <w:color w:val="1E293B"/>
          <w:sz w:val="21"/>
        </w:rPr>
        <w:t>ReportLab-driven dynamic A4 PDF invoice generator and printable web receipt featuring official 3% jewellery GST split, BIS Hallmarking registration, and Indian Rupee word conversion.</w:t>
      </w:r>
    </w:p>
    <w:p>
      <w:pPr>
        <w:spacing w:before="40" w:after="60"/>
        <w:ind w:left="360"/>
      </w:pPr>
      <w:r>
        <w:rPr>
          <w:rFonts w:ascii="Calibri" w:hAnsi="Calibri"/>
          <w:b/>
          <w:color w:val="0B1329"/>
          <w:sz w:val="21"/>
        </w:rPr>
        <w:t xml:space="preserve">• Dedicated Patron Profile Portal (/account/profile): </w:t>
      </w:r>
      <w:r>
        <w:rPr>
          <w:rFonts w:ascii="Calibri" w:hAnsi="Calibri"/>
          <w:color w:val="1E293B"/>
          <w:sz w:val="21"/>
        </w:rPr>
        <w:t>Allows authenticated customers to review their account tier, manage default delivery particulars, track orders, and view accumulated loyalty points.</w:t>
      </w:r>
    </w:p>
    <w:p>
      <w:pPr>
        <w:keepNext/>
        <w:spacing w:before="240" w:after="80"/>
      </w:pPr>
      <w:r>
        <w:rPr>
          <w:rFonts w:ascii="Georgia" w:hAnsi="Georgia"/>
          <w:b/>
          <w:color w:val="C9A24B"/>
          <w:sz w:val="26"/>
        </w:rPr>
        <w:t>B. Enterprise Boutique ERP &amp; POS Management System</w:t>
      </w:r>
    </w:p>
    <w:p>
      <w:pPr>
        <w:spacing w:before="40" w:after="60"/>
        <w:ind w:left="360"/>
      </w:pPr>
      <w:r>
        <w:rPr>
          <w:rFonts w:ascii="Calibri" w:hAnsi="Calibri"/>
          <w:b/>
          <w:color w:val="0B1329"/>
          <w:sz w:val="21"/>
        </w:rPr>
        <w:t xml:space="preserve">• Role-Based Access Control (RBAC): </w:t>
      </w:r>
      <w:r>
        <w:rPr>
          <w:rFonts w:ascii="Calibri" w:hAnsi="Calibri"/>
          <w:color w:val="1E293B"/>
          <w:sz w:val="21"/>
        </w:rPr>
        <w:t>Granular permissions segregating Admin, Manager, and Staff roles via Flask decorators (@role_required, @login_required).</w:t>
      </w:r>
    </w:p>
    <w:p>
      <w:pPr>
        <w:spacing w:before="40" w:after="60"/>
        <w:ind w:left="360"/>
      </w:pPr>
      <w:r>
        <w:rPr>
          <w:rFonts w:ascii="Calibri" w:hAnsi="Calibri"/>
          <w:b/>
          <w:color w:val="0B1329"/>
          <w:sz w:val="21"/>
        </w:rPr>
        <w:t xml:space="preserve">• Inventory &amp; Product Management: </w:t>
      </w:r>
      <w:r>
        <w:rPr>
          <w:rFonts w:ascii="Calibri" w:hAnsi="Calibri"/>
          <w:color w:val="1E293B"/>
          <w:sz w:val="21"/>
        </w:rPr>
        <w:t>Full lifecycle tracking of precious jewellery items: gross weight, net gold weight (grams), stone carats, purity karats, making charges, and stock quantities.</w:t>
      </w:r>
    </w:p>
    <w:p>
      <w:pPr>
        <w:spacing w:before="40" w:after="60"/>
        <w:ind w:left="360"/>
      </w:pPr>
      <w:r>
        <w:rPr>
          <w:rFonts w:ascii="Calibri" w:hAnsi="Calibri"/>
          <w:b/>
          <w:color w:val="0B1329"/>
          <w:sz w:val="21"/>
        </w:rPr>
        <w:t xml:space="preserve">• Client CRM &amp; Loyalty Engine: </w:t>
      </w:r>
      <w:r>
        <w:rPr>
          <w:rFonts w:ascii="Calibri" w:hAnsi="Calibri"/>
          <w:color w:val="1E293B"/>
          <w:sz w:val="21"/>
        </w:rPr>
        <w:t>Tracks client acquisition history, contact books, lifetime spend, and auto-accrues loyalty reward points upon invoice generation via database triggers.</w:t>
      </w:r>
    </w:p>
    <w:p>
      <w:pPr>
        <w:spacing w:before="40" w:after="60"/>
        <w:ind w:left="360"/>
      </w:pPr>
      <w:r>
        <w:rPr>
          <w:rFonts w:ascii="Calibri" w:hAnsi="Calibri"/>
          <w:b/>
          <w:color w:val="0B1329"/>
          <w:sz w:val="21"/>
        </w:rPr>
        <w:t xml:space="preserve">• Point-of-Sale Billing (In-Store): </w:t>
      </w:r>
      <w:r>
        <w:rPr>
          <w:rFonts w:ascii="Calibri" w:hAnsi="Calibri"/>
          <w:color w:val="1E293B"/>
          <w:sz w:val="21"/>
        </w:rPr>
        <w:t>Counter billing terminal with automatic discount calculations, statutory GST breakdown, and immediate computerized receipt generation.</w:t>
      </w:r>
    </w:p>
    <w:p>
      <w:pPr>
        <w:spacing w:before="40" w:after="60"/>
        <w:ind w:left="360"/>
      </w:pPr>
      <w:r>
        <w:rPr>
          <w:rFonts w:ascii="Calibri" w:hAnsi="Calibri"/>
          <w:b/>
          <w:color w:val="0B1329"/>
          <w:sz w:val="21"/>
        </w:rPr>
        <w:t xml:space="preserve">• Analytics &amp; Executive Reports: </w:t>
      </w:r>
      <w:r>
        <w:rPr>
          <w:rFonts w:ascii="Calibri" w:hAnsi="Calibri"/>
          <w:color w:val="1E293B"/>
          <w:sz w:val="21"/>
        </w:rPr>
        <w:t>Daily, weekly, and monthly sales aggregation, top-selling categories, revenue trends, and CSV/PDF export.</w:t>
      </w:r>
    </w:p>
    <w:p>
      <w:pPr>
        <w:keepNext/>
        <w:spacing w:before="320" w:after="120"/>
      </w:pPr>
      <w:r>
        <w:rPr>
          <w:rFonts w:ascii="Georgia" w:hAnsi="Georgia"/>
          <w:b/>
          <w:color w:val="0B1329"/>
          <w:sz w:val="32"/>
        </w:rPr>
        <w:t>4. Technical Innovations &amp; Defense Highlights for Teachers</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left w:val="single" w:sz="24" w:space="0" w:color="C9A24B"/>
              <w:top w:val="none"/>
              <w:right w:val="none"/>
              <w:bottom w:val="none"/>
            </w:tcBorders>
          </w:tcPr>
          <w:p>
            <w:pPr>
              <w:spacing w:before="0" w:after="40"/>
            </w:pPr>
            <w:r>
              <w:rPr>
                <w:rFonts w:ascii="Calibri" w:hAnsi="Calibri"/>
                <w:i/>
                <w:color w:val="0B1329"/>
                <w:sz w:val="20"/>
              </w:rPr>
              <w:t>“Concurrency &amp; Stock Integrity: During checkout and payment authorization, the system applies MySQL row-level locking (SELECT ... FOR UPDATE) inside an ACID transaction block. This guarantees that concurrent orders cannot oversell limited, high-value solitaire items or corrupt inventory state.”</w:t>
            </w:r>
          </w:p>
          <w:p>
            <w:pPr>
              <w:spacing w:before="40" w:after="0"/>
              <w:jc w:val="right"/>
            </w:pPr>
            <w:r>
              <w:rPr>
                <w:rFonts w:ascii="Calibri" w:hAnsi="Calibri"/>
                <w:b/>
                <w:color w:val="C9A24B"/>
                <w:sz w:val="18"/>
              </w:rPr>
              <w:t>— Concurrency Architecture</w:t>
            </w:r>
          </w:p>
        </w:tc>
      </w:tr>
    </w:tbl>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left w:val="single" w:sz="24" w:space="0" w:color="C9A24B"/>
              <w:top w:val="none"/>
              <w:right w:val="none"/>
              <w:bottom w:val="none"/>
            </w:tcBorders>
          </w:tcPr>
          <w:p>
            <w:pPr>
              <w:spacing w:before="0" w:after="40"/>
            </w:pPr>
            <w:r>
              <w:rPr>
                <w:rFonts w:ascii="Calibri" w:hAnsi="Calibri"/>
                <w:i/>
                <w:color w:val="0B1329"/>
                <w:sz w:val="20"/>
              </w:rPr>
              <w:t>“Zero SQL Injection Guarantee: All database interactions across the entire platform utilize PyMySQL parameterized queries (%s placeholders). String concatenation for SQL queries is strictly prohibited across the codebase, guaranteeing complete immunity against injection vulnerabilities.”</w:t>
            </w:r>
          </w:p>
          <w:p>
            <w:pPr>
              <w:spacing w:before="40" w:after="0"/>
              <w:jc w:val="right"/>
            </w:pPr>
            <w:r>
              <w:rPr>
                <w:rFonts w:ascii="Calibri" w:hAnsi="Calibri"/>
                <w:b/>
                <w:color w:val="C9A24B"/>
                <w:sz w:val="18"/>
              </w:rPr>
              <w:t>— Application Security</w:t>
            </w:r>
          </w:p>
        </w:tc>
      </w:tr>
    </w:tbl>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left w:val="single" w:sz="24" w:space="0" w:color="C9A24B"/>
              <w:top w:val="none"/>
              <w:right w:val="none"/>
              <w:bottom w:val="none"/>
            </w:tcBorders>
          </w:tcPr>
          <w:p>
            <w:pPr>
              <w:spacing w:before="0" w:after="40"/>
            </w:pPr>
            <w:r>
              <w:rPr>
                <w:rFonts w:ascii="Calibri" w:hAnsi="Calibri"/>
                <w:i/>
                <w:color w:val="0B1329"/>
                <w:sz w:val="20"/>
              </w:rPr>
              <w:t>“Statutory Indian Jewellery Compliance: Computes statutory 3% GST (1.5% CGST + 1.5% SGST), validates BIS HUID Hallmark identification numbers, assigns unique sequential financial-year invoice codes, and uses an algorithmic number-to-words converter for formal legal enforceability.”</w:t>
            </w:r>
          </w:p>
          <w:p>
            <w:pPr>
              <w:spacing w:before="40" w:after="0"/>
              <w:jc w:val="right"/>
            </w:pPr>
            <w:r>
              <w:rPr>
                <w:rFonts w:ascii="Calibri" w:hAnsi="Calibri"/>
                <w:b/>
                <w:color w:val="C9A24B"/>
                <w:sz w:val="18"/>
              </w:rPr>
              <w:t>— Statutory Tax Engine</w:t>
            </w:r>
          </w:p>
        </w:tc>
      </w:tr>
    </w:tbl>
    <w:p>
      <w:pPr>
        <w:keepNext/>
        <w:spacing w:before="320" w:after="120"/>
      </w:pPr>
      <w:r>
        <w:rPr>
          <w:rFonts w:ascii="Georgia" w:hAnsi="Georgia"/>
          <w:b/>
          <w:color w:val="0B1329"/>
          <w:sz w:val="32"/>
        </w:rPr>
        <w:t>5. Step-by-Step Live Demonstration Walkthrough</w:t>
      </w:r>
    </w:p>
    <w:p>
      <w:pPr>
        <w:spacing w:before="40" w:after="60"/>
        <w:ind w:left="360"/>
      </w:pPr>
      <w:r>
        <w:rPr>
          <w:rFonts w:ascii="Calibri" w:hAnsi="Calibri"/>
          <w:b/>
          <w:color w:val="0B1329"/>
          <w:sz w:val="21"/>
        </w:rPr>
        <w:t xml:space="preserve">• 1. Homepage &amp; Storefront Showcase: </w:t>
      </w:r>
      <w:r>
        <w:rPr>
          <w:rFonts w:ascii="Calibri" w:hAnsi="Calibri"/>
          <w:color w:val="1E293B"/>
          <w:sz w:val="21"/>
        </w:rPr>
        <w:t>Open http://127.0.0.1:5001/. Point out the moving spot rates ticker, Google Maps boutique location card (Damco Society, Koregaon Park), client testimonials, and clean header navigation.</w:t>
      </w:r>
    </w:p>
    <w:p>
      <w:pPr>
        <w:spacing w:before="40" w:after="60"/>
        <w:ind w:left="360"/>
      </w:pPr>
      <w:r>
        <w:rPr>
          <w:rFonts w:ascii="Calibri" w:hAnsi="Calibri"/>
          <w:b/>
          <w:color w:val="0B1329"/>
          <w:sz w:val="21"/>
        </w:rPr>
        <w:t xml:space="preserve">• 2. Product Discovery &amp; Cart: </w:t>
      </w:r>
      <w:r>
        <w:rPr>
          <w:rFonts w:ascii="Calibri" w:hAnsi="Calibri"/>
          <w:color w:val="1E293B"/>
          <w:sz w:val="21"/>
        </w:rPr>
        <w:t>Navigate to /shop. Filter by category (e.g., Necklaces or Rings). Open a product detail page, inspect the hallmark purity and weight specifications, and click "Add to Bag".</w:t>
      </w:r>
    </w:p>
    <w:p>
      <w:pPr>
        <w:spacing w:before="40" w:after="60"/>
        <w:ind w:left="360"/>
      </w:pPr>
      <w:r>
        <w:rPr>
          <w:rFonts w:ascii="Calibri" w:hAnsi="Calibri"/>
          <w:b/>
          <w:color w:val="0B1329"/>
          <w:sz w:val="21"/>
        </w:rPr>
        <w:t xml:space="preserve">• 3. Cart &amp; Statutory Breakdown: </w:t>
      </w:r>
      <w:r>
        <w:rPr>
          <w:rFonts w:ascii="Calibri" w:hAnsi="Calibri"/>
          <w:color w:val="1E293B"/>
          <w:sz w:val="21"/>
        </w:rPr>
        <w:t>Go to /cart. Show the item list, quantity adjustment, and the automatic 3% statutory jewellery GST calculation.</w:t>
      </w:r>
    </w:p>
    <w:p>
      <w:pPr>
        <w:spacing w:before="40" w:after="60"/>
        <w:ind w:left="360"/>
      </w:pPr>
      <w:r>
        <w:rPr>
          <w:rFonts w:ascii="Calibri" w:hAnsi="Calibri"/>
          <w:b/>
          <w:color w:val="0B1329"/>
          <w:sz w:val="21"/>
        </w:rPr>
        <w:t xml:space="preserve">• 4. Checkout &amp; Saved Profile Isolation: </w:t>
      </w:r>
      <w:r>
        <w:rPr>
          <w:rFonts w:ascii="Calibri" w:hAnsi="Calibri"/>
          <w:color w:val="1E293B"/>
          <w:sz w:val="21"/>
        </w:rPr>
        <w:t>Navigate to /checkout. Demonstrate that clicking "Use Saved Profile" loads only the authenticated customer’s profile (Disha Sherigar) without leaking any third-party data. Point out the "Cash on Delivery (COD)" selection.</w:t>
      </w:r>
    </w:p>
    <w:p>
      <w:pPr>
        <w:spacing w:before="40" w:after="60"/>
        <w:ind w:left="360"/>
      </w:pPr>
      <w:r>
        <w:rPr>
          <w:rFonts w:ascii="Calibri" w:hAnsi="Calibri"/>
          <w:b/>
          <w:color w:val="0B1329"/>
          <w:sz w:val="21"/>
        </w:rPr>
        <w:t xml:space="preserve">• 5. Luxury Payment Gateway: </w:t>
      </w:r>
      <w:r>
        <w:rPr>
          <w:rFonts w:ascii="Calibri" w:hAnsi="Calibri"/>
          <w:color w:val="1E293B"/>
          <w:sz w:val="21"/>
        </w:rPr>
        <w:t>On the payment page, show the Dynamic Vector UPI QR Code with live countdown timer and center diamond emblem. Switch to the "Cards" tab to demonstrate the 3D metallic card visualizer and auto-brand detection. Use the top Test Sandbox chip to simulate an instant payment.</w:t>
      </w:r>
    </w:p>
    <w:p>
      <w:pPr>
        <w:spacing w:before="40" w:after="60"/>
        <w:ind w:left="360"/>
      </w:pPr>
      <w:r>
        <w:rPr>
          <w:rFonts w:ascii="Calibri" w:hAnsi="Calibri"/>
          <w:b/>
          <w:color w:val="0B1329"/>
          <w:sz w:val="21"/>
        </w:rPr>
        <w:t xml:space="preserve">• 6. Order Confirmation &amp; GST Tax Invoice: </w:t>
      </w:r>
      <w:r>
        <w:rPr>
          <w:rFonts w:ascii="Calibri" w:hAnsi="Calibri"/>
          <w:color w:val="1E293B"/>
          <w:sz w:val="21"/>
        </w:rPr>
        <w:t>On /order-confirmation/&lt;id&gt;, click "Download Tax Invoice (PDF)" to showcase the ReportLab-generated legal A4 invoice with BIS Hallmarking and GST breakdown. Click "View &amp; Print Invoice" to show the browser-native receipt.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