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0" w:after="0"/>
      </w:pPr>
      <w:r>
        <w:rPr>
          <w:rFonts w:ascii="Calibri" w:hAnsi="Calibri"/>
          <w:b/>
          <w:color w:val="5980A6"/>
          <w:sz w:val="20"/>
        </w:rPr>
        <w:t>PRISM ARCHITECTURE</w:t>
      </w:r>
    </w:p>
    <w:p>
      <w:pPr>
        <w:spacing w:before="0" w:after="80"/>
      </w:pPr>
      <w:r>
        <w:rPr>
          <w:rFonts w:ascii="Calibri" w:hAnsi="Calibri"/>
          <w:b/>
          <w:color w:val="1C1F22"/>
          <w:sz w:val="68"/>
        </w:rPr>
        <w:t>Index</w:t>
      </w:r>
    </w:p>
    <w:p>
      <w:pPr>
        <w:pBdr>
          <w:bottom w:val="single" w:sz="8" w:space="10" w:color="C9CCD0"/>
        </w:pBdr>
      </w:pPr>
      <w:r>
        <w:rPr>
          <w:rFonts w:ascii="Calibri" w:hAnsi="Calibri"/>
          <w:color w:val="4A5057"/>
          <w:sz w:val="26"/>
        </w:rPr>
        <w:t>How to read this set</w:t>
      </w:r>
    </w:p>
    <w:p>
      <w:pPr>
        <w:spacing w:before="320"/>
      </w:pPr>
      <w:r>
        <w:rPr>
          <w:rFonts w:ascii="Calibri" w:hAnsi="Calibri"/>
          <w:b/>
          <w:color w:val="767C84"/>
          <w:sz w:val="18"/>
        </w:rPr>
        <w:t>Product</w:t>
        <w:tab/>
      </w:r>
      <w:r>
        <w:rPr>
          <w:rFonts w:ascii="Calibri" w:hAnsi="Calibri"/>
          <w:color w:val="4A5057"/>
          <w:sz w:val="18"/>
        </w:rPr>
        <w:t>Prism  ·  version 1.3.0</w:t>
        <w:br/>
      </w:r>
      <w:r>
        <w:rPr>
          <w:rFonts w:ascii="Calibri" w:hAnsi="Calibri"/>
          <w:b/>
          <w:color w:val="767C84"/>
          <w:sz w:val="18"/>
        </w:rPr>
        <w:t>Commit</w:t>
        <w:tab/>
      </w:r>
      <w:r>
        <w:rPr>
          <w:rFonts w:ascii="Calibri" w:hAnsi="Calibri"/>
          <w:color w:val="4A5057"/>
          <w:sz w:val="18"/>
        </w:rPr>
        <w:t>20292f4</w:t>
        <w:br/>
      </w:r>
      <w:r>
        <w:rPr>
          <w:rFonts w:ascii="Calibri" w:hAnsi="Calibri"/>
          <w:b/>
          <w:color w:val="767C84"/>
          <w:sz w:val="18"/>
        </w:rPr>
        <w:t>Drawn</w:t>
        <w:tab/>
      </w:r>
      <w:r>
        <w:rPr>
          <w:rFonts w:ascii="Calibri" w:hAnsi="Calibri"/>
          <w:color w:val="4A5057"/>
          <w:sz w:val="18"/>
        </w:rPr>
        <w:t>26 August 2026</w:t>
        <w:br/>
      </w:r>
      <w:r>
        <w:rPr>
          <w:rFonts w:ascii="Calibri" w:hAnsi="Calibri"/>
          <w:b/>
          <w:color w:val="767C84"/>
          <w:sz w:val="18"/>
        </w:rPr>
        <w:t>Source</w:t>
        <w:tab/>
      </w:r>
      <w:r>
        <w:rPr>
          <w:rFonts w:ascii="Calibri" w:hAnsi="Calibri"/>
          <w:color w:val="4A5057"/>
          <w:sz w:val="18"/>
        </w:rPr>
        <w:t>docs/architecture/ — Markdown is the master</w:t>
        <w:br/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color w:val="3F6288"/>
        </w:rPr>
        <w:t>Index</w:t>
      </w:r>
    </w:p>
    <w:p>
      <w:pPr>
        <w:spacing w:after="140"/>
      </w:pPr>
      <w:r>
        <w:rPr>
          <w:rFonts w:ascii="Calibri" w:hAnsi="Calibri"/>
          <w:b/>
          <w:sz w:val="21"/>
        </w:rPr>
        <w:t>Audience:</w:t>
      </w:r>
      <w:r>
        <w:rPr>
          <w:rFonts w:ascii="Calibri" w:hAnsi="Calibri"/>
          <w:sz w:val="21"/>
        </w:rPr>
        <w:t xml:space="preserve"> the product manager and maintainer, and anyone joining the team. </w:t>
      </w:r>
      <w:r>
        <w:rPr>
          <w:rFonts w:ascii="Calibri" w:hAnsi="Calibri"/>
          <w:b/>
          <w:sz w:val="21"/>
        </w:rPr>
        <w:t>Purpose:</w:t>
      </w:r>
      <w:r>
        <w:rPr>
          <w:rFonts w:ascii="Calibri" w:hAnsi="Calibri"/>
          <w:sz w:val="21"/>
        </w:rPr>
        <w:t xml:space="preserve"> understand the whole system without reading 74,000 lines of code.</w:t>
      </w:r>
    </w:p>
    <w:p>
      <w:pPr>
        <w:spacing w:after="140"/>
      </w:pPr>
      <w:r>
        <w:rPr>
          <w:rFonts w:ascii="Calibri" w:hAnsi="Calibri"/>
          <w:sz w:val="21"/>
        </w:rPr>
        <w:t xml:space="preserve">This set is the </w:t>
      </w:r>
      <w:r>
        <w:rPr>
          <w:rFonts w:ascii="Calibri" w:hAnsi="Calibri"/>
          <w:i/>
          <w:sz w:val="21"/>
        </w:rPr>
        <w:t>technical</w:t>
      </w:r>
      <w:r>
        <w:rPr>
          <w:rFonts w:ascii="Calibri" w:hAnsi="Calibri"/>
          <w:sz w:val="21"/>
        </w:rPr>
        <w:t xml:space="preserve"> reference. It says what the system is, what data it holds, where that data comes from and goes, and what every module is responsible for. It deliberately does </w:t>
      </w:r>
      <w:r>
        <w:rPr>
          <w:rFonts w:ascii="Calibri" w:hAnsi="Calibri"/>
          <w:b/>
          <w:sz w:val="21"/>
        </w:rPr>
        <w:t>not</w:t>
      </w:r>
      <w:r>
        <w:rPr>
          <w:rFonts w:ascii="Calibri" w:hAnsi="Calibri"/>
          <w:sz w:val="21"/>
        </w:rPr>
        <w:t xml:space="preserve"> re-argue product decisions — those live in the documents listed under "Where the reasoning lives" below, and this set links out to them rather than restating them.</w:t>
      </w:r>
    </w:p>
    <w:p>
      <w:pPr>
        <w:spacing w:after="140"/>
      </w:pPr>
      <w:r>
        <w:rPr>
          <w:rFonts w:ascii="Calibri" w:hAnsi="Calibri"/>
          <w:b/>
          <w:sz w:val="21"/>
        </w:rPr>
        <w:t>Last updated:</w:t>
      </w:r>
      <w:r>
        <w:rPr>
          <w:rFonts w:ascii="Calibri" w:hAnsi="Calibri"/>
          <w:sz w:val="21"/>
        </w:rPr>
        <w:t xml:space="preserve"> 2026-08-26 · against commit </w:t>
      </w:r>
      <w:r>
        <w:rPr>
          <w:rFonts w:ascii="Consolas" w:hAnsi="Consolas"/>
          <w:color w:val="3F6288"/>
          <w:sz w:val="20"/>
        </w:rPr>
        <w:t>20292f4</w:t>
      </w:r>
      <w:r>
        <w:rPr>
          <w:rFonts w:ascii="Calibri" w:hAnsi="Calibri"/>
          <w:sz w:val="21"/>
        </w:rPr>
        <w:t xml:space="preserve">, app version </w:t>
      </w:r>
      <w:r>
        <w:rPr>
          <w:rFonts w:ascii="Consolas" w:hAnsi="Consolas"/>
          <w:color w:val="3F6288"/>
          <w:sz w:val="20"/>
        </w:rPr>
        <w:t>1.3.0</w:t>
      </w:r>
      <w:r>
        <w:rPr>
          <w:rFonts w:ascii="Calibri" w:hAnsi="Calibri"/>
          <w:sz w:val="21"/>
        </w:rPr>
        <w:t>.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Read in this order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#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Document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Answers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3F6288"/>
                <w:sz w:val="19"/>
                <w:u w:val="single"/>
              </w:rPr>
              <w:t>System overview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What is Prism, what are the layers, what runs on which thread, what happens at startup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3F6288"/>
                <w:sz w:val="19"/>
                <w:u w:val="single"/>
              </w:rPr>
              <w:t>Data model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Every file on disk, every field in it, every in-memory record, and how they relate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3F6288"/>
                <w:sz w:val="19"/>
                <w:u w:val="single"/>
              </w:rPr>
              <w:t>Data flow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Every pipeline, stage by stage: input → process → output → destination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3F6288"/>
                <w:sz w:val="19"/>
                <w:u w:val="single"/>
              </w:rPr>
              <w:t>API reference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Internal module surface, and every external service Prism talks to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3F6288"/>
                <w:sz w:val="19"/>
                <w:u w:val="single"/>
              </w:rPr>
              <w:t>Licensing &amp; authorisation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gate on every launch and every add-on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3F6288"/>
                <w:sz w:val="19"/>
                <w:u w:val="single"/>
              </w:rPr>
              <w:t>Add-on subsystems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Email automation, BOQ, Gerber, Reel/Studio, Email blast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3F6288"/>
                <w:sz w:val="19"/>
                <w:u w:val="single"/>
              </w:rPr>
              <w:t>Operations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Build, CI, release, tests, configuration, environment, failure modes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3F6288"/>
                <w:sz w:val="19"/>
                <w:u w:val="single"/>
              </w:rPr>
              <w:t>System state &amp; roadmap map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What is built, what is half-built, what is deliberately not built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hAnsi="Calibri"/>
          <w:color w:val="3F6288"/>
        </w:rPr>
        <w:t>The thirty-second version</w:t>
      </w:r>
    </w:p>
    <w:p>
      <w:pPr>
        <w:spacing w:after="140"/>
      </w:pPr>
      <w:r>
        <w:rPr>
          <w:rFonts w:ascii="Calibri" w:hAnsi="Calibri"/>
          <w:sz w:val="21"/>
        </w:rPr>
        <w:t xml:space="preserve">Prism is a </w:t>
      </w:r>
      <w:r>
        <w:rPr>
          <w:rFonts w:ascii="Calibri" w:hAnsi="Calibri"/>
          <w:b/>
          <w:sz w:val="21"/>
        </w:rPr>
        <w:t>native PySide6/Qt desktop application</w:t>
      </w:r>
      <w:r>
        <w:rPr>
          <w:rFonts w:ascii="Calibri" w:hAnsi="Calibri"/>
          <w:sz w:val="21"/>
        </w:rPr>
        <w:t xml:space="preserve"> — no browser, no local server, no backend of its own. It takes a task in plain language, works out which AI tools it needs, and drives those tools </w:t>
      </w:r>
      <w:r>
        <w:rPr>
          <w:rFonts w:ascii="Calibri" w:hAnsi="Calibri"/>
          <w:b/>
          <w:sz w:val="21"/>
        </w:rPr>
        <w:t>in the user's own Chrome, signed in as them</w:t>
      </w:r>
      <w:r>
        <w:rPr>
          <w:rFonts w:ascii="Calibri" w:hAnsi="Calibri"/>
          <w:sz w:val="21"/>
        </w:rPr>
        <w:t>. On top of that sits a shelf of add-ons for small Indian manufacturers: read the inbox and keep an inquiry register, take quantities off a CAD drawing, measure a PCB job, send email from the user's own account, make a short video.</w:t>
      </w:r>
    </w:p>
    <w:p>
      <w:pPr>
        <w:spacing w:after="140"/>
      </w:pPr>
      <w:r>
        <w:rPr>
          <w:rFonts w:ascii="Calibri" w:hAnsi="Calibri"/>
          <w:sz w:val="21"/>
        </w:rPr>
        <w:t>Three properties shape every decision in the codebase:</w:t>
      </w:r>
    </w:p>
    <w:p>
      <w:pPr>
        <w:pStyle w:val="ListNumber"/>
        <w:spacing w:before="0" w:after="60"/>
      </w:pPr>
      <w:r>
        <w:rPr>
          <w:rFonts w:ascii="Calibri" w:hAnsi="Calibri"/>
          <w:b/>
          <w:sz w:val="21"/>
        </w:rPr>
        <w:t>The customer's data stays on the customer's machine.</w:t>
      </w:r>
      <w:r>
        <w:rPr>
          <w:rFonts w:ascii="Calibri" w:hAnsi="Calibri"/>
          <w:sz w:val="21"/>
        </w:rPr>
        <w:t xml:space="preserve"> There is no Prism server that receives customer content. The only outbound calls are to Groq (small text snippets, and only when local rules cannot settle a question), the licence server (never content), and the user's own mail servers.</w:t>
      </w:r>
    </w:p>
    <w:p>
      <w:pPr>
        <w:pStyle w:val="ListNumber"/>
        <w:spacing w:before="0" w:after="60"/>
      </w:pPr>
      <w:r>
        <w:rPr>
          <w:rFonts w:ascii="Calibri" w:hAnsi="Calibri"/>
          <w:b/>
          <w:sz w:val="21"/>
        </w:rPr>
        <w:t>Prism has no AI engine of its own.</w:t>
      </w:r>
      <w:r>
        <w:rPr>
          <w:rFonts w:ascii="Calibri" w:hAnsi="Calibri"/>
          <w:sz w:val="21"/>
        </w:rPr>
        <w:t xml:space="preserve"> </w:t>
      </w:r>
      <w:r>
        <w:rPr>
          <w:rFonts w:ascii="Consolas" w:hAnsi="Consolas"/>
          <w:color w:val="3F6288"/>
          <w:sz w:val="20"/>
        </w:rPr>
        <w:t>core_bridge.py</w:t>
      </w:r>
      <w:r>
        <w:rPr>
          <w:rFonts w:ascii="Calibri" w:hAnsi="Calibri"/>
          <w:sz w:val="21"/>
        </w:rPr>
        <w:t xml:space="preserve"> imports the </w:t>
      </w:r>
      <w:r>
        <w:rPr>
          <w:rFonts w:ascii="Consolas" w:hAnsi="Consolas"/>
          <w:color w:val="3F6288"/>
          <w:sz w:val="20"/>
        </w:rPr>
        <w:t>prism_terminal</w:t>
      </w:r>
      <w:r>
        <w:rPr>
          <w:rFonts w:ascii="Calibri" w:hAnsi="Calibri"/>
          <w:sz w:val="21"/>
        </w:rPr>
        <w:t xml:space="preserve"> submodule's </w:t>
      </w:r>
      <w:r>
        <w:rPr>
          <w:rFonts w:ascii="Consolas" w:hAnsi="Consolas"/>
          <w:color w:val="3F6288"/>
          <w:sz w:val="20"/>
        </w:rPr>
        <w:t>core/</w:t>
      </w:r>
      <w:r>
        <w:rPr>
          <w:rFonts w:ascii="Calibri" w:hAnsi="Calibri"/>
          <w:sz w:val="21"/>
        </w:rPr>
        <w:t xml:space="preserve"> package. The CLI and the GUI run </w:t>
      </w:r>
      <w:r>
        <w:rPr>
          <w:rFonts w:ascii="Calibri" w:hAnsi="Calibri"/>
          <w:i/>
          <w:sz w:val="21"/>
        </w:rPr>
        <w:t>identical</w:t>
      </w:r>
      <w:r>
        <w:rPr>
          <w:rFonts w:ascii="Calibri" w:hAnsi="Calibri"/>
          <w:sz w:val="21"/>
        </w:rPr>
        <w:t xml:space="preserve"> routing, automation, voice and file-finding code, and share one </w:t>
      </w:r>
      <w:r>
        <w:rPr>
          <w:rFonts w:ascii="Consolas" w:hAnsi="Consolas"/>
          <w:color w:val="3F6288"/>
          <w:sz w:val="20"/>
        </w:rPr>
        <w:t>~/.prism/config.json</w:t>
      </w:r>
      <w:r>
        <w:rPr>
          <w:rFonts w:ascii="Calibri" w:hAnsi="Calibri"/>
          <w:sz w:val="21"/>
        </w:rPr>
        <w:t>.</w:t>
      </w:r>
    </w:p>
    <w:p>
      <w:pPr>
        <w:pStyle w:val="ListNumber"/>
        <w:spacing w:before="0" w:after="60"/>
      </w:pPr>
      <w:r>
        <w:rPr>
          <w:rFonts w:ascii="Calibri" w:hAnsi="Calibri"/>
          <w:b/>
          <w:sz w:val="21"/>
        </w:rPr>
        <w:t>Automation stops where money moves.</w:t>
      </w:r>
      <w:r>
        <w:rPr>
          <w:rFonts w:ascii="Calibri" w:hAnsi="Calibri"/>
          <w:sz w:val="21"/>
        </w:rPr>
        <w:t xml:space="preserve"> Two human confirmations per order — before a price goes to a customer, and before a purchase order is accepted. Everything else runs unattended.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Where the reasoning lives</w:t>
      </w:r>
    </w:p>
    <w:p>
      <w:pPr>
        <w:spacing w:after="140"/>
      </w:pPr>
      <w:r>
        <w:rPr>
          <w:rFonts w:ascii="Calibri" w:hAnsi="Calibri"/>
          <w:sz w:val="21"/>
        </w:rPr>
        <w:t xml:space="preserve">This set answers </w:t>
      </w:r>
      <w:r>
        <w:rPr>
          <w:rFonts w:ascii="Calibri" w:hAnsi="Calibri"/>
          <w:i/>
          <w:sz w:val="21"/>
        </w:rPr>
        <w:t>what</w:t>
      </w:r>
      <w:r>
        <w:rPr>
          <w:rFonts w:ascii="Calibri" w:hAnsi="Calibri"/>
          <w:sz w:val="21"/>
        </w:rPr>
        <w:t xml:space="preserve"> and </w:t>
      </w:r>
      <w:r>
        <w:rPr>
          <w:rFonts w:ascii="Calibri" w:hAnsi="Calibri"/>
          <w:i/>
          <w:sz w:val="21"/>
        </w:rPr>
        <w:t>how</w:t>
      </w:r>
      <w:r>
        <w:rPr>
          <w:rFonts w:ascii="Calibri" w:hAnsi="Calibri"/>
          <w:sz w:val="21"/>
        </w:rPr>
        <w:t xml:space="preserve">. These answer </w:t>
      </w:r>
      <w:r>
        <w:rPr>
          <w:rFonts w:ascii="Calibri" w:hAnsi="Calibri"/>
          <w:i/>
          <w:sz w:val="21"/>
        </w:rPr>
        <w:t>why</w:t>
      </w:r>
      <w:r>
        <w:rPr>
          <w:rFonts w:ascii="Calibri" w:hAnsi="Calibri"/>
          <w:sz w:val="21"/>
        </w:rPr>
        <w:t>, and they are the record of decisions already argued through. Do not duplicate them; link to them.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Document</w:t>
            </w:r>
          </w:p>
        </w:tc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Holds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README.md</w:t>
            </w:r>
            <w:r>
              <w:rPr>
                <w:rFonts w:ascii="Calibri" w:hAnsi="Calibri"/>
                <w:sz w:val="19"/>
              </w:rPr>
              <w:t xml:space="preserve"> (repo root)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product tour, the layout, the known limitations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CHANGES.md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full development log, round by round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docs/EMAIL_WORKFLOW.md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per-inquiry lifecycle as a business process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docs/EMAIL_WORKFLOW_RUNTIME.md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Which brain does which job; the human stop points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docs/EMAIL_AUTOMATION.md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Office scale: several mailboxes, one register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docs/AFTER_THE_MERGE.md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Decided work, blocked only on merging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docs/DEFERRED.md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Work deliberately not built yet, each with its trigger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docs/FUTURE_INDUSTRY_TARGETS.md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Which industries next, and the hard rules per industry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docs/GERBER_FIXES.md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Gerber reader's verification history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LICENSING.md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licence design and the trade it makes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BUILD.md</w:t>
            </w:r>
            <w:r>
              <w:rPr>
                <w:rFonts w:ascii="Calibri" w:hAnsi="Calibri"/>
                <w:sz w:val="19"/>
              </w:rPr>
              <w:t xml:space="preserve"> / </w:t>
            </w:r>
            <w:r>
              <w:rPr>
                <w:rFonts w:ascii="Consolas" w:hAnsi="Consolas"/>
                <w:color w:val="3F6288"/>
                <w:sz w:val="18"/>
              </w:rPr>
              <w:t>SHIPPING.md</w:t>
            </w:r>
            <w:r>
              <w:rPr>
                <w:rFonts w:ascii="Calibri" w:hAnsi="Calibri"/>
                <w:sz w:val="19"/>
              </w:rPr>
              <w:t xml:space="preserve"> / </w:t>
            </w:r>
            <w:r>
              <w:rPr>
                <w:rFonts w:ascii="Consolas" w:hAnsi="Consolas"/>
                <w:color w:val="3F6288"/>
                <w:sz w:val="18"/>
              </w:rPr>
              <w:t>RUNNING.md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Building, issuing keys, running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KNOWN_ISSUES.md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Live defects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hAnsi="Calibri"/>
          <w:color w:val="3F6288"/>
        </w:rPr>
        <w:t>Word copies</w:t>
      </w:r>
    </w:p>
    <w:p>
      <w:pPr>
        <w:spacing w:after="140"/>
      </w:pPr>
      <w:r>
        <w:rPr>
          <w:rFonts w:ascii="Calibri" w:hAnsi="Calibri"/>
          <w:sz w:val="21"/>
        </w:rPr>
        <w:t xml:space="preserve">Everything here is also generated as Word documents in </w:t>
      </w:r>
      <w:r>
        <w:rPr>
          <w:rFonts w:ascii="Calibri" w:hAnsi="Calibri"/>
          <w:color w:val="3F6288"/>
          <w:sz w:val="21"/>
          <w:u w:val="single"/>
        </w:rPr>
        <w:t>`word/`</w:t>
      </w:r>
      <w:r>
        <w:rPr>
          <w:rFonts w:ascii="Calibri" w:hAnsi="Calibri"/>
          <w:sz w:val="21"/>
        </w:rPr>
        <w:t xml:space="preserve"> — nine individual files plus </w:t>
      </w:r>
      <w:r>
        <w:rPr>
          <w:rFonts w:ascii="Consolas" w:hAnsi="Consolas"/>
          <w:color w:val="3F6288"/>
          <w:sz w:val="20"/>
        </w:rPr>
        <w:t>Prism-Architecture-Complete.docx</w:t>
      </w:r>
      <w:r>
        <w:rPr>
          <w:rFonts w:ascii="Calibri" w:hAnsi="Calibri"/>
          <w:sz w:val="21"/>
        </w:rPr>
        <w:t>, which carries all nine behind a contents page. They are for people who will never open a repository.</w:t>
      </w:r>
    </w:p>
    <w:p>
      <w:pPr>
        <w:spacing w:after="140"/>
      </w:pPr>
      <w:r>
        <w:rPr>
          <w:rFonts w:ascii="Calibri" w:hAnsi="Calibri"/>
          <w:b/>
          <w:sz w:val="21"/>
        </w:rPr>
        <w:t>The Markdown is the master.</w:t>
      </w:r>
      <w:r>
        <w:rPr>
          <w:rFonts w:ascii="Calibri" w:hAnsi="Calibri"/>
          <w:sz w:val="21"/>
        </w:rPr>
        <w:t xml:space="preserve"> The </w:t>
      </w:r>
      <w:r>
        <w:rPr>
          <w:rFonts w:ascii="Consolas" w:hAnsi="Consolas"/>
          <w:color w:val="3F6288"/>
          <w:sz w:val="20"/>
        </w:rPr>
        <w:t>.docx</w:t>
      </w:r>
      <w:r>
        <w:rPr>
          <w:rFonts w:ascii="Calibri" w:hAnsi="Calibri"/>
          <w:sz w:val="21"/>
        </w:rPr>
        <w:t xml:space="preserve"> files are output: they are regenerated, not edited. If you edit one by hand, the next build overwrites it.</w:t>
      </w:r>
    </w:p>
    <w:p>
      <w:pPr>
        <w:spacing w:before="120" w:after="120"/>
        <w:ind w:left="173"/>
        <w:shd w:val="clear" w:color="auto" w:fill="F2F2F3"/>
        <w:pBdr>
          <w:left w:val="single" w:sz="8" w:space="6" w:color="C9CCD0"/>
        </w:pBdr>
      </w:pPr>
      <w:r>
        <w:rPr>
          <w:rFonts w:ascii="Consolas" w:hAnsi="Consolas"/>
          <w:color w:val="1C1F22"/>
          <w:sz w:val="17"/>
        </w:rPr>
        <w:t>python docs/architecture/build_docx.py</w:t>
      </w:r>
    </w:p>
    <w:p>
      <w:pPr>
        <w:spacing w:after="140"/>
      </w:pPr>
      <w:r>
        <w:rPr>
          <w:rFonts w:ascii="Calibri" w:hAnsi="Calibri"/>
          <w:sz w:val="21"/>
        </w:rPr>
        <w:t xml:space="preserve">Real Word heading styles (so the navigation pane and the contents field both work), native tables, and every diagram rendered to an image — wide ones on their own landscape page. Diagrams need </w:t>
      </w:r>
      <w:r>
        <w:rPr>
          <w:rFonts w:ascii="Consolas" w:hAnsi="Consolas"/>
          <w:color w:val="3F6288"/>
          <w:sz w:val="20"/>
        </w:rPr>
        <w:t>node</w:t>
      </w:r>
      <w:r>
        <w:rPr>
          <w:rFonts w:ascii="Calibri" w:hAnsi="Calibri"/>
          <w:sz w:val="21"/>
        </w:rPr>
        <w:t xml:space="preserve">; the build fetches </w:t>
      </w:r>
      <w:r>
        <w:rPr>
          <w:rFonts w:ascii="Consolas" w:hAnsi="Consolas"/>
          <w:color w:val="3F6288"/>
          <w:sz w:val="20"/>
        </w:rPr>
        <w:t>@mermaid-js/mermaid-cli</w:t>
      </w:r>
      <w:r>
        <w:rPr>
          <w:rFonts w:ascii="Calibri" w:hAnsi="Calibri"/>
          <w:sz w:val="21"/>
        </w:rPr>
        <w:t xml:space="preserve"> through </w:t>
      </w:r>
      <w:r>
        <w:rPr>
          <w:rFonts w:ascii="Consolas" w:hAnsi="Consolas"/>
          <w:color w:val="3F6288"/>
          <w:sz w:val="20"/>
        </w:rPr>
        <w:t>npx</w:t>
      </w:r>
      <w:r>
        <w:rPr>
          <w:rFonts w:ascii="Calibri" w:hAnsi="Calibri"/>
          <w:sz w:val="21"/>
        </w:rPr>
        <w:t xml:space="preserve"> on demand and caches the results. With no </w:t>
      </w:r>
      <w:r>
        <w:rPr>
          <w:rFonts w:ascii="Consolas" w:hAnsi="Consolas"/>
          <w:color w:val="3F6288"/>
          <w:sz w:val="20"/>
        </w:rPr>
        <w:t>node</w:t>
      </w:r>
      <w:r>
        <w:rPr>
          <w:rFonts w:ascii="Calibri" w:hAnsi="Calibri"/>
          <w:sz w:val="21"/>
        </w:rPr>
        <w:t xml:space="preserve"> on the machine, diagrams fall back to their source text in a captioned box rather than failing the build.</w:t>
      </w:r>
    </w:p>
    <w:p>
      <w:pPr>
        <w:spacing w:after="140"/>
      </w:pPr>
      <w:r>
        <w:rPr>
          <w:rFonts w:ascii="Calibri" w:hAnsi="Calibri"/>
          <w:sz w:val="21"/>
        </w:rPr>
        <w:t xml:space="preserve">Word's contents page opens empty by design: right-click it and choose </w:t>
      </w:r>
      <w:r>
        <w:rPr>
          <w:rFonts w:ascii="Calibri" w:hAnsi="Calibri"/>
          <w:b/>
          <w:sz w:val="21"/>
        </w:rPr>
        <w:t>Update Field → Update entire table</w:t>
      </w:r>
      <w:r>
        <w:rPr>
          <w:rFonts w:ascii="Calibri" w:hAnsi="Calibri"/>
          <w:sz w:val="21"/>
        </w:rPr>
        <w:t xml:space="preserve"> to fill in the page numbers.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Maintaining this set</w:t>
      </w:r>
    </w:p>
    <w:p>
      <w:pPr>
        <w:pStyle w:val="ListBullet"/>
        <w:spacing w:before="0" w:after="60"/>
      </w:pPr>
      <w:r>
        <w:rPr>
          <w:rFonts w:ascii="Calibri" w:hAnsi="Calibri"/>
          <w:b/>
          <w:sz w:val="21"/>
        </w:rPr>
        <w:t>Each document names the files it describes</w:t>
      </w:r>
      <w:r>
        <w:rPr>
          <w:rFonts w:ascii="Calibri" w:hAnsi="Calibri"/>
          <w:sz w:val="21"/>
        </w:rPr>
        <w:t>, so a change to the code has an obvious document to update.</w:t>
      </w:r>
    </w:p>
    <w:p>
      <w:pPr>
        <w:pStyle w:val="ListBullet"/>
        <w:spacing w:before="0" w:after="60"/>
      </w:pPr>
      <w:r>
        <w:rPr>
          <w:rFonts w:ascii="Calibri" w:hAnsi="Calibri"/>
          <w:b/>
          <w:sz w:val="21"/>
        </w:rPr>
        <w:t>Field tables come from the source, not from memory.</w:t>
      </w:r>
      <w:r>
        <w:rPr>
          <w:rFonts w:ascii="Calibri" w:hAnsi="Calibri"/>
          <w:sz w:val="21"/>
        </w:rPr>
        <w:t xml:space="preserve"> When a schema changes, update the table in </w:t>
      </w:r>
      <w:r>
        <w:rPr>
          <w:rFonts w:ascii="Calibri" w:hAnsi="Calibri"/>
          <w:color w:val="3F6288"/>
          <w:sz w:val="21"/>
          <w:u w:val="single"/>
        </w:rPr>
        <w:t>02-data-model.md</w:t>
      </w:r>
      <w:r>
        <w:rPr>
          <w:rFonts w:ascii="Calibri" w:hAnsi="Calibri"/>
          <w:sz w:val="21"/>
        </w:rPr>
        <w:t xml:space="preserve"> in the same commit.</w:t>
      </w:r>
    </w:p>
    <w:p>
      <w:pPr>
        <w:pStyle w:val="ListBullet"/>
        <w:spacing w:before="0" w:after="60"/>
      </w:pPr>
      <w:r>
        <w:rPr>
          <w:rFonts w:ascii="Calibri" w:hAnsi="Calibri"/>
          <w:b/>
          <w:sz w:val="21"/>
        </w:rPr>
        <w:t>When a fact here contradicts the code, the code wins</w:t>
      </w:r>
      <w:r>
        <w:rPr>
          <w:rFonts w:ascii="Calibri" w:hAnsi="Calibri"/>
          <w:sz w:val="21"/>
        </w:rPr>
        <w:t xml:space="preserve"> — fix the document and say so in the commit message.</w:t>
      </w:r>
    </w:p>
    <w:p>
      <w:pPr>
        <w:pStyle w:val="ListBullet"/>
        <w:spacing w:before="0" w:after="60"/>
      </w:pPr>
      <w:r>
        <w:rPr>
          <w:rFonts w:ascii="Calibri" w:hAnsi="Calibri"/>
          <w:b/>
          <w:sz w:val="21"/>
        </w:rPr>
        <w:t>Do not move product reasoning in here.</w:t>
      </w:r>
      <w:r>
        <w:rPr>
          <w:rFonts w:ascii="Calibri" w:hAnsi="Calibri"/>
          <w:sz w:val="21"/>
        </w:rPr>
        <w:t xml:space="preserve"> If a decision needs arguing, it belongs in </w:t>
      </w:r>
      <w:r>
        <w:rPr>
          <w:rFonts w:ascii="Consolas" w:hAnsi="Consolas"/>
          <w:color w:val="3F6288"/>
          <w:sz w:val="20"/>
        </w:rPr>
        <w:t>docs/DEFERRED.md</w:t>
      </w:r>
      <w:r>
        <w:rPr>
          <w:rFonts w:ascii="Calibri" w:hAnsi="Calibri"/>
          <w:sz w:val="21"/>
        </w:rPr>
        <w:t xml:space="preserve"> or </w:t>
      </w:r>
      <w:r>
        <w:rPr>
          <w:rFonts w:ascii="Consolas" w:hAnsi="Consolas"/>
          <w:color w:val="3F6288"/>
          <w:sz w:val="20"/>
        </w:rPr>
        <w:t>docs/AFTER_THE_MERGE.md</w:t>
      </w:r>
      <w:r>
        <w:rPr>
          <w:rFonts w:ascii="Calibri" w:hAnsi="Calibri"/>
          <w:sz w:val="21"/>
        </w:rPr>
        <w:t>.</w:t>
      </w:r>
    </w:p>
    <w:sectPr w:rsidR="00FC693F" w:rsidRPr="0006063C" w:rsidSect="00034616">
      <w:footerReference w:type="default" r:id="rId9"/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67C84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4" w:lineRule="auto"/>
    </w:pPr>
    <w:rPr>
      <w:rFonts w:ascii="Calibri" w:hAnsi="Calibri"/>
      <w:color w:val="1C1F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