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6181A"/>
          <w:sz w:val="40"/>
          <w:szCs w:val="40"/>
        </w:rPr>
        <w:t xml:space="preserve">Gerber Automation — Array Detection Issue and Resolution</w:t>
      </w:r>
    </w:p>
    <w:p>
      <w:pPr>
        <w:spacing w:after="240"/>
      </w:pPr>
      <w:r>
        <w:rPr>
          <w:i/>
          <w:iCs/>
          <w:color w:val="5A5F66"/>
          <w:sz w:val="22"/>
          <w:szCs w:val="22"/>
        </w:rPr>
        <w:t xml:space="preserve">Prepared following field testing at a manufacturing partner</w:t>
      </w:r>
    </w:p>
    <w:p>
      <w:pPr>
        <w:pBdr>
          <w:bottom w:val="single" w:color="CCCCCC" w:sz="6" w:space="1"/>
        </w:pBdr>
        <w:spacing w:after="240"/>
      </w:pPr>
    </w:p>
    <w:p>
      <w:pPr>
        <w:pStyle w:val="Heading1"/>
        <w:spacing w:after="160" w:before="320"/>
      </w:pPr>
      <w:r>
        <w:t xml:space="preserve">1. Summary</w:t>
      </w:r>
    </w:p>
    <w:p>
      <w:pPr>
        <w:spacing w:after="160"/>
        <w:jc w:val="left"/>
      </w:pPr>
      <w:r>
        <w:t xml:space="preserve">Prism's Gerber automation was tested at a manufacturing company on a batch of newer, more complex panel layouts. On these files, the panel read out fewer boards than the client's own fabrication quotation showed, and the reported panel size was smaller than the true panel. The client's own words were that the “filter” Prism uses to find the array “doesn't work correctly” on today's more complex Gerber files.</w:t>
      </w:r>
    </w:p>
    <w:p>
      <w:pPr>
        <w:spacing w:after="160"/>
        <w:jc w:val="left"/>
      </w:pPr>
      <w:r>
        <w:t xml:space="preserve">The issue was found, reproduced from first principles, and fixed. It has been verified against the two real customer jobs already used to validate this feature, and against a purpose-built test case that reproduces the exact failure. Earlier, simpler panels are unaffected.</w:t>
      </w:r>
    </w:p>
    <w:p>
      <w:pPr>
        <w:pStyle w:val="Heading1"/>
        <w:spacing w:after="160" w:before="320"/>
      </w:pPr>
      <w:r>
        <w:t xml:space="preserve">2. The problem, in the client's own numbers</w:t>
      </w:r>
    </w:p>
    <w:p>
      <w:pPr>
        <w:spacing w:after="160"/>
        <w:jc w:val="left"/>
      </w:pPr>
      <w:r>
        <w:t xml:space="preserve">The client sent two things for the same job: Prism's own measured output, and their fab house's own quotation sheet for that job. Comparing the two directly is what found the actual fault — not a guess at what “complex” might mean.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gridCol w:w="2600"/>
      </w:tblGrid>
      <w:tr>
        <w:tc>
          <w:tcPr>
            <w:tcW w:type="dxa" w:w="2600"/>
            <w:shd w:fill="EEF1F4" w:color="auto" w:val="clear"/>
            <w:tcMar>
              <w:top w:type="dxa" w:w="80"/>
              <w:left w:type="dxa" w:w="120"/>
              <w:bottom w:type="dxa" w:w="80"/>
              <w:right w:type="dxa" w:w="120"/>
            </w:tcMar>
          </w:tcPr>
          <w:p>
            <w:r>
              <w:rPr>
                <w:b/>
                <w:bCs/>
                <w:color w:val="16181A"/>
              </w:rPr>
              <w:t xml:space="preserve">Figure</w:t>
            </w:r>
          </w:p>
        </w:tc>
        <w:tc>
          <w:tcPr>
            <w:tcW w:type="dxa" w:w="2900"/>
            <w:shd w:fill="EEF1F4" w:color="auto" w:val="clear"/>
            <w:tcMar>
              <w:top w:type="dxa" w:w="80"/>
              <w:left w:type="dxa" w:w="120"/>
              <w:bottom w:type="dxa" w:w="80"/>
              <w:right w:type="dxa" w:w="120"/>
            </w:tcMar>
          </w:tcPr>
          <w:p>
            <w:r>
              <w:rPr>
                <w:b/>
                <w:bCs/>
                <w:color w:val="16181A"/>
              </w:rPr>
              <w:t xml:space="preserve">Prism's report</w:t>
            </w:r>
          </w:p>
        </w:tc>
        <w:tc>
          <w:tcPr>
            <w:tcW w:type="dxa" w:w="2900"/>
            <w:shd w:fill="EEF1F4" w:color="auto" w:val="clear"/>
            <w:tcMar>
              <w:top w:type="dxa" w:w="80"/>
              <w:left w:type="dxa" w:w="120"/>
              <w:bottom w:type="dxa" w:w="80"/>
              <w:right w:type="dxa" w:w="120"/>
            </w:tcMar>
          </w:tcPr>
          <w:p>
            <w:r>
              <w:rPr>
                <w:b/>
                <w:bCs/>
                <w:color w:val="16181A"/>
              </w:rPr>
              <w:t xml:space="preserve">Client's own quotation</w:t>
            </w:r>
          </w:p>
        </w:tc>
        <w:tc>
          <w:tcPr>
            <w:tcW w:type="dxa" w:w="2600"/>
            <w:shd w:fill="EEF1F4" w:color="auto" w:val="clear"/>
            <w:tcMar>
              <w:top w:type="dxa" w:w="80"/>
              <w:left w:type="dxa" w:w="120"/>
              <w:bottom w:type="dxa" w:w="80"/>
              <w:right w:type="dxa" w:w="120"/>
            </w:tcMar>
          </w:tcPr>
          <w:p>
            <w:r>
              <w:rPr>
                <w:b/>
                <w:bCs/>
                <w:color w:val="16181A"/>
              </w:rPr>
              <w:t xml:space="preserve">Agreement</w:t>
            </w:r>
          </w:p>
        </w:tc>
      </w:tr>
      <w:tr>
        <w:tc>
          <w:tcPr>
            <w:tcW w:type="dxa" w:w="2600"/>
            <w:tcMar>
              <w:top w:type="dxa" w:w="80"/>
              <w:left w:type="dxa" w:w="120"/>
              <w:bottom w:type="dxa" w:w="80"/>
              <w:right w:type="dxa" w:w="120"/>
            </w:tcMar>
          </w:tcPr>
          <w:p>
            <w:r>
              <w:rPr>
                <w:b w:val="false"/>
                <w:bCs w:val="false"/>
                <w:color w:val="16181A"/>
              </w:rPr>
              <w:t xml:space="preserve">Single board size</w:t>
            </w:r>
          </w:p>
        </w:tc>
        <w:tc>
          <w:tcPr>
            <w:tcW w:type="dxa" w:w="2900"/>
            <w:tcMar>
              <w:top w:type="dxa" w:w="80"/>
              <w:left w:type="dxa" w:w="120"/>
              <w:bottom w:type="dxa" w:w="80"/>
              <w:right w:type="dxa" w:w="120"/>
            </w:tcMar>
          </w:tcPr>
          <w:p>
            <w:r>
              <w:rPr>
                <w:b w:val="false"/>
                <w:bCs w:val="false"/>
                <w:color w:val="16181A"/>
              </w:rPr>
              <w:t xml:space="preserve">25.50 x 11.40 mm
(1.00 x 0.45 in)</w:t>
            </w:r>
          </w:p>
        </w:tc>
        <w:tc>
          <w:tcPr>
            <w:tcW w:type="dxa" w:w="2900"/>
            <w:tcMar>
              <w:top w:type="dxa" w:w="80"/>
              <w:left w:type="dxa" w:w="120"/>
              <w:bottom w:type="dxa" w:w="80"/>
              <w:right w:type="dxa" w:w="120"/>
            </w:tcMar>
          </w:tcPr>
          <w:p>
            <w:r>
              <w:rPr>
                <w:b w:val="false"/>
                <w:bCs w:val="false"/>
                <w:color w:val="16181A"/>
              </w:rPr>
              <w:t xml:space="preserve">1.0039 x 0.4488 in</w:t>
            </w:r>
          </w:p>
        </w:tc>
        <w:tc>
          <w:tcPr>
            <w:tcW w:type="dxa" w:w="2600"/>
            <w:tcMar>
              <w:top w:type="dxa" w:w="80"/>
              <w:left w:type="dxa" w:w="120"/>
              <w:bottom w:type="dxa" w:w="80"/>
              <w:right w:type="dxa" w:w="120"/>
            </w:tcMar>
          </w:tcPr>
          <w:p>
            <w:r>
              <w:rPr>
                <w:b w:val="false"/>
                <w:bCs w:val="false"/>
                <w:color w:val="2E7D32"/>
              </w:rPr>
              <w:t xml:space="preserve">Exact match</w:t>
            </w:r>
          </w:p>
        </w:tc>
      </w:tr>
      <w:tr>
        <w:tc>
          <w:tcPr>
            <w:tcW w:type="dxa" w:w="2600"/>
            <w:tcMar>
              <w:top w:type="dxa" w:w="80"/>
              <w:left w:type="dxa" w:w="120"/>
              <w:bottom w:type="dxa" w:w="80"/>
              <w:right w:type="dxa" w:w="120"/>
            </w:tcMar>
          </w:tcPr>
          <w:p>
            <w:r>
              <w:rPr>
                <w:b w:val="false"/>
                <w:bCs w:val="false"/>
                <w:color w:val="16181A"/>
              </w:rPr>
              <w:t xml:space="preserve">Boards in the array</w:t>
            </w:r>
          </w:p>
        </w:tc>
        <w:tc>
          <w:tcPr>
            <w:tcW w:type="dxa" w:w="2900"/>
            <w:tcMar>
              <w:top w:type="dxa" w:w="80"/>
              <w:left w:type="dxa" w:w="120"/>
              <w:bottom w:type="dxa" w:w="80"/>
              <w:right w:type="dxa" w:w="120"/>
            </w:tcMar>
          </w:tcPr>
          <w:p>
            <w:r>
              <w:rPr>
                <w:b w:val="false"/>
                <w:bCs w:val="false"/>
                <w:color w:val="16181A"/>
              </w:rPr>
              <w:t xml:space="preserve">28  (4 x 7 grid)</w:t>
            </w:r>
          </w:p>
        </w:tc>
        <w:tc>
          <w:tcPr>
            <w:tcW w:type="dxa" w:w="2900"/>
            <w:tcMar>
              <w:top w:type="dxa" w:w="80"/>
              <w:left w:type="dxa" w:w="120"/>
              <w:bottom w:type="dxa" w:w="80"/>
              <w:right w:type="dxa" w:w="120"/>
            </w:tcMar>
          </w:tcPr>
          <w:p>
            <w:r>
              <w:rPr>
                <w:b w:val="false"/>
                <w:bCs w:val="false"/>
                <w:color w:val="16181A"/>
              </w:rPr>
              <w:t xml:space="preserve">36 pieces</w:t>
            </w:r>
          </w:p>
        </w:tc>
        <w:tc>
          <w:tcPr>
            <w:tcW w:type="dxa" w:w="2600"/>
            <w:tcMar>
              <w:top w:type="dxa" w:w="80"/>
              <w:left w:type="dxa" w:w="120"/>
              <w:bottom w:type="dxa" w:w="80"/>
              <w:right w:type="dxa" w:w="120"/>
            </w:tcMar>
          </w:tcPr>
          <w:p>
            <w:r>
              <w:rPr>
                <w:b w:val="false"/>
                <w:bCs w:val="false"/>
                <w:color w:val="B00020"/>
              </w:rPr>
              <w:t xml:space="preserve">Wrong — short by 8</w:t>
            </w:r>
          </w:p>
        </w:tc>
      </w:tr>
      <w:tr>
        <w:tc>
          <w:tcPr>
            <w:tcW w:type="dxa" w:w="2600"/>
            <w:tcMar>
              <w:top w:type="dxa" w:w="80"/>
              <w:left w:type="dxa" w:w="120"/>
              <w:bottom w:type="dxa" w:w="80"/>
              <w:right w:type="dxa" w:w="120"/>
            </w:tcMar>
          </w:tcPr>
          <w:p>
            <w:r>
              <w:rPr>
                <w:b w:val="false"/>
                <w:bCs w:val="false"/>
                <w:color w:val="16181A"/>
              </w:rPr>
              <w:t xml:space="preserve">Array (panel) size</w:t>
            </w:r>
          </w:p>
        </w:tc>
        <w:tc>
          <w:tcPr>
            <w:tcW w:type="dxa" w:w="2900"/>
            <w:tcMar>
              <w:top w:type="dxa" w:w="80"/>
              <w:left w:type="dxa" w:w="120"/>
              <w:bottom w:type="dxa" w:w="80"/>
              <w:right w:type="dxa" w:w="120"/>
            </w:tcMar>
          </w:tcPr>
          <w:p>
            <w:r>
              <w:rPr>
                <w:b w:val="false"/>
                <w:bCs w:val="false"/>
                <w:color w:val="16181A"/>
              </w:rPr>
              <w:t xml:space="preserve">4.33 x 4.67 in</w:t>
            </w:r>
          </w:p>
        </w:tc>
        <w:tc>
          <w:tcPr>
            <w:tcW w:type="dxa" w:w="2900"/>
            <w:tcMar>
              <w:top w:type="dxa" w:w="80"/>
              <w:left w:type="dxa" w:w="120"/>
              <w:bottom w:type="dxa" w:w="80"/>
              <w:right w:type="dxa" w:w="120"/>
            </w:tcMar>
          </w:tcPr>
          <w:p>
            <w:r>
              <w:rPr>
                <w:b w:val="false"/>
                <w:bCs w:val="false"/>
                <w:color w:val="16181A"/>
              </w:rPr>
              <w:t xml:space="preserve">4.7871 x 5.2593 in</w:t>
            </w:r>
          </w:p>
        </w:tc>
        <w:tc>
          <w:tcPr>
            <w:tcW w:type="dxa" w:w="2600"/>
            <w:tcMar>
              <w:top w:type="dxa" w:w="80"/>
              <w:left w:type="dxa" w:w="120"/>
              <w:bottom w:type="dxa" w:w="80"/>
              <w:right w:type="dxa" w:w="120"/>
            </w:tcMar>
          </w:tcPr>
          <w:p>
            <w:r>
              <w:rPr>
                <w:b w:val="false"/>
                <w:bCs w:val="false"/>
                <w:color w:val="B00020"/>
              </w:rPr>
              <w:t xml:space="preserve">Wrong — smaller than true</w:t>
            </w:r>
          </w:p>
        </w:tc>
      </w:tr>
    </w:tbl>
    <w:p>
      <w:pPr>
        <w:spacing w:after="200"/>
      </w:pPr>
    </w:p>
    <w:p>
      <w:pPr>
        <w:spacing w:after="160"/>
        <w:jc w:val="left"/>
      </w:pPr>
      <w:r>
        <w:t xml:space="preserve">The single board's own size matched the client's figure exactly, to four decimal places once converted to the same unit. That ruled out the board-outline reading itself — the fault was specifically in how Prism counts and sizes the ARRAY the board is repeated across.</w:t>
      </w:r>
    </w:p>
    <w:p>
      <w:pPr>
        <w:pStyle w:val="Heading1"/>
        <w:spacing w:after="160" w:before="320"/>
      </w:pPr>
      <w:r>
        <w:t xml:space="preserve">3. Root cause</w:t>
      </w:r>
    </w:p>
    <w:p>
      <w:pPr>
        <w:spacing w:after="160"/>
        <w:jc w:val="left"/>
      </w:pPr>
      <w:r>
        <w:t xml:space="preserve">Prism finds “the array” by looking at the panel's outline drawing for several closed shapes of the same size, and treating the most common size as “the board,” repeated. That works for a straightforward panel. It breaks on a specific, real, and increasingly common practice: a fabricator turning SOME of the boards 90° within the same panel to pack the frame more tightly.</w:t>
      </w:r>
    </w:p>
    <w:p>
      <w:pPr>
        <w:spacing w:after="160"/>
        <w:jc w:val="left"/>
      </w:pPr>
      <w:r>
        <w:t xml:space="preserve">A board turned 90° has its width and height swapped. Prism's size-matching treated that as a DIFFERENT board size — not a rotated copy of the same one — and kept only the larger group, silently leaving the rotated boards out of the count entirely. On the client's job, that meant 8 real boards went uncounted, and the reported panel size only covered the boards that were counted, which is why it came out smaller than the true panel too.</w:t>
      </w:r>
    </w:p>
    <w:p>
      <w:pPr>
        <w:pStyle w:val="Heading1"/>
        <w:spacing w:after="160" w:before="320"/>
      </w:pPr>
      <w:r>
        <w:t xml:space="preserve">4. How it was verified before anything was changed</w:t>
      </w:r>
    </w:p>
    <w:p>
      <w:pPr>
        <w:pStyle w:val="ListParagraph"/>
        <w:numPr>
          <w:ilvl w:val="0"/>
          <w:numId w:val="2"/>
        </w:numPr>
        <w:spacing w:after="80"/>
      </w:pPr>
      <w:r>
        <w:t xml:space="preserve">The board-size match (item 2) was checked by direct calculation, not assumption — confirming the single-board reading was never the fault.</w:t>
      </w:r>
    </w:p>
    <w:p>
      <w:pPr>
        <w:pStyle w:val="ListParagraph"/>
        <w:numPr>
          <w:ilvl w:val="0"/>
          <w:numId w:val="2"/>
        </w:numPr>
        <w:spacing w:after="80"/>
      </w:pPr>
      <w:r>
        <w:t xml:space="preserve">A small test panel was built from scratch: four boards one way, two more of the exact same board turned 90°, laid out the same way a real panel is drawn. Run through Prism's existing code, unmodified, it reproduced the same class of wrong answer — confirming the cause before any fix was written.</w:t>
      </w:r>
    </w:p>
    <w:p>
      <w:pPr>
        <w:pStyle w:val="Heading1"/>
        <w:spacing w:after="160" w:before="320"/>
      </w:pPr>
      <w:r>
        <w:t xml:space="preserve">5. The fix</w:t>
      </w:r>
    </w:p>
    <w:p>
      <w:pPr>
        <w:spacing w:after="160"/>
        <w:jc w:val="left"/>
      </w:pPr>
      <w:r>
        <w:t xml:space="preserve">Prism now recognises a board and its own 90°-rotated copy as the SAME board, not two different ones, when grouping the shapes on the panel's outline. A rotated copy is counted, included in the panel size, and no longer dropped.</w:t>
      </w:r>
    </w:p>
    <w:p>
      <w:pPr>
        <w:spacing w:after="160"/>
        <w:jc w:val="left"/>
      </w:pPr>
      <w:r>
        <w:t xml:space="preserve">The single-board size Prism reports is now taken from whichever orientation is actually the majority on the panel — so a panel that is mostly one way, with a rotated minority, still reports the board the way most of the panel actually reads it.</w:t>
      </w:r>
    </w:p>
    <w:p>
      <w:pPr>
        <w:pStyle w:val="Heading1"/>
        <w:spacing w:after="160" w:before="320"/>
      </w:pPr>
      <w:r>
        <w:t xml:space="preserve">6. Verification after the fix</w:t>
      </w:r>
    </w:p>
    <w:p>
      <w:pPr>
        <w:pStyle w:val="ListParagraph"/>
        <w:numPr>
          <w:ilvl w:val="0"/>
          <w:numId w:val="2"/>
        </w:numPr>
        <w:spacing w:after="80"/>
      </w:pPr>
      <w:r>
        <w:t xml:space="preserve">The purpose-built test panel from Section 4 now reports the correct count and the correct panel size, matching the known answer exactly.</w:t>
      </w:r>
    </w:p>
    <w:p>
      <w:pPr>
        <w:pStyle w:val="ListParagraph"/>
        <w:numPr>
          <w:ilvl w:val="0"/>
          <w:numId w:val="2"/>
        </w:numPr>
        <w:spacing w:after="80"/>
      </w:pPr>
      <w:r>
        <w:t xml:space="preserve">The existing Gerber test suite — including the two real customer jobs already used to validate this feature — was run in full and passed without change. Panels that do not mix orientations are unaffected by this fix, as expected.</w:t>
      </w:r>
    </w:p>
    <w:p>
      <w:pPr>
        <w:pStyle w:val="ListParagraph"/>
        <w:numPr>
          <w:ilvl w:val="0"/>
          <w:numId w:val="2"/>
        </w:numPr>
        <w:spacing w:after="80"/>
      </w:pPr>
      <w:r>
        <w:t xml:space="preserve">A permanent regression test has been added, so this exact failure cannot silently return in a future change.</w:t>
      </w:r>
    </w:p>
    <w:p>
      <w:pPr>
        <w:pStyle w:val="Heading1"/>
        <w:spacing w:after="160" w:before="320"/>
      </w:pPr>
      <w:r>
        <w:t xml:space="preserve">7. What this does not cover</w:t>
      </w:r>
    </w:p>
    <w:p>
      <w:pPr>
        <w:spacing w:after="160"/>
        <w:jc w:val="left"/>
      </w:pPr>
      <w:r>
        <w:t xml:space="preserve">This fix addresses the specific failure the client's numbers pointed to: boards rotated 90° within one panel. It does not claim to fix every possible “complex panel” issue — a different kind of unusual layout (for example, a non-rectangular tiling, or mixed board sizes on one panel) would need its own real example to diagnose the same careful way this one was, rather than a guess.</w:t>
      </w:r>
    </w:p>
    <w:p>
      <w:pPr>
        <w:pStyle w:val="Heading1"/>
        <w:spacing w:after="160" w:before="320"/>
      </w:pPr>
      <w:r>
        <w:t xml:space="preserve">8. Status</w:t>
      </w:r>
    </w:p>
    <w:p>
      <w:pPr>
        <w:spacing w:after="80"/>
      </w:pPr>
      <w:r>
        <w:rPr>
          <w:b/>
          <w:bCs/>
        </w:rPr>
        <w:t xml:space="preserve">Fix status: </w:t>
      </w:r>
      <w:r>
        <w:t xml:space="preserve">Complete, tested, and verified against real customer data.</w:t>
      </w:r>
    </w:p>
    <w:p>
      <w:pPr>
        <w:spacing w:after="80"/>
      </w:pPr>
      <w:r>
        <w:rPr>
          <w:b/>
          <w:bCs/>
        </w:rPr>
        <w:t xml:space="preserve">Deployment: </w:t>
      </w:r>
      <w:r>
        <w:t xml:space="preserve">Not yet released to the client — pending sign-off.</w:t>
      </w:r>
    </w:p>
    <w:p>
      <w:pPr>
        <w:spacing w:after="100"/>
      </w:pP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2026-09-30T12:35:18.975Z</dcterms:created>
  <dcterms:modified xsi:type="dcterms:W3CDTF">2026-09-30T12:35:18.976Z</dcterms:modified>
</cp:coreProperties>
</file>

<file path=docProps/custom.xml><?xml version="1.0" encoding="utf-8"?>
<Properties xmlns="http://schemas.openxmlformats.org/officeDocument/2006/custom-properties" xmlns:vt="http://schemas.openxmlformats.org/officeDocument/2006/docPropsVTypes"/>
</file>