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5A6068"/>
          <w:sz w:val="20"/>
        </w:rPr>
        <w:t>PRISM</w:t>
      </w:r>
    </w:p>
    <w:p>
      <w:pPr>
        <w:pStyle w:val="Heading1"/>
        <w:spacing w:before="0"/>
      </w:pPr>
      <w:r>
        <w:t>Business notes</w:t>
      </w:r>
    </w:p>
    <w:p>
      <w:pPr>
        <w:spacing w:after="280"/>
      </w:pPr>
      <w:r>
        <w:rPr>
          <w:b w:val="0"/>
          <w:i w:val="0"/>
          <w:color w:val="5A6068"/>
        </w:rPr>
        <w:t>Where the BOQ product should be sold, what it is worth, what it is actually capable of, and the decisions still open. Written up from the working discussion — figures are sourced where they exist and flagged where they do not.</w:t>
      </w:r>
    </w:p>
    <w:p>
      <w:pPr>
        <w:pStyle w:val="Heading2"/>
      </w:pPr>
      <w:r>
        <w:t>1. What we are actually selling</w:t>
      </w:r>
    </w:p>
    <w:p>
      <w:r>
        <w:rPr>
          <w:b w:val="0"/>
          <w:i w:val="0"/>
        </w:rPr>
        <w:t>The single most useful correction from this discussion: the BOQ add-on is not a CCTV tool, and it is not even a drawing tool. It turns a scope into a measured list. Reading the engine directly rather than assuming, it has four inputs:</w:t>
      </w:r>
    </w:p>
    <w:tbl>
      <w:tblPr>
        <w:tblStyle w:val="TableGrid"/>
        <w:tblW w:type="auto" w:w="0"/>
        <w:jc w:val="left"/>
        <w:tblLook w:firstColumn="1" w:firstRow="1" w:lastColumn="0" w:lastRow="0" w:noHBand="0" w:noVBand="1" w:val="04A0"/>
      </w:tblPr>
      <w:tblGrid>
        <w:gridCol w:w="2880"/>
        <w:gridCol w:w="2880"/>
        <w:gridCol w:w="2880"/>
      </w:tblGrid>
      <w:tr>
        <w:tc>
          <w:tcPr>
            <w:tcW w:type="dxa" w:w="2736"/>
            <w:shd w:fill="E9EDF1"/>
          </w:tcPr>
          <w:p>
            <w:r/>
            <w:r>
              <w:rPr>
                <w:b/>
                <w:color w:val="1F3F5C"/>
                <w:sz w:val="19"/>
              </w:rPr>
              <w:t>It reads</w:t>
            </w:r>
          </w:p>
        </w:tc>
        <w:tc>
          <w:tcPr>
            <w:tcW w:type="dxa" w:w="1584"/>
            <w:shd w:fill="E9EDF1"/>
          </w:tcPr>
          <w:p>
            <w:r/>
            <w:r>
              <w:rPr>
                <w:b/>
                <w:color w:val="1F3F5C"/>
                <w:sz w:val="19"/>
              </w:rPr>
              <w:t>It gives</w:t>
            </w:r>
          </w:p>
        </w:tc>
        <w:tc>
          <w:tcPr>
            <w:tcW w:type="dxa" w:w="4608"/>
            <w:shd w:fill="E9EDF1"/>
          </w:tcPr>
          <w:p>
            <w:r/>
            <w:r>
              <w:rPr>
                <w:b/>
                <w:color w:val="1F3F5C"/>
                <w:sz w:val="19"/>
              </w:rPr>
              <w:t>Which means</w:t>
            </w:r>
          </w:p>
        </w:tc>
      </w:tr>
      <w:tr>
        <w:tc>
          <w:tcPr>
            <w:tcW w:type="dxa" w:w="2736"/>
          </w:tcPr>
          <w:p>
            <w:r/>
            <w:r>
              <w:rPr>
                <w:b w:val="0"/>
                <w:sz w:val="19"/>
              </w:rPr>
              <w:t>Hatches and closed polylines</w:t>
            </w:r>
          </w:p>
        </w:tc>
        <w:tc>
          <w:tcPr>
            <w:tcW w:type="dxa" w:w="1584"/>
          </w:tcPr>
          <w:p>
            <w:r/>
            <w:r>
              <w:rPr>
                <w:b/>
                <w:sz w:val="19"/>
              </w:rPr>
              <w:t>Areas</w:t>
            </w:r>
          </w:p>
        </w:tc>
        <w:tc>
          <w:tcPr>
            <w:tcW w:type="dxa" w:w="4608"/>
          </w:tcPr>
          <w:p>
            <w:r/>
            <w:r>
              <w:rPr>
                <w:b w:val="0"/>
                <w:sz w:val="19"/>
              </w:rPr>
              <w:t>Tiles, flooring, paint, plaster, false ceiling, waterproofing, glazing</w:t>
            </w:r>
          </w:p>
        </w:tc>
      </w:tr>
      <w:tr>
        <w:tc>
          <w:tcPr>
            <w:tcW w:type="dxa" w:w="2736"/>
          </w:tcPr>
          <w:p>
            <w:r/>
            <w:r>
              <w:rPr>
                <w:b w:val="0"/>
                <w:sz w:val="19"/>
              </w:rPr>
              <w:t>Lines, polylines, arcs</w:t>
            </w:r>
          </w:p>
        </w:tc>
        <w:tc>
          <w:tcPr>
            <w:tcW w:type="dxa" w:w="1584"/>
          </w:tcPr>
          <w:p>
            <w:r/>
            <w:r>
              <w:rPr>
                <w:b/>
                <w:sz w:val="19"/>
              </w:rPr>
              <w:t>Lengths</w:t>
            </w:r>
          </w:p>
        </w:tc>
        <w:tc>
          <w:tcPr>
            <w:tcW w:type="dxa" w:w="4608"/>
          </w:tcPr>
          <w:p>
            <w:r/>
            <w:r>
              <w:rPr>
                <w:b w:val="0"/>
                <w:sz w:val="19"/>
              </w:rPr>
              <w:t>Skirting, pipe, duct, conduit, cable, railing, fencing</w:t>
            </w:r>
          </w:p>
        </w:tc>
      </w:tr>
      <w:tr>
        <w:tc>
          <w:tcPr>
            <w:tcW w:type="dxa" w:w="2736"/>
          </w:tcPr>
          <w:p>
            <w:r/>
            <w:r>
              <w:rPr>
                <w:b w:val="0"/>
                <w:sz w:val="19"/>
              </w:rPr>
              <w:t>Blocks (CAD symbols)</w:t>
            </w:r>
          </w:p>
        </w:tc>
        <w:tc>
          <w:tcPr>
            <w:tcW w:type="dxa" w:w="1584"/>
          </w:tcPr>
          <w:p>
            <w:r/>
            <w:r>
              <w:rPr>
                <w:b/>
                <w:sz w:val="19"/>
              </w:rPr>
              <w:t>Counts</w:t>
            </w:r>
          </w:p>
        </w:tc>
        <w:tc>
          <w:tcPr>
            <w:tcW w:type="dxa" w:w="4608"/>
          </w:tcPr>
          <w:p>
            <w:r/>
            <w:r>
              <w:rPr>
                <w:b w:val="0"/>
                <w:sz w:val="19"/>
              </w:rPr>
              <w:t>Sanitaryware, doors, windows, lights, sprinklers, cameras, furniture</w:t>
            </w:r>
          </w:p>
        </w:tc>
      </w:tr>
      <w:tr>
        <w:tc>
          <w:tcPr>
            <w:tcW w:type="dxa" w:w="2736"/>
          </w:tcPr>
          <w:p>
            <w:r/>
            <w:r>
              <w:rPr>
                <w:b w:val="0"/>
                <w:sz w:val="19"/>
              </w:rPr>
              <w:t>A written specification — no drawing at all</w:t>
            </w:r>
          </w:p>
        </w:tc>
        <w:tc>
          <w:tcPr>
            <w:tcW w:type="dxa" w:w="1584"/>
          </w:tcPr>
          <w:p>
            <w:r/>
            <w:r>
              <w:rPr>
                <w:b/>
                <w:sz w:val="19"/>
              </w:rPr>
              <w:t>Derived quantities</w:t>
            </w:r>
          </w:p>
        </w:tc>
        <w:tc>
          <w:tcPr>
            <w:tcW w:type="dxa" w:w="4608"/>
          </w:tcPr>
          <w:p>
            <w:r/>
            <w:r>
              <w:rPr>
                <w:b w:val="0"/>
                <w:sz w:val="19"/>
              </w:rPr>
              <w:t>Solar arrays, electrical panels, modular kitchens, machinery, signage</w:t>
            </w:r>
          </w:p>
        </w:tc>
      </w:tr>
    </w:tbl>
    <w:p>
      <w:pPr>
        <w:spacing w:after="80"/>
      </w:pPr>
    </w:p>
    <w:p>
      <w:r>
        <w:rPr>
          <w:b w:val="0"/>
          <w:i w:val="0"/>
        </w:rPr>
        <w:t>Two facts nobody had been told:</w:t>
      </w:r>
    </w:p>
    <w:p>
      <w:pPr>
        <w:pStyle w:val="ListBullet"/>
      </w:pPr>
      <w:r>
        <w:rPr>
          <w:b/>
        </w:rPr>
        <w:t xml:space="preserve">Spec mode </w:t>
      </w:r>
      <w:r>
        <w:t>means Prism works with no drawing whatsoever. The constraint that a customer must send us a DWG was imaginary.</w:t>
      </w:r>
    </w:p>
    <w:p>
      <w:pPr>
        <w:pStyle w:val="ListBullet"/>
      </w:pPr>
      <w:r>
        <w:rPr>
          <w:b/>
        </w:rPr>
        <w:t xml:space="preserve">Spec mode also </w:t>
      </w:r>
      <w:r>
        <w:t>separates bought-out from fabricated items — which is how a manufacturer costs a job, not how a builder does. The engine already speaks BOM as well as BOQ.</w:t>
      </w:r>
    </w:p>
    <w:tbl>
      <w:tblPr>
        <w:tblStyle w:val="TableGrid"/>
        <w:tblW w:type="auto" w:w="0"/>
        <w:tblLook w:firstColumn="1" w:firstRow="1" w:lastColumn="0" w:lastRow="0" w:noHBand="0" w:noVBand="1" w:val="04A0"/>
      </w:tblPr>
      <w:tblGrid>
        <w:gridCol w:w="8640"/>
      </w:tblGrid>
      <w:tr>
        <w:tc>
          <w:tcPr>
            <w:tcW w:type="dxa" w:w="8640"/>
            <w:shd w:fill="FAF1EA"/>
          </w:tcPr>
          <w:p>
            <w:r/>
            <w:r>
              <w:rPr>
                <w:b/>
                <w:color w:val="A84514"/>
                <w:sz w:val="21"/>
              </w:rPr>
              <w:t xml:space="preserve">The honest limit.  </w:t>
            </w:r>
            <w:r>
              <w:rPr>
                <w:sz w:val="21"/>
              </w:rPr>
              <w:t>Output is filtered by CAD layer name. A drawing from a good consultant has clean layers and this works well. A drawing from a two-man CAD shop has everything on layer 0 and it does not. This is the biggest practical risk across every segment below and it must be tested on real drawings before anything is promised.</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fill="FAF1EA"/>
          </w:tcPr>
          <w:p>
            <w:r/>
            <w:r>
              <w:rPr>
                <w:b/>
                <w:color w:val="A84514"/>
                <w:sz w:val="21"/>
              </w:rPr>
              <w:t xml:space="preserve">Never say “priced BOQ”.  </w:t>
            </w:r>
            <w:r>
              <w:rPr>
                <w:sz w:val="21"/>
              </w:rPr>
              <w:t>The engine leaves the Rate and Amount columns blank on purpose and prints a note saying rates are not included. That is correct — no quantity surveyor would trust somebody else's rates — but claiming pricing in a meeting gets caught in the demo. The correct words are “measured and formatted, rate column ready for you”.</w:t>
            </w:r>
          </w:p>
        </w:tc>
      </w:tr>
    </w:tbl>
    <w:p>
      <w:pPr>
        <w:spacing w:after="80"/>
      </w:pPr>
    </w:p>
    <w:p>
      <w:pPr>
        <w:pStyle w:val="Heading2"/>
      </w:pPr>
      <w:r>
        <w:t>2. What the work costs today</w:t>
      </w:r>
    </w:p>
    <w:p>
      <w:r>
        <w:rPr>
          <w:b w:val="0"/>
          <w:i w:val="0"/>
        </w:rPr>
        <w:t>What a customer pays now, which is the number our price has to sit under.</w:t>
      </w:r>
    </w:p>
    <w:tbl>
      <w:tblPr>
        <w:tblStyle w:val="TableGrid"/>
        <w:tblW w:type="auto" w:w="0"/>
        <w:jc w:val="left"/>
        <w:tblLook w:firstColumn="1" w:firstRow="1" w:lastColumn="0" w:lastRow="0" w:noHBand="0" w:noVBand="1" w:val="04A0"/>
      </w:tblPr>
      <w:tblGrid>
        <w:gridCol w:w="4320"/>
        <w:gridCol w:w="4320"/>
      </w:tblGrid>
      <w:tr>
        <w:tc>
          <w:tcPr>
            <w:tcW w:type="dxa" w:w="6048"/>
            <w:shd w:fill="E9EDF1"/>
          </w:tcPr>
          <w:p>
            <w:r/>
            <w:r>
              <w:rPr>
                <w:b/>
                <w:color w:val="1F3F5C"/>
                <w:sz w:val="19"/>
              </w:rPr>
              <w:t>What</w:t>
            </w:r>
          </w:p>
        </w:tc>
        <w:tc>
          <w:tcPr>
            <w:tcW w:type="dxa" w:w="2880"/>
            <w:shd w:fill="E9EDF1"/>
          </w:tcPr>
          <w:p>
            <w:r/>
            <w:r>
              <w:rPr>
                <w:b/>
                <w:color w:val="1F3F5C"/>
                <w:sz w:val="19"/>
              </w:rPr>
              <w:t>Rate</w:t>
            </w:r>
          </w:p>
        </w:tc>
      </w:tr>
      <w:tr>
        <w:tc>
          <w:tcPr>
            <w:tcW w:type="dxa" w:w="6048"/>
          </w:tcPr>
          <w:p>
            <w:r/>
            <w:r>
              <w:rPr>
                <w:b w:val="0"/>
                <w:sz w:val="19"/>
              </w:rPr>
              <w:t>Basic estimation</w:t>
            </w:r>
          </w:p>
        </w:tc>
        <w:tc>
          <w:tcPr>
            <w:tcW w:type="dxa" w:w="2880"/>
          </w:tcPr>
          <w:p>
            <w:r/>
            <w:r>
              <w:rPr>
                <w:b w:val="0"/>
                <w:sz w:val="19"/>
              </w:rPr>
              <w:t>₹8–12 per sq ft</w:t>
            </w:r>
          </w:p>
        </w:tc>
      </w:tr>
      <w:tr>
        <w:tc>
          <w:tcPr>
            <w:tcW w:type="dxa" w:w="6048"/>
          </w:tcPr>
          <w:p>
            <w:r/>
            <w:r>
              <w:rPr>
                <w:b w:val="0"/>
                <w:sz w:val="19"/>
              </w:rPr>
              <w:t>Detailed tender BOQ (rate analysis, GST, specs)</w:t>
            </w:r>
          </w:p>
        </w:tc>
        <w:tc>
          <w:tcPr>
            <w:tcW w:type="dxa" w:w="2880"/>
          </w:tcPr>
          <w:p>
            <w:r/>
            <w:r>
              <w:rPr>
                <w:b w:val="0"/>
                <w:sz w:val="19"/>
              </w:rPr>
              <w:t>₹15–25 per sq ft</w:t>
            </w:r>
          </w:p>
        </w:tc>
      </w:tr>
      <w:tr>
        <w:tc>
          <w:tcPr>
            <w:tcW w:type="dxa" w:w="6048"/>
          </w:tcPr>
          <w:p>
            <w:r/>
            <w:r>
              <w:rPr>
                <w:b w:val="0"/>
                <w:sz w:val="19"/>
              </w:rPr>
              <w:t>Delhi / Mumbai / Bengaluru premium</w:t>
            </w:r>
          </w:p>
        </w:tc>
        <w:tc>
          <w:tcPr>
            <w:tcW w:type="dxa" w:w="2880"/>
          </w:tcPr>
          <w:p>
            <w:r/>
            <w:r>
              <w:rPr>
                <w:b w:val="0"/>
                <w:sz w:val="19"/>
              </w:rPr>
              <w:t>+20–30%</w:t>
            </w:r>
          </w:p>
        </w:tc>
      </w:tr>
      <w:tr>
        <w:tc>
          <w:tcPr>
            <w:tcW w:type="dxa" w:w="6048"/>
          </w:tcPr>
          <w:p>
            <w:r/>
            <w:r>
              <w:rPr>
                <w:b w:val="0"/>
                <w:sz w:val="19"/>
              </w:rPr>
              <w:t>Consulting engineer, takeoff from architect's drawings</w:t>
            </w:r>
          </w:p>
        </w:tc>
        <w:tc>
          <w:tcPr>
            <w:tcW w:type="dxa" w:w="2880"/>
          </w:tcPr>
          <w:p>
            <w:r/>
            <w:r>
              <w:rPr>
                <w:b w:val="0"/>
                <w:sz w:val="19"/>
              </w:rPr>
              <w:t>₹15,000–35,000</w:t>
            </w:r>
          </w:p>
        </w:tc>
      </w:tr>
      <w:tr>
        <w:tc>
          <w:tcPr>
            <w:tcW w:type="dxa" w:w="6048"/>
          </w:tcPr>
          <w:p>
            <w:r/>
            <w:r>
              <w:rPr>
                <w:b w:val="0"/>
                <w:sz w:val="19"/>
              </w:rPr>
              <w:t>Contractor preparing a detailed BOQ before contract</w:t>
            </w:r>
          </w:p>
        </w:tc>
        <w:tc>
          <w:tcPr>
            <w:tcW w:type="dxa" w:w="2880"/>
          </w:tcPr>
          <w:p>
            <w:r/>
            <w:r>
              <w:rPr>
                <w:b w:val="0"/>
                <w:sz w:val="19"/>
              </w:rPr>
              <w:t>₹5,000–15,000</w:t>
            </w:r>
          </w:p>
        </w:tc>
      </w:tr>
      <w:tr>
        <w:tc>
          <w:tcPr>
            <w:tcW w:type="dxa" w:w="6048"/>
          </w:tcPr>
          <w:p>
            <w:r/>
            <w:r>
              <w:rPr>
                <w:b w:val="0"/>
                <w:sz w:val="19"/>
              </w:rPr>
              <w:t>Whole-project range</w:t>
            </w:r>
          </w:p>
        </w:tc>
        <w:tc>
          <w:tcPr>
            <w:tcW w:type="dxa" w:w="2880"/>
          </w:tcPr>
          <w:p>
            <w:r/>
            <w:r>
              <w:rPr>
                <w:b w:val="0"/>
                <w:sz w:val="19"/>
              </w:rPr>
              <w:t>₹10,000–1,00,000</w:t>
            </w:r>
          </w:p>
        </w:tc>
      </w:tr>
      <w:tr>
        <w:tc>
          <w:tcPr>
            <w:tcW w:type="dxa" w:w="6048"/>
          </w:tcPr>
          <w:p>
            <w:r/>
            <w:r>
              <w:rPr>
                <w:b w:val="0"/>
                <w:sz w:val="19"/>
              </w:rPr>
              <w:t>Turnaround</w:t>
            </w:r>
          </w:p>
        </w:tc>
        <w:tc>
          <w:tcPr>
            <w:tcW w:type="dxa" w:w="2880"/>
          </w:tcPr>
          <w:p>
            <w:r/>
            <w:r>
              <w:rPr>
                <w:b w:val="0"/>
                <w:sz w:val="19"/>
              </w:rPr>
              <w:t>3–10 days</w:t>
            </w:r>
          </w:p>
        </w:tc>
      </w:tr>
      <w:tr>
        <w:tc>
          <w:tcPr>
            <w:tcW w:type="dxa" w:w="6048"/>
          </w:tcPr>
          <w:p>
            <w:r/>
            <w:r>
              <w:rPr>
                <w:b w:val="0"/>
                <w:sz w:val="19"/>
              </w:rPr>
              <w:t>Fiverr / global floor</w:t>
            </w:r>
          </w:p>
        </w:tc>
        <w:tc>
          <w:tcPr>
            <w:tcW w:type="dxa" w:w="2880"/>
          </w:tcPr>
          <w:p>
            <w:r/>
            <w:r>
              <w:rPr>
                <w:b w:val="0"/>
                <w:sz w:val="19"/>
              </w:rPr>
              <w:t>$15–100 per BOQ</w:t>
            </w:r>
          </w:p>
        </w:tc>
      </w:tr>
    </w:tbl>
    <w:p>
      <w:pPr>
        <w:spacing w:after="80"/>
      </w:pPr>
    </w:p>
    <w:p>
      <w:r>
        <w:rPr>
          <w:b/>
          <w:i w:val="0"/>
        </w:rPr>
        <w:t xml:space="preserve">The number that matters most: </w:t>
      </w:r>
      <w:r>
        <w:rPr>
          <w:b w:val="0"/>
          <w:i/>
        </w:rPr>
        <w:t>a real BOQ takes 8 to 15 hours of an engineer's time</w:t>
      </w:r>
      <w:r>
        <w:rPr>
          <w:b w:val="0"/>
          <w:i w:val="0"/>
        </w:rPr>
        <w:t>. At a loaded ₹250–400 an hour that is ₹2,000–6,000 of internal cost per BOQ even when nobody invoices for it. Interior work is reported separately at 10+ hours per project.</w:t>
      </w:r>
    </w:p>
    <w:tbl>
      <w:tblPr>
        <w:tblStyle w:val="TableGrid"/>
        <w:tblW w:type="auto" w:w="0"/>
        <w:tblLook w:firstColumn="1" w:firstRow="1" w:lastColumn="0" w:lastRow="0" w:noHBand="0" w:noVBand="1" w:val="04A0"/>
      </w:tblPr>
      <w:tblGrid>
        <w:gridCol w:w="8640"/>
      </w:tblGrid>
      <w:tr>
        <w:tc>
          <w:tcPr>
            <w:tcW w:type="dxa" w:w="8640"/>
            <w:shd w:fill="EAF1F6"/>
          </w:tcPr>
          <w:p>
            <w:r/>
            <w:r>
              <w:rPr>
                <w:b/>
                <w:color w:val="1F3F5C"/>
                <w:sz w:val="21"/>
              </w:rPr>
              <w:t xml:space="preserve">Where the pain really sits.  </w:t>
            </w:r>
            <w:r>
              <w:rPr>
                <w:sz w:val="21"/>
              </w:rPr>
              <w:t>An integrator bids on ten tenders and wins two. He pays for ten BOQs. Eight of them are money set on fire — and he already knows it.</w:t>
            </w:r>
          </w:p>
        </w:tc>
      </w:tr>
    </w:tbl>
    <w:p>
      <w:pPr>
        <w:spacing w:after="80"/>
      </w:pPr>
    </w:p>
    <w:p>
      <w:r>
        <w:rPr>
          <w:b w:val="0"/>
          <w:i w:val="0"/>
          <w:color w:val="5A6068"/>
        </w:rPr>
        <w:t>Two caveats on this table. All of it traces to one content-marketing publisher, so treat it as indicative. And IndiaMART lists BOQ providers with no public prices at all — every listing reads “Get Best Price”. That opacity is itself the finding: there is no price to undercut, only a time to beat.</w:t>
      </w:r>
    </w:p>
    <w:p>
      <w:pPr>
        <w:pStyle w:val="Heading2"/>
      </w:pPr>
      <w:r>
        <w:t>3. Who to sell to, in order</w:t>
      </w:r>
    </w:p>
    <w:p>
      <w:r>
        <w:rPr>
          <w:b w:val="0"/>
          <w:i w:val="0"/>
        </w:rPr>
        <w:t>This is a revision. The first plan was to sell to the people who bid, on the argument that they feel the wasted cost most. That was wrong: a small integrator has nobody who can check an automated BOQ, which is exactly why he outsources in the first place.</w:t>
      </w:r>
    </w:p>
    <w:p>
      <w:r>
        <w:rPr>
          <w:b w:val="0"/>
          <w:i w:val="0"/>
        </w:rPr>
        <w:t xml:space="preserve">The rule is: </w:t>
      </w:r>
      <w:r>
        <w:rPr>
          <w:b/>
          <w:i w:val="0"/>
        </w:rPr>
        <w:t>sell to whoever holds the skilled reviewer</w:t>
      </w:r>
      <w:r>
        <w:rPr>
          <w:b w:val="0"/>
          <w:i w:val="0"/>
        </w:rPr>
        <w:t>.</w:t>
      </w:r>
    </w:p>
    <w:tbl>
      <w:tblPr>
        <w:tblStyle w:val="TableGrid"/>
        <w:tblW w:type="auto" w:w="0"/>
        <w:jc w:val="left"/>
        <w:tblLook w:firstColumn="1" w:firstRow="1" w:lastColumn="0" w:lastRow="0" w:noHBand="0" w:noVBand="1" w:val="04A0"/>
      </w:tblPr>
      <w:tblGrid>
        <w:gridCol w:w="2880"/>
        <w:gridCol w:w="2880"/>
        <w:gridCol w:w="2880"/>
      </w:tblGrid>
      <w:tr>
        <w:tc>
          <w:tcPr>
            <w:tcW w:type="dxa" w:w="720"/>
            <w:shd w:fill="E9EDF1"/>
          </w:tcPr>
          <w:p>
            <w:r/>
            <w:r>
              <w:rPr>
                <w:b/>
                <w:color w:val="1F3F5C"/>
                <w:sz w:val="19"/>
              </w:rPr>
              <w:t>Order</w:t>
            </w:r>
          </w:p>
        </w:tc>
        <w:tc>
          <w:tcPr>
            <w:tcW w:type="dxa" w:w="3024"/>
            <w:shd w:fill="E9EDF1"/>
          </w:tcPr>
          <w:p>
            <w:r/>
            <w:r>
              <w:rPr>
                <w:b/>
                <w:color w:val="1F3F5C"/>
                <w:sz w:val="19"/>
              </w:rPr>
              <w:t>Who</w:t>
            </w:r>
          </w:p>
        </w:tc>
        <w:tc>
          <w:tcPr>
            <w:tcW w:type="dxa" w:w="5184"/>
            <w:shd w:fill="E9EDF1"/>
          </w:tcPr>
          <w:p>
            <w:r/>
            <w:r>
              <w:rPr>
                <w:b/>
                <w:color w:val="1F3F5C"/>
                <w:sz w:val="19"/>
              </w:rPr>
              <w:t>Why them</w:t>
            </w:r>
          </w:p>
        </w:tc>
      </w:tr>
      <w:tr>
        <w:tc>
          <w:tcPr>
            <w:tcW w:type="dxa" w:w="720"/>
          </w:tcPr>
          <w:p>
            <w:r/>
            <w:r>
              <w:rPr>
                <w:b w:val="0"/>
                <w:sz w:val="19"/>
              </w:rPr>
              <w:t>1</w:t>
            </w:r>
          </w:p>
        </w:tc>
        <w:tc>
          <w:tcPr>
            <w:tcW w:type="dxa" w:w="3024"/>
          </w:tcPr>
          <w:p>
            <w:r/>
            <w:r>
              <w:rPr>
                <w:b/>
                <w:sz w:val="19"/>
              </w:rPr>
              <w:t>BOQ makers and QS consultancies</w:t>
            </w:r>
          </w:p>
        </w:tc>
        <w:tc>
          <w:tcPr>
            <w:tcW w:type="dxa" w:w="5184"/>
          </w:tcPr>
          <w:p>
            <w:r/>
            <w:r>
              <w:rPr>
                <w:b w:val="0"/>
                <w:sz w:val="19"/>
              </w:rPr>
              <w:t>They have the reviewer. They bill per project or per sq ft, not per hour, so every hour saved is margin they keep. Volume is their whole business.</w:t>
            </w:r>
          </w:p>
        </w:tc>
      </w:tr>
      <w:tr>
        <w:tc>
          <w:tcPr>
            <w:tcW w:type="dxa" w:w="720"/>
          </w:tcPr>
          <w:p>
            <w:r/>
            <w:r>
              <w:rPr>
                <w:b w:val="0"/>
                <w:sz w:val="19"/>
              </w:rPr>
              <w:t>2</w:t>
            </w:r>
          </w:p>
        </w:tc>
        <w:tc>
          <w:tcPr>
            <w:tcW w:type="dxa" w:w="3024"/>
          </w:tcPr>
          <w:p>
            <w:r/>
            <w:r>
              <w:rPr>
                <w:b/>
                <w:sz w:val="19"/>
              </w:rPr>
              <w:t>Solar rooftop EPC</w:t>
            </w:r>
          </w:p>
        </w:tc>
        <w:tc>
          <w:tcPr>
            <w:tcW w:type="dxa" w:w="5184"/>
          </w:tcPr>
          <w:p>
            <w:r/>
            <w:r>
              <w:rPr>
                <w:b w:val="0"/>
                <w:sz w:val="19"/>
              </w:rPr>
              <w:t>Spec mode, no drawing. Same shape every time, so derived quantities are reliable. Quotes daily — the highest frequency of anyone here.</w:t>
            </w:r>
          </w:p>
        </w:tc>
      </w:tr>
      <w:tr>
        <w:tc>
          <w:tcPr>
            <w:tcW w:type="dxa" w:w="720"/>
          </w:tcPr>
          <w:p>
            <w:r/>
            <w:r>
              <w:rPr>
                <w:b w:val="0"/>
                <w:sz w:val="19"/>
              </w:rPr>
              <w:t>3</w:t>
            </w:r>
          </w:p>
        </w:tc>
        <w:tc>
          <w:tcPr>
            <w:tcW w:type="dxa" w:w="3024"/>
          </w:tcPr>
          <w:p>
            <w:r/>
            <w:r>
              <w:rPr>
                <w:b/>
                <w:sz w:val="19"/>
              </w:rPr>
              <w:t>Panel builders and fabricators</w:t>
            </w:r>
          </w:p>
        </w:tc>
        <w:tc>
          <w:tcPr>
            <w:tcW w:type="dxa" w:w="5184"/>
          </w:tcPr>
          <w:p>
            <w:r/>
            <w:r>
              <w:rPr>
                <w:b w:val="0"/>
                <w:sz w:val="19"/>
              </w:rPr>
              <w:t>BOM, not BOQ. The bought-out / fabricated split already matches how they cost. Vadodara is an electrical equipment hub.</w:t>
            </w:r>
          </w:p>
        </w:tc>
      </w:tr>
      <w:tr>
        <w:tc>
          <w:tcPr>
            <w:tcW w:type="dxa" w:w="720"/>
          </w:tcPr>
          <w:p>
            <w:r/>
            <w:r>
              <w:rPr>
                <w:b w:val="0"/>
                <w:sz w:val="19"/>
              </w:rPr>
              <w:t>4</w:t>
            </w:r>
          </w:p>
        </w:tc>
        <w:tc>
          <w:tcPr>
            <w:tcW w:type="dxa" w:w="3024"/>
          </w:tcPr>
          <w:p>
            <w:r/>
            <w:r>
              <w:rPr>
                <w:b/>
                <w:sz w:val="19"/>
              </w:rPr>
              <w:t>ELV and security integrators</w:t>
            </w:r>
            <w:r>
              <w:rPr>
                <w:b w:val="0"/>
                <w:sz w:val="19"/>
              </w:rPr>
              <w:t xml:space="preserve"> big enough to keep an engineer</w:t>
            </w:r>
          </w:p>
        </w:tc>
        <w:tc>
          <w:tcPr>
            <w:tcW w:type="dxa" w:w="5184"/>
          </w:tcPr>
          <w:p>
            <w:r/>
            <w:r>
              <w:rPr>
                <w:b w:val="0"/>
                <w:sz w:val="19"/>
              </w:rPr>
              <w:t>Symbol-heavy drawings, which the engine reads well. This is the Raj Infotech shape, so there is a reference.</w:t>
            </w:r>
          </w:p>
        </w:tc>
      </w:tr>
      <w:tr>
        <w:tc>
          <w:tcPr>
            <w:tcW w:type="dxa" w:w="720"/>
          </w:tcPr>
          <w:p>
            <w:r/>
            <w:r>
              <w:rPr>
                <w:b w:val="0"/>
                <w:sz w:val="19"/>
              </w:rPr>
              <w:t>5</w:t>
            </w:r>
          </w:p>
        </w:tc>
        <w:tc>
          <w:tcPr>
            <w:tcW w:type="dxa" w:w="3024"/>
          </w:tcPr>
          <w:p>
            <w:r/>
            <w:r>
              <w:rPr>
                <w:b/>
                <w:sz w:val="19"/>
              </w:rPr>
              <w:t>Export QS firms</w:t>
            </w:r>
            <w:r>
              <w:rPr>
                <w:b w:val="0"/>
                <w:sz w:val="19"/>
              </w:rPr>
              <w:t xml:space="preserve"> (India to UK / Gulf)</w:t>
            </w:r>
          </w:p>
        </w:tc>
        <w:tc>
          <w:tcPr>
            <w:tcW w:type="dxa" w:w="5184"/>
          </w:tcPr>
          <w:p>
            <w:r/>
            <w:r>
              <w:rPr>
                <w:b w:val="0"/>
                <w:sz w:val="19"/>
              </w:rPr>
              <w:t>Compete purely on hours — one advertises 40–60% below UK rates. Halving hours doubles capacity with no new hire. Biggest deals, hardest buyers.</w:t>
            </w:r>
          </w:p>
        </w:tc>
      </w:tr>
      <w:tr>
        <w:tc>
          <w:tcPr>
            <w:tcW w:type="dxa" w:w="720"/>
          </w:tcPr>
          <w:p>
            <w:r/>
            <w:r>
              <w:rPr>
                <w:b w:val="0"/>
                <w:sz w:val="19"/>
              </w:rPr>
              <w:t>6</w:t>
            </w:r>
          </w:p>
        </w:tc>
        <w:tc>
          <w:tcPr>
            <w:tcW w:type="dxa" w:w="3024"/>
          </w:tcPr>
          <w:p>
            <w:r/>
            <w:r>
              <w:rPr>
                <w:b/>
                <w:sz w:val="19"/>
              </w:rPr>
              <w:t>Tile, paint and sanitaryware dealers</w:t>
            </w:r>
          </w:p>
        </w:tc>
        <w:tc>
          <w:tcPr>
            <w:tcW w:type="dxa" w:w="5184"/>
          </w:tcPr>
          <w:p>
            <w:r/>
            <w:r>
              <w:rPr>
                <w:b w:val="0"/>
                <w:sz w:val="19"/>
              </w:rPr>
              <w:t>Thousands of them, and the estimate is a sales tool not a cost — they do it free to win the order. Blocked until the rate card exists.</w:t>
            </w:r>
          </w:p>
        </w:tc>
      </w:tr>
    </w:tbl>
    <w:p>
      <w:pPr>
        <w:spacing w:after="80"/>
      </w:pPr>
    </w:p>
    <w:p>
      <w:pPr>
        <w:pStyle w:val="Heading2"/>
      </w:pPr>
      <w:r>
        <w:t>4. The one feature that unlocks the rest</w:t>
      </w:r>
    </w:p>
    <w:tbl>
      <w:tblPr>
        <w:tblStyle w:val="TableGrid"/>
        <w:tblW w:type="auto" w:w="0"/>
        <w:tblLook w:firstColumn="1" w:firstRow="1" w:lastColumn="0" w:lastRow="0" w:noHBand="0" w:noVBand="1" w:val="04A0"/>
      </w:tblPr>
      <w:tblGrid>
        <w:gridCol w:w="8640"/>
      </w:tblGrid>
      <w:tr>
        <w:tc>
          <w:tcPr>
            <w:tcW w:type="dxa" w:w="8640"/>
            <w:shd w:fill="FAF1EA"/>
          </w:tcPr>
          <w:p>
            <w:r/>
            <w:r>
              <w:rPr>
                <w:b/>
                <w:color w:val="A84514"/>
                <w:sz w:val="21"/>
              </w:rPr>
              <w:t xml:space="preserve">Let the customer attach their own rate card.  </w:t>
            </w:r>
            <w:r>
              <w:rPr>
                <w:sz w:val="21"/>
              </w:rPr>
              <w:t>Prism measures and leaves the rate column blank. For a QS firm that is right. But a tile dealer, a panel builder, a solar installer or a kitchen showroom already knows their prices — what they want is not an estimate, it is a quotation with a total at the bottom.</w:t>
            </w:r>
          </w:p>
        </w:tc>
      </w:tr>
    </w:tbl>
    <w:p>
      <w:pPr>
        <w:spacing w:after="80"/>
      </w:pPr>
    </w:p>
    <w:p>
      <w:r>
        <w:rPr>
          <w:b w:val="0"/>
          <w:i w:val="0"/>
        </w:rPr>
        <w:t>Attach a price list, match it to the measured lines, fill the columns. It is a lookup, not a guess, so it is deterministic and defensible. It changes the product from an estimating tool for estimators — perhaps a hundred QS firms in the country — into a quoting tool for anyone who sells by the square foot, which is tens of thousands of dealers and fabricators. It is a small feature and it should be built before we go beyond Gujarat.</w:t>
      </w:r>
    </w:p>
    <w:p>
      <w:pPr>
        <w:pStyle w:val="Heading2"/>
      </w:pPr>
      <w:r>
        <w:t>5. The pitch, in one paragraph</w:t>
      </w:r>
    </w:p>
    <w:p>
      <w:pPr>
        <w:spacing w:after="80"/>
      </w:pPr>
      <w:r>
        <w:rPr>
          <w:b w:val="0"/>
          <w:i w:val="0"/>
          <w:color w:val="5A6068"/>
        </w:rPr>
        <w:t>Say this. Do not add to it.</w:t>
      </w:r>
    </w:p>
    <w:tbl>
      <w:tblPr>
        <w:tblStyle w:val="TableGrid"/>
        <w:tblW w:type="auto" w:w="0"/>
        <w:tblLook w:firstColumn="1" w:firstRow="1" w:lastColumn="0" w:lastRow="0" w:noHBand="0" w:noVBand="1" w:val="04A0"/>
      </w:tblPr>
      <w:tblGrid>
        <w:gridCol w:w="8640"/>
      </w:tblGrid>
      <w:tr>
        <w:tc>
          <w:tcPr>
            <w:tcW w:type="dxa" w:w="8640"/>
            <w:shd w:fill="1F3F5C"/>
          </w:tcPr>
          <w:p>
            <w:r/>
            <w:r>
              <w:rPr>
                <w:color w:val="FFFFFF"/>
                <w:sz w:val="23"/>
              </w:rPr>
              <w:t>You charge ₹15–25 a square foot for a tender BOQ, and it takes your engineer 8 to 15 hours. Prism reads the DWG directly — not a PDF scan of it — counts the symbols off the actual layers, measures the runs and the hatched areas, and hands your engineer a formatted BOQ with every quantity already measured and the rate column left blank for him. He rates and checks instead of counting and typing. Same engineer, same review, same signature on it. Three times the BOQs out of the door. Nothing leaves your office except the written brief, and we'll show you exactly what that is.</w:t>
            </w:r>
          </w:p>
        </w:tc>
      </w:tr>
    </w:tbl>
    <w:p>
      <w:pPr>
        <w:spacing w:after="80"/>
      </w:pPr>
    </w:p>
    <w:p>
      <w:pPr>
        <w:pStyle w:val="Heading3"/>
      </w:pPr>
      <w:r>
        <w:t>The three sentences under it</w:t>
      </w:r>
    </w:p>
    <w:p>
      <w:pPr>
        <w:pStyle w:val="ListBullet"/>
      </w:pPr>
      <w:r>
        <w:rPr>
          <w:b/>
        </w:rPr>
        <w:t xml:space="preserve">“It reduces your time. It does not replace your people.” </w:t>
      </w:r>
      <w:r>
        <w:t>A BOQ is a contractual document — if a number is wrong, somebody eats the difference. Say this before they ask, because their first private thought is whether this replaces their staff.</w:t>
      </w:r>
    </w:p>
    <w:p>
      <w:pPr>
        <w:pStyle w:val="ListBullet"/>
      </w:pPr>
      <w:r>
        <w:rPr>
          <w:b/>
        </w:rPr>
        <w:t xml:space="preserve">“Raj Infotech checked it line by line and put it at 99%.” </w:t>
      </w:r>
      <w:r>
        <w:t>Never say “Prism is 99% accurate” as a product claim. On a 300-line BOQ, 99% means roughly three wrong lines — and if we sold “no checking needed”, those three lines are our problem. Attributed to a real client on a real job it is stronger and it cannot be picked apart.</w:t>
      </w:r>
    </w:p>
    <w:p>
      <w:pPr>
        <w:pStyle w:val="ListBullet"/>
      </w:pPr>
      <w:r>
        <w:rPr>
          <w:b/>
        </w:rPr>
        <w:t xml:space="preserve">“The measurement happens on your computer. The written brief goes to the AI tool.” </w:t>
      </w:r>
      <w:r>
        <w:t>That is the honest privacy answer. Never claim it is airgapped.</w:t>
      </w:r>
    </w:p>
    <w:p>
      <w:pPr>
        <w:pStyle w:val="Heading2"/>
      </w:pPr>
      <w:r>
        <w:t>6. The competition</w:t>
      </w:r>
    </w:p>
    <w:tbl>
      <w:tblPr>
        <w:tblStyle w:val="TableGrid"/>
        <w:tblW w:type="auto" w:w="0"/>
        <w:jc w:val="left"/>
        <w:tblLook w:firstColumn="1" w:firstRow="1" w:lastColumn="0" w:lastRow="0" w:noHBand="0" w:noVBand="1" w:val="04A0"/>
      </w:tblPr>
      <w:tblGrid>
        <w:gridCol w:w="2880"/>
        <w:gridCol w:w="2880"/>
        <w:gridCol w:w="2880"/>
      </w:tblGrid>
      <w:tr>
        <w:tc>
          <w:tcPr>
            <w:tcW w:type="dxa" w:w="3456"/>
            <w:shd w:fill="E9EDF1"/>
          </w:tcPr>
          <w:p>
            <w:r/>
            <w:r>
              <w:rPr>
                <w:b/>
                <w:color w:val="1F3F5C"/>
                <w:sz w:val="19"/>
              </w:rPr>
              <w:t>Tool</w:t>
            </w:r>
          </w:p>
        </w:tc>
        <w:tc>
          <w:tcPr>
            <w:tcW w:type="dxa" w:w="3456"/>
            <w:shd w:fill="E9EDF1"/>
          </w:tcPr>
          <w:p>
            <w:r/>
            <w:r>
              <w:rPr>
                <w:b/>
                <w:color w:val="1F3F5C"/>
                <w:sz w:val="19"/>
              </w:rPr>
              <w:t>Price</w:t>
            </w:r>
          </w:p>
        </w:tc>
        <w:tc>
          <w:tcPr>
            <w:tcW w:type="dxa" w:w="2016"/>
            <w:shd w:fill="E9EDF1"/>
          </w:tcPr>
          <w:p>
            <w:r/>
            <w:r>
              <w:rPr>
                <w:b/>
                <w:color w:val="1F3F5C"/>
                <w:sz w:val="19"/>
              </w:rPr>
              <w:t>Reads DWG?</w:t>
            </w:r>
          </w:p>
        </w:tc>
      </w:tr>
      <w:tr>
        <w:tc>
          <w:tcPr>
            <w:tcW w:type="dxa" w:w="3456"/>
          </w:tcPr>
          <w:p>
            <w:r/>
            <w:r>
              <w:rPr>
                <w:b/>
                <w:sz w:val="19"/>
              </w:rPr>
              <w:t>Excel and AutoCAD, by hand</w:t>
            </w:r>
          </w:p>
        </w:tc>
        <w:tc>
          <w:tcPr>
            <w:tcW w:type="dxa" w:w="3456"/>
          </w:tcPr>
          <w:p>
            <w:r/>
            <w:r>
              <w:rPr>
                <w:b w:val="0"/>
                <w:sz w:val="19"/>
              </w:rPr>
              <w:t>₹0</w:t>
            </w:r>
          </w:p>
        </w:tc>
        <w:tc>
          <w:tcPr>
            <w:tcW w:type="dxa" w:w="2016"/>
          </w:tcPr>
          <w:p>
            <w:r/>
            <w:r>
              <w:rPr>
                <w:b w:val="0"/>
                <w:sz w:val="19"/>
              </w:rPr>
              <w:t>a human reads it</w:t>
            </w:r>
          </w:p>
        </w:tc>
      </w:tr>
      <w:tr>
        <w:tc>
          <w:tcPr>
            <w:tcW w:type="dxa" w:w="3456"/>
          </w:tcPr>
          <w:p>
            <w:r/>
            <w:r>
              <w:rPr>
                <w:b w:val="0"/>
                <w:sz w:val="19"/>
              </w:rPr>
              <w:t>BuildNext Takeoff</w:t>
            </w:r>
          </w:p>
        </w:tc>
        <w:tc>
          <w:tcPr>
            <w:tcW w:type="dxa" w:w="3456"/>
          </w:tcPr>
          <w:p>
            <w:r/>
            <w:r>
              <w:rPr>
                <w:b w:val="0"/>
                <w:sz w:val="19"/>
              </w:rPr>
              <w:t>₹2,000–5,000 / month</w:t>
            </w:r>
          </w:p>
        </w:tc>
        <w:tc>
          <w:tcPr>
            <w:tcW w:type="dxa" w:w="2016"/>
          </w:tcPr>
          <w:p>
            <w:r/>
            <w:r>
              <w:rPr>
                <w:b w:val="0"/>
                <w:sz w:val="19"/>
              </w:rPr>
              <w:t>PDF</w:t>
            </w:r>
          </w:p>
        </w:tc>
      </w:tr>
      <w:tr>
        <w:tc>
          <w:tcPr>
            <w:tcW w:type="dxa" w:w="3456"/>
          </w:tcPr>
          <w:p>
            <w:r/>
            <w:r>
              <w:rPr>
                <w:b w:val="0"/>
                <w:sz w:val="19"/>
              </w:rPr>
              <w:t>PlanSwift</w:t>
            </w:r>
          </w:p>
        </w:tc>
        <w:tc>
          <w:tcPr>
            <w:tcW w:type="dxa" w:w="3456"/>
          </w:tcPr>
          <w:p>
            <w:r/>
            <w:r>
              <w:rPr>
                <w:b w:val="0"/>
                <w:sz w:val="19"/>
              </w:rPr>
              <w:t>₹8,000 / year, or ₹1.3–1.7L once</w:t>
            </w:r>
          </w:p>
        </w:tc>
        <w:tc>
          <w:tcPr>
            <w:tcW w:type="dxa" w:w="2016"/>
          </w:tcPr>
          <w:p>
            <w:r/>
            <w:r>
              <w:rPr>
                <w:b w:val="0"/>
                <w:sz w:val="19"/>
              </w:rPr>
              <w:t>Yes</w:t>
            </w:r>
          </w:p>
        </w:tc>
      </w:tr>
      <w:tr>
        <w:tc>
          <w:tcPr>
            <w:tcW w:type="dxa" w:w="3456"/>
          </w:tcPr>
          <w:p>
            <w:r/>
            <w:r>
              <w:rPr>
                <w:b w:val="0"/>
                <w:sz w:val="19"/>
              </w:rPr>
              <w:t>Bluebeam Revu</w:t>
            </w:r>
          </w:p>
        </w:tc>
        <w:tc>
          <w:tcPr>
            <w:tcW w:type="dxa" w:w="3456"/>
          </w:tcPr>
          <w:p>
            <w:r/>
            <w:r>
              <w:rPr>
                <w:b w:val="0"/>
                <w:sz w:val="19"/>
              </w:rPr>
              <w:t>₹22,000–37,000 / user / year</w:t>
            </w:r>
          </w:p>
        </w:tc>
        <w:tc>
          <w:tcPr>
            <w:tcW w:type="dxa" w:w="2016"/>
          </w:tcPr>
          <w:p>
            <w:r/>
            <w:r>
              <w:rPr>
                <w:b w:val="0"/>
                <w:sz w:val="19"/>
              </w:rPr>
              <w:t>PDF</w:t>
            </w:r>
          </w:p>
        </w:tc>
      </w:tr>
      <w:tr>
        <w:tc>
          <w:tcPr>
            <w:tcW w:type="dxa" w:w="3456"/>
          </w:tcPr>
          <w:p>
            <w:r/>
            <w:r>
              <w:rPr>
                <w:b w:val="0"/>
                <w:sz w:val="19"/>
              </w:rPr>
              <w:t>STACK</w:t>
            </w:r>
          </w:p>
        </w:tc>
        <w:tc>
          <w:tcPr>
            <w:tcW w:type="dxa" w:w="3456"/>
          </w:tcPr>
          <w:p>
            <w:r/>
            <w:r>
              <w:rPr>
                <w:b w:val="0"/>
                <w:sz w:val="19"/>
              </w:rPr>
              <w:t>₹2.1–2.5L / user / year</w:t>
            </w:r>
          </w:p>
        </w:tc>
        <w:tc>
          <w:tcPr>
            <w:tcW w:type="dxa" w:w="2016"/>
          </w:tcPr>
          <w:p>
            <w:r/>
            <w:r>
              <w:rPr>
                <w:b w:val="0"/>
                <w:sz w:val="19"/>
              </w:rPr>
              <w:t>PDF</w:t>
            </w:r>
          </w:p>
        </w:tc>
      </w:tr>
      <w:tr>
        <w:tc>
          <w:tcPr>
            <w:tcW w:type="dxa" w:w="3456"/>
          </w:tcPr>
          <w:p>
            <w:r/>
            <w:r>
              <w:rPr>
                <w:b w:val="0"/>
                <w:sz w:val="19"/>
              </w:rPr>
              <w:t>RIB CostX</w:t>
            </w:r>
          </w:p>
        </w:tc>
        <w:tc>
          <w:tcPr>
            <w:tcW w:type="dxa" w:w="3456"/>
          </w:tcPr>
          <w:p>
            <w:r/>
            <w:r>
              <w:rPr>
                <w:b w:val="0"/>
                <w:sz w:val="19"/>
              </w:rPr>
              <w:t>quote only</w:t>
            </w:r>
          </w:p>
        </w:tc>
        <w:tc>
          <w:tcPr>
            <w:tcW w:type="dxa" w:w="2016"/>
          </w:tcPr>
          <w:p>
            <w:r/>
            <w:r>
              <w:rPr>
                <w:b w:val="0"/>
                <w:sz w:val="19"/>
              </w:rPr>
              <w:t>2D and 3D</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fill="FAF1EA"/>
          </w:tcPr>
          <w:p>
            <w:r/>
            <w:r>
              <w:rPr>
                <w:b/>
                <w:color w:val="A84514"/>
                <w:sz w:val="21"/>
              </w:rPr>
              <w:t xml:space="preserve">Do not say “they count by hand and we don't”.  </w:t>
            </w:r>
            <w:r>
              <w:rPr>
                <w:sz w:val="21"/>
              </w:rPr>
              <w:t>Bluebeam has Visual Search / Auto Count: box one camera symbol and it finds every match across every sheet. Any estimator who has used it will know the claim is false and we lose the room in five minutes.</w:t>
            </w:r>
          </w:p>
        </w:tc>
      </w:tr>
    </w:tbl>
    <w:p>
      <w:pPr>
        <w:spacing w:after="80"/>
      </w:pPr>
    </w:p>
    <w:p>
      <w:pPr>
        <w:pStyle w:val="Heading3"/>
      </w:pPr>
      <w:r>
        <w:t>What is actually true</w:t>
      </w:r>
    </w:p>
    <w:p>
      <w:pPr>
        <w:pStyle w:val="ListBullet"/>
      </w:pPr>
      <w:r>
        <w:rPr>
          <w:b/>
        </w:rPr>
        <w:t xml:space="preserve">They work from PDF; Prism reads the DWG. </w:t>
      </w:r>
      <w:r>
        <w:t>Visual Search is pattern-matching on a picture — it needs scale calibration and throws false positives on a messy plot. Prism reads real blocks on real layers at real coordinates.</w:t>
      </w:r>
    </w:p>
    <w:p>
      <w:pPr>
        <w:pStyle w:val="ListBullet"/>
      </w:pPr>
      <w:r>
        <w:rPr>
          <w:b/>
        </w:rPr>
        <w:t xml:space="preserve">They stop at a number; Prism goes to a document. </w:t>
      </w:r>
      <w:r>
        <w:t>Every tool above hands back quantities. The estimator still moves it to Excel, applies rates, writes the specs and formats it for tender. That is most of the 8–15 hours.</w:t>
      </w:r>
    </w:p>
    <w:p>
      <w:pPr>
        <w:pStyle w:val="ListBullet"/>
      </w:pPr>
      <w:r>
        <w:rPr>
          <w:b/>
        </w:rPr>
        <w:t xml:space="preserve">Most of the market owns none of them. </w:t>
      </w:r>
      <w:r>
        <w:t>For a twelve-person integrator, Bluebeam at ₹37,000 a seat and STACK at ₹2.5 lakh are not real options. Our competitor is Excel and a junior engineer.</w:t>
      </w:r>
    </w:p>
    <w:p>
      <w:pPr>
        <w:pStyle w:val="Heading3"/>
      </w:pPr>
      <w:r>
        <w:t>The one real competitor</w:t>
      </w:r>
    </w:p>
    <w:p>
      <w:r>
        <w:rPr>
          <w:b w:val="0"/>
          <w:i w:val="0"/>
        </w:rPr>
        <w:t>DesignDrafter — “AI BOQ and Quantity Takeoff Software for EPC Contractors in India”. DWG, PDF, Revit and IFC in, quantities out. Claims a week of manual BOQ becomes “a session”, quantities “derived from geometry rather than manual measurement approximation”, and 5–8% wastage reduction. That is our pitch, nearly word for word.</w:t>
      </w:r>
    </w:p>
    <w:p>
      <w:r>
        <w:rPr>
          <w:b w:val="0"/>
          <w:i w:val="0"/>
        </w:rPr>
        <w:t>Two things soften it: no published pricing and no named customers, so probably early. And they are a BOQ-and-BIM tool, where BOQ is one add-on inside something that also finds the leads, writes the covering letter and sends the tender email. Do not compete on measurement accuracy — that is their ground and expensive to win. Compete on the whole bid, end to end, and on price.</w:t>
      </w:r>
    </w:p>
    <w:p>
      <w:pPr>
        <w:pStyle w:val="Heading2"/>
      </w:pPr>
      <w:r>
        <w:t>7. Packaging and pricing</w:t>
      </w:r>
    </w:p>
    <w:p>
      <w:r>
        <w:rPr>
          <w:b w:val="0"/>
          <w:i w:val="0"/>
        </w:rPr>
        <w:t>A licence carries a list of feature names. The app never asks which plan somebody is on — it asks whether the licence includes a feature. That one decision makes every deal shape possible without touching the app: a plan is a named set, an add-on is one feature, and a bespoke deal is a hand-written set that nothing has to know about.</w:t>
      </w:r>
    </w:p>
    <w:tbl>
      <w:tblPr>
        <w:tblStyle w:val="TableGrid"/>
        <w:tblW w:type="auto" w:w="0"/>
        <w:jc w:val="left"/>
        <w:tblLook w:firstColumn="1" w:firstRow="1" w:lastColumn="0" w:lastRow="0" w:noHBand="0" w:noVBand="1" w:val="04A0"/>
      </w:tblPr>
      <w:tblGrid>
        <w:gridCol w:w="2880"/>
        <w:gridCol w:w="2880"/>
        <w:gridCol w:w="2880"/>
      </w:tblGrid>
      <w:tr>
        <w:tc>
          <w:tcPr>
            <w:tcW w:type="dxa" w:w="2736"/>
            <w:shd w:fill="E9EDF1"/>
          </w:tcPr>
          <w:p>
            <w:r/>
            <w:r>
              <w:rPr>
                <w:b/>
                <w:color w:val="1F3F5C"/>
                <w:sz w:val="19"/>
              </w:rPr>
              <w:t>Plan</w:t>
            </w:r>
          </w:p>
        </w:tc>
        <w:tc>
          <w:tcPr>
            <w:tcW w:type="dxa" w:w="3744"/>
            <w:shd w:fill="E9EDF1"/>
          </w:tcPr>
          <w:p>
            <w:r/>
            <w:r>
              <w:rPr>
                <w:b/>
                <w:color w:val="1F3F5C"/>
                <w:sz w:val="19"/>
              </w:rPr>
              <w:t>Includes</w:t>
            </w:r>
          </w:p>
        </w:tc>
        <w:tc>
          <w:tcPr>
            <w:tcW w:type="dxa" w:w="2448"/>
            <w:shd w:fill="E9EDF1"/>
          </w:tcPr>
          <w:p>
            <w:r/>
            <w:r>
              <w:rPr>
                <w:b/>
                <w:color w:val="1F3F5C"/>
                <w:sz w:val="19"/>
              </w:rPr>
              <w:t>Sold alongside</w:t>
            </w:r>
          </w:p>
        </w:tc>
      </w:tr>
      <w:tr>
        <w:tc>
          <w:tcPr>
            <w:tcW w:type="dxa" w:w="2736"/>
          </w:tcPr>
          <w:p>
            <w:r/>
            <w:r>
              <w:rPr>
                <w:b/>
                <w:sz w:val="19"/>
              </w:rPr>
              <w:t>Prism Studio</w:t>
            </w:r>
            <w:r>
              <w:rPr>
                <w:b w:val="0"/>
                <w:sz w:val="19"/>
              </w:rPr>
              <w:br/>
              <w:t>Agencies, consultants</w:t>
            </w:r>
          </w:p>
        </w:tc>
        <w:tc>
          <w:tcPr>
            <w:tcW w:type="dxa" w:w="3744"/>
          </w:tcPr>
          <w:p>
            <w:r/>
            <w:r>
              <w:rPr>
                <w:b w:val="0"/>
                <w:sz w:val="19"/>
              </w:rPr>
              <w:t>Pipeline, Marketing, Leads, Email, Reel, Build tools</w:t>
            </w:r>
          </w:p>
        </w:tc>
        <w:tc>
          <w:tcPr>
            <w:tcW w:type="dxa" w:w="2448"/>
          </w:tcPr>
          <w:p>
            <w:r/>
            <w:r>
              <w:rPr>
                <w:b w:val="0"/>
                <w:sz w:val="19"/>
              </w:rPr>
              <w:t>BOQ, BOM, Attendance</w:t>
            </w:r>
          </w:p>
        </w:tc>
      </w:tr>
      <w:tr>
        <w:tc>
          <w:tcPr>
            <w:tcW w:type="dxa" w:w="2736"/>
          </w:tcPr>
          <w:p>
            <w:r/>
            <w:r>
              <w:rPr>
                <w:b/>
                <w:sz w:val="19"/>
              </w:rPr>
              <w:t>Prism Works</w:t>
            </w:r>
            <w:r>
              <w:rPr>
                <w:b w:val="0"/>
                <w:sz w:val="19"/>
              </w:rPr>
              <w:br/>
              <w:t>Manufacturers, contractors</w:t>
            </w:r>
          </w:p>
        </w:tc>
        <w:tc>
          <w:tcPr>
            <w:tcW w:type="dxa" w:w="3744"/>
          </w:tcPr>
          <w:p>
            <w:r/>
            <w:r>
              <w:rPr>
                <w:b w:val="0"/>
                <w:sz w:val="19"/>
              </w:rPr>
              <w:t>Pipeline, BOQ, BOM, Attendance, Email</w:t>
            </w:r>
          </w:p>
        </w:tc>
        <w:tc>
          <w:tcPr>
            <w:tcW w:type="dxa" w:w="2448"/>
          </w:tcPr>
          <w:p>
            <w:r/>
            <w:r>
              <w:rPr>
                <w:b w:val="0"/>
                <w:sz w:val="19"/>
              </w:rPr>
              <w:t>Marketing, Leads, Reel, Build tools</w:t>
            </w:r>
          </w:p>
        </w:tc>
      </w:tr>
      <w:tr>
        <w:tc>
          <w:tcPr>
            <w:tcW w:type="dxa" w:w="2736"/>
          </w:tcPr>
          <w:p>
            <w:r/>
            <w:r>
              <w:rPr>
                <w:b/>
                <w:sz w:val="19"/>
              </w:rPr>
              <w:t>Prism Complete</w:t>
            </w:r>
            <w:r>
              <w:rPr>
                <w:b w:val="0"/>
                <w:sz w:val="19"/>
              </w:rPr>
              <w:br/>
              <w:t>Both, or a group</w:t>
            </w:r>
          </w:p>
        </w:tc>
        <w:tc>
          <w:tcPr>
            <w:tcW w:type="dxa" w:w="3744"/>
          </w:tcPr>
          <w:p>
            <w:r/>
            <w:r>
              <w:rPr>
                <w:b w:val="0"/>
                <w:sz w:val="19"/>
              </w:rPr>
              <w:t>Everything</w:t>
            </w:r>
          </w:p>
        </w:tc>
        <w:tc>
          <w:tcPr>
            <w:tcW w:type="dxa" w:w="2448"/>
          </w:tcPr>
          <w:p>
            <w:r/>
            <w:r>
              <w:rPr>
                <w:b w:val="0"/>
                <w:sz w:val="19"/>
              </w:rPr>
              <w:t>—</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fill="EAF1F6"/>
          </w:tcPr>
          <w:p>
            <w:r/>
            <w:r>
              <w:rPr>
                <w:b/>
                <w:color w:val="1F3F5C"/>
                <w:sz w:val="21"/>
              </w:rPr>
              <w:t xml:space="preserve">One change worth making.  </w:t>
            </w:r>
            <w:r>
              <w:rPr>
                <w:sz w:val="21"/>
              </w:rPr>
              <w:t>Email belongs in Works as well as Studio. A fabricator who quotes a job has to send the quote — that is the last step of the BOQ workflow, not a marketing extra. Charging separately for it makes Works feel deliberately crippled at exactly the moment the customer is happiest.</w:t>
            </w:r>
          </w:p>
        </w:tc>
      </w:tr>
    </w:tbl>
    <w:p>
      <w:pPr>
        <w:spacing w:after="80"/>
      </w:pPr>
    </w:p>
    <w:p>
      <w:pPr>
        <w:pStyle w:val="Heading3"/>
      </w:pPr>
      <w:r>
        <w:t>Do we build a console?</w:t>
      </w:r>
    </w:p>
    <w:p>
      <w:r>
        <w:rPr>
          <w:b/>
          <w:i w:val="0"/>
        </w:rPr>
        <w:t xml:space="preserve">Not yet. </w:t>
      </w:r>
      <w:r>
        <w:rPr>
          <w:b w:val="0"/>
          <w:i w:val="0"/>
        </w:rPr>
        <w:t>Add one command to the minting script we already have, and the whole business capability exists this week — bespoke deals included, no UI needed. The plan table is already written in code and should be copied to the licence server so both mint and gate from one source.</w:t>
      </w:r>
    </w:p>
    <w:p>
      <w:r>
        <w:rPr>
          <w:b w:val="0"/>
          <w:i w:val="0"/>
        </w:rPr>
        <w:t>Build the console when one of these is true, and not before:</w:t>
      </w:r>
    </w:p>
    <w:p>
      <w:pPr>
        <w:pStyle w:val="ListBullet"/>
      </w:pPr>
      <w:r>
        <w:rPr>
          <w:b/>
        </w:rPr>
        <w:t xml:space="preserve">Somebody other than you issues keys. </w:t>
      </w:r>
      <w:r>
        <w:t>A console is really a permissions boundary — the moment a salesperson needs to issue a trial without your laptop, you need one.</w:t>
      </w:r>
    </w:p>
    <w:p>
      <w:pPr>
        <w:pStyle w:val="ListBullet"/>
      </w:pPr>
      <w:r>
        <w:rPr>
          <w:b/>
        </w:rPr>
        <w:t xml:space="preserve">Around twenty or more customers. </w:t>
      </w:r>
      <w:r>
        <w:t>Below that, a spreadsheet and a script are faster.</w:t>
      </w:r>
    </w:p>
    <w:p>
      <w:pPr>
        <w:pStyle w:val="ListBullet"/>
      </w:pPr>
      <w:r>
        <w:rPr>
          <w:b/>
        </w:rPr>
        <w:t xml:space="preserve">Customers need to serve themselves. </w:t>
      </w:r>
      <w:r>
        <w:t>Adding an add-on without emailing you.</w:t>
      </w:r>
    </w:p>
    <w:p>
      <w:r>
        <w:rPr>
          <w:b w:val="0"/>
          <w:i w:val="0"/>
        </w:rPr>
        <w:t>When we do build it, the valuable screens are not minting — that is twenty lines of code. They are release a seat and see who is actually using it, because the second one is the renewal conversation.</w:t>
      </w:r>
    </w:p>
    <w:p>
      <w:pPr>
        <w:pStyle w:val="Heading2"/>
      </w:pPr>
      <w:r>
        <w:t>8. Who to contact, nearest first</w:t>
      </w:r>
    </w:p>
    <w:p>
      <w:r>
        <w:rPr>
          <w:b w:val="0"/>
          <w:i w:val="0"/>
          <w:color w:val="5A6068"/>
        </w:rPr>
        <w:t>Ordered by how easily we can get in a room, because the first conversations are worth more as learning than as revenue. Every company below came from a public directory or its own website. That proves the firm exists and what it advertises — nothing about whether it needs this, and no contact has been made.</w:t>
      </w:r>
    </w:p>
    <w:p>
      <w:pPr>
        <w:pStyle w:val="Heading3"/>
      </w:pPr>
      <w:r>
        <w:t>Ring 0 — Vadodara, same city</w:t>
      </w:r>
    </w:p>
    <w:tbl>
      <w:tblPr>
        <w:tblStyle w:val="TableGrid"/>
        <w:tblW w:type="auto" w:w="0"/>
        <w:jc w:val="left"/>
        <w:tblLook w:firstColumn="1" w:firstRow="1" w:lastColumn="0" w:lastRow="0" w:noHBand="0" w:noVBand="1" w:val="04A0"/>
      </w:tblPr>
      <w:tblGrid>
        <w:gridCol w:w="2880"/>
        <w:gridCol w:w="2880"/>
        <w:gridCol w:w="2880"/>
      </w:tblGrid>
      <w:tr>
        <w:tc>
          <w:tcPr>
            <w:tcW w:type="dxa" w:w="2736"/>
            <w:shd w:fill="E9EDF1"/>
          </w:tcPr>
          <w:p>
            <w:r/>
            <w:r>
              <w:rPr>
                <w:b/>
                <w:color w:val="1F3F5C"/>
                <w:sz w:val="19"/>
              </w:rPr>
              <w:t>Company</w:t>
            </w:r>
          </w:p>
        </w:tc>
        <w:tc>
          <w:tcPr>
            <w:tcW w:type="dxa" w:w="2160"/>
            <w:shd w:fill="E9EDF1"/>
          </w:tcPr>
          <w:p>
            <w:r/>
            <w:r>
              <w:rPr>
                <w:b/>
                <w:color w:val="1F3F5C"/>
                <w:sz w:val="19"/>
              </w:rPr>
              <w:t>What they are</w:t>
            </w:r>
          </w:p>
        </w:tc>
        <w:tc>
          <w:tcPr>
            <w:tcW w:type="dxa" w:w="4032"/>
            <w:shd w:fill="E9EDF1"/>
          </w:tcPr>
          <w:p>
            <w:r/>
            <w:r>
              <w:rPr>
                <w:b/>
                <w:color w:val="1F3F5C"/>
                <w:sz w:val="19"/>
              </w:rPr>
              <w:t>Why them</w:t>
            </w:r>
          </w:p>
        </w:tc>
      </w:tr>
      <w:tr>
        <w:tc>
          <w:tcPr>
            <w:tcW w:type="dxa" w:w="2736"/>
          </w:tcPr>
          <w:p>
            <w:r/>
            <w:r>
              <w:rPr>
                <w:b w:val="0"/>
                <w:sz w:val="19"/>
              </w:rPr>
              <w:t>Total Engineering Consultancy Services</w:t>
            </w:r>
          </w:p>
        </w:tc>
        <w:tc>
          <w:tcPr>
            <w:tcW w:type="dxa" w:w="2160"/>
          </w:tcPr>
          <w:p>
            <w:r/>
            <w:r>
              <w:rPr>
                <w:b w:val="0"/>
                <w:sz w:val="19"/>
              </w:rPr>
              <w:t>BOQ maker</w:t>
            </w:r>
          </w:p>
        </w:tc>
        <w:tc>
          <w:tcPr>
            <w:tcW w:type="dxa" w:w="4032"/>
          </w:tcPr>
          <w:p>
            <w:r/>
            <w:r>
              <w:rPr>
                <w:b w:val="0"/>
                <w:sz w:val="19"/>
              </w:rPr>
              <w:t xml:space="preserve">Listed for </w:t>
            </w:r>
            <w:r>
              <w:rPr>
                <w:b/>
                <w:sz w:val="19"/>
              </w:rPr>
              <w:t>BOQ and Material Take Off</w:t>
            </w:r>
            <w:r>
              <w:rPr>
                <w:b w:val="0"/>
                <w:sz w:val="19"/>
              </w:rPr>
              <w:t xml:space="preserve"> — the closest match to the ideal customer, in our own city. </w:t>
            </w:r>
            <w:r>
              <w:rPr>
                <w:b/>
                <w:sz w:val="19"/>
              </w:rPr>
              <w:t>Call first</w:t>
            </w:r>
            <w:r>
              <w:rPr>
                <w:b w:val="0"/>
                <w:sz w:val="19"/>
              </w:rPr>
              <w:t>, and ask their rate and turnaround before pitching.</w:t>
            </w:r>
          </w:p>
        </w:tc>
      </w:tr>
      <w:tr>
        <w:tc>
          <w:tcPr>
            <w:tcW w:type="dxa" w:w="2736"/>
          </w:tcPr>
          <w:p>
            <w:r/>
            <w:r>
              <w:rPr>
                <w:b w:val="0"/>
                <w:sz w:val="19"/>
              </w:rPr>
              <w:t>Sammraksha Digital Security Systems</w:t>
            </w:r>
          </w:p>
        </w:tc>
        <w:tc>
          <w:tcPr>
            <w:tcW w:type="dxa" w:w="2160"/>
          </w:tcPr>
          <w:p>
            <w:r/>
            <w:r>
              <w:rPr>
                <w:b w:val="0"/>
                <w:sz w:val="19"/>
              </w:rPr>
              <w:t>ELV integrator</w:t>
            </w:r>
          </w:p>
        </w:tc>
        <w:tc>
          <w:tcPr>
            <w:tcW w:type="dxa" w:w="4032"/>
          </w:tcPr>
          <w:p>
            <w:r/>
            <w:r>
              <w:rPr>
                <w:b w:val="0"/>
                <w:sz w:val="19"/>
              </w:rPr>
              <w:t>Fire alarm, suppression, CCTV, access control. Ask for one DWG from a tender they already lost.</w:t>
            </w:r>
          </w:p>
        </w:tc>
      </w:tr>
      <w:tr>
        <w:tc>
          <w:tcPr>
            <w:tcW w:type="dxa" w:w="2736"/>
          </w:tcPr>
          <w:p>
            <w:r/>
            <w:r>
              <w:rPr>
                <w:b w:val="0"/>
                <w:sz w:val="19"/>
              </w:rPr>
              <w:t>Vakratund Innovation</w:t>
            </w:r>
          </w:p>
        </w:tc>
        <w:tc>
          <w:tcPr>
            <w:tcW w:type="dxa" w:w="2160"/>
          </w:tcPr>
          <w:p>
            <w:r/>
            <w:r>
              <w:rPr>
                <w:b w:val="0"/>
                <w:sz w:val="19"/>
              </w:rPr>
              <w:t>ELV integrator</w:t>
            </w:r>
          </w:p>
        </w:tc>
        <w:tc>
          <w:tcPr>
            <w:tcW w:type="dxa" w:w="4032"/>
          </w:tcPr>
          <w:p>
            <w:r/>
            <w:r>
              <w:rPr>
                <w:b w:val="0"/>
                <w:sz w:val="19"/>
              </w:rPr>
              <w:t>CCTV, access control, fire alarm, networking. Same ask.</w:t>
            </w:r>
          </w:p>
        </w:tc>
      </w:tr>
      <w:tr>
        <w:tc>
          <w:tcPr>
            <w:tcW w:type="dxa" w:w="2736"/>
          </w:tcPr>
          <w:p>
            <w:r/>
            <w:r>
              <w:rPr>
                <w:b w:val="0"/>
                <w:sz w:val="19"/>
              </w:rPr>
              <w:t>Lobel Green Energy</w:t>
            </w:r>
          </w:p>
        </w:tc>
        <w:tc>
          <w:tcPr>
            <w:tcW w:type="dxa" w:w="2160"/>
          </w:tcPr>
          <w:p>
            <w:r/>
            <w:r>
              <w:rPr>
                <w:b w:val="0"/>
                <w:sz w:val="19"/>
              </w:rPr>
              <w:t>Solar EPC — spec mode</w:t>
            </w:r>
          </w:p>
        </w:tc>
        <w:tc>
          <w:tcPr>
            <w:tcW w:type="dxa" w:w="4032"/>
          </w:tcPr>
          <w:p>
            <w:r/>
            <w:r>
              <w:rPr>
                <w:b w:val="0"/>
                <w:sz w:val="19"/>
              </w:rPr>
              <w:t xml:space="preserve">16+ years rooftop EPC. </w:t>
            </w:r>
            <w:r>
              <w:rPr>
                <w:b/>
                <w:sz w:val="19"/>
              </w:rPr>
              <w:t>No drawing needed</w:t>
            </w:r>
            <w:r>
              <w:rPr>
                <w:b w:val="0"/>
                <w:sz w:val="19"/>
              </w:rPr>
              <w:t xml:space="preserve"> — this is the spec-mode pitch.</w:t>
            </w:r>
          </w:p>
        </w:tc>
      </w:tr>
      <w:tr>
        <w:tc>
          <w:tcPr>
            <w:tcW w:type="dxa" w:w="2736"/>
          </w:tcPr>
          <w:p>
            <w:r/>
            <w:r>
              <w:rPr>
                <w:b w:val="0"/>
                <w:sz w:val="19"/>
              </w:rPr>
              <w:t>Aarish Power, Maruti Technologies, Somaya Solar</w:t>
            </w:r>
          </w:p>
        </w:tc>
        <w:tc>
          <w:tcPr>
            <w:tcW w:type="dxa" w:w="2160"/>
          </w:tcPr>
          <w:p>
            <w:r/>
            <w:r>
              <w:rPr>
                <w:b w:val="0"/>
                <w:sz w:val="19"/>
              </w:rPr>
              <w:t>Solar EPC</w:t>
            </w:r>
          </w:p>
        </w:tc>
        <w:tc>
          <w:tcPr>
            <w:tcW w:type="dxa" w:w="4032"/>
          </w:tcPr>
          <w:p>
            <w:r/>
            <w:r>
              <w:rPr>
                <w:b w:val="0"/>
                <w:sz w:val="19"/>
              </w:rPr>
              <w:t>Three more in the same city. Pitch all four in one week.</w:t>
            </w:r>
          </w:p>
        </w:tc>
      </w:tr>
      <w:tr>
        <w:tc>
          <w:tcPr>
            <w:tcW w:type="dxa" w:w="2736"/>
          </w:tcPr>
          <w:p>
            <w:r/>
            <w:r>
              <w:rPr>
                <w:b w:val="0"/>
                <w:sz w:val="19"/>
              </w:rPr>
              <w:t>Indian Electro Components</w:t>
            </w:r>
          </w:p>
        </w:tc>
        <w:tc>
          <w:tcPr>
            <w:tcW w:type="dxa" w:w="2160"/>
          </w:tcPr>
          <w:p>
            <w:r/>
            <w:r>
              <w:rPr>
                <w:b w:val="0"/>
                <w:sz w:val="19"/>
              </w:rPr>
              <w:t>Panel builder — BOM</w:t>
            </w:r>
          </w:p>
        </w:tc>
        <w:tc>
          <w:tcPr>
            <w:tcW w:type="dxa" w:w="4032"/>
          </w:tcPr>
          <w:p>
            <w:r/>
            <w:r>
              <w:rPr>
                <w:b w:val="0"/>
                <w:sz w:val="19"/>
              </w:rPr>
              <w:t>The BOM pitch, not the BOQ one. If it works there are dozens more within an hour.</w:t>
            </w:r>
          </w:p>
        </w:tc>
      </w:tr>
      <w:tr>
        <w:tc>
          <w:tcPr>
            <w:tcW w:type="dxa" w:w="2736"/>
          </w:tcPr>
          <w:p>
            <w:r/>
            <w:r>
              <w:rPr>
                <w:b w:val="0"/>
                <w:sz w:val="19"/>
              </w:rPr>
              <w:t>Vitracx</w:t>
            </w:r>
          </w:p>
        </w:tc>
        <w:tc>
          <w:tcPr>
            <w:tcW w:type="dxa" w:w="2160"/>
          </w:tcPr>
          <w:p>
            <w:r/>
            <w:r>
              <w:rPr>
                <w:b w:val="0"/>
                <w:sz w:val="19"/>
              </w:rPr>
              <w:t>RTLS / IIoT</w:t>
            </w:r>
          </w:p>
        </w:tc>
        <w:tc>
          <w:tcPr>
            <w:tcW w:type="dxa" w:w="4032"/>
          </w:tcPr>
          <w:p>
            <w:r/>
            <w:r>
              <w:rPr>
                <w:b w:val="0"/>
                <w:sz w:val="19"/>
              </w:rPr>
              <w:t>Already in the pipeline. Lead with a measured BOQ off their own plant layout.</w:t>
            </w:r>
          </w:p>
        </w:tc>
      </w:tr>
    </w:tbl>
    <w:p>
      <w:pPr>
        <w:spacing w:after="80"/>
      </w:pPr>
    </w:p>
    <w:p>
      <w:pPr>
        <w:pStyle w:val="Heading3"/>
      </w:pPr>
      <w:r>
        <w:t>Ring 1 — Gujarat, a day trip</w:t>
      </w:r>
    </w:p>
    <w:tbl>
      <w:tblPr>
        <w:tblStyle w:val="TableGrid"/>
        <w:tblW w:type="auto" w:w="0"/>
        <w:jc w:val="left"/>
        <w:tblLook w:firstColumn="1" w:firstRow="1" w:lastColumn="0" w:lastRow="0" w:noHBand="0" w:noVBand="1" w:val="04A0"/>
      </w:tblPr>
      <w:tblGrid>
        <w:gridCol w:w="2880"/>
        <w:gridCol w:w="2880"/>
        <w:gridCol w:w="2880"/>
      </w:tblGrid>
      <w:tr>
        <w:tc>
          <w:tcPr>
            <w:tcW w:type="dxa" w:w="2736"/>
            <w:shd w:fill="E9EDF1"/>
          </w:tcPr>
          <w:p>
            <w:r/>
            <w:r>
              <w:rPr>
                <w:b/>
                <w:color w:val="1F3F5C"/>
                <w:sz w:val="19"/>
              </w:rPr>
              <w:t>Company</w:t>
            </w:r>
          </w:p>
        </w:tc>
        <w:tc>
          <w:tcPr>
            <w:tcW w:type="dxa" w:w="2016"/>
            <w:shd w:fill="E9EDF1"/>
          </w:tcPr>
          <w:p>
            <w:r/>
            <w:r>
              <w:rPr>
                <w:b/>
                <w:color w:val="1F3F5C"/>
                <w:sz w:val="19"/>
              </w:rPr>
              <w:t>City</w:t>
            </w:r>
          </w:p>
        </w:tc>
        <w:tc>
          <w:tcPr>
            <w:tcW w:type="dxa" w:w="4176"/>
            <w:shd w:fill="E9EDF1"/>
          </w:tcPr>
          <w:p>
            <w:r/>
            <w:r>
              <w:rPr>
                <w:b/>
                <w:color w:val="1F3F5C"/>
                <w:sz w:val="19"/>
              </w:rPr>
              <w:t>Why them</w:t>
            </w:r>
          </w:p>
        </w:tc>
      </w:tr>
      <w:tr>
        <w:tc>
          <w:tcPr>
            <w:tcW w:type="dxa" w:w="2736"/>
          </w:tcPr>
          <w:p>
            <w:r/>
            <w:r>
              <w:rPr>
                <w:b w:val="0"/>
                <w:sz w:val="19"/>
              </w:rPr>
              <w:t>Iyattva LLP</w:t>
            </w:r>
          </w:p>
        </w:tc>
        <w:tc>
          <w:tcPr>
            <w:tcW w:type="dxa" w:w="2016"/>
          </w:tcPr>
          <w:p>
            <w:r/>
            <w:r>
              <w:rPr>
                <w:b w:val="0"/>
                <w:sz w:val="19"/>
              </w:rPr>
              <w:t>Ahmedabad</w:t>
            </w:r>
          </w:p>
        </w:tc>
        <w:tc>
          <w:tcPr>
            <w:tcW w:type="dxa" w:w="4176"/>
          </w:tcPr>
          <w:p>
            <w:r/>
            <w:r>
              <w:rPr>
                <w:b w:val="0"/>
                <w:sz w:val="19"/>
              </w:rPr>
              <w:t xml:space="preserve">Pure quantity surveying consultancy — their entire cost base is engineer-hours on drawings. </w:t>
            </w:r>
            <w:r>
              <w:rPr>
                <w:b/>
                <w:sz w:val="19"/>
              </w:rPr>
              <w:t>Strongest Ring 1 target.</w:t>
            </w:r>
          </w:p>
        </w:tc>
      </w:tr>
      <w:tr>
        <w:tc>
          <w:tcPr>
            <w:tcW w:type="dxa" w:w="2736"/>
          </w:tcPr>
          <w:p>
            <w:r/>
            <w:r>
              <w:rPr>
                <w:b w:val="0"/>
                <w:sz w:val="19"/>
              </w:rPr>
              <w:t>Zodiac Energy Limited</w:t>
            </w:r>
          </w:p>
        </w:tc>
        <w:tc>
          <w:tcPr>
            <w:tcW w:type="dxa" w:w="2016"/>
          </w:tcPr>
          <w:p>
            <w:r/>
            <w:r>
              <w:rPr>
                <w:b w:val="0"/>
                <w:sz w:val="19"/>
              </w:rPr>
              <w:t>Ahmedabad</w:t>
            </w:r>
          </w:p>
        </w:tc>
        <w:tc>
          <w:tcPr>
            <w:tcW w:type="dxa" w:w="4176"/>
          </w:tcPr>
          <w:p>
            <w:r/>
            <w:r>
              <w:rPr>
                <w:b w:val="0"/>
                <w:sz w:val="19"/>
              </w:rPr>
              <w:t>Founded 1992, 11,000+ clients, 100+ MW. The scale reference for solar.</w:t>
            </w:r>
          </w:p>
        </w:tc>
      </w:tr>
      <w:tr>
        <w:tc>
          <w:tcPr>
            <w:tcW w:type="dxa" w:w="2736"/>
          </w:tcPr>
          <w:p>
            <w:r/>
            <w:r>
              <w:rPr>
                <w:b w:val="0"/>
                <w:sz w:val="19"/>
              </w:rPr>
              <w:t>Fire Systems Pvt. Ltd.</w:t>
            </w:r>
          </w:p>
        </w:tc>
        <w:tc>
          <w:tcPr>
            <w:tcW w:type="dxa" w:w="2016"/>
          </w:tcPr>
          <w:p>
            <w:r/>
            <w:r>
              <w:rPr>
                <w:b w:val="0"/>
                <w:sz w:val="19"/>
              </w:rPr>
              <w:t>Ahmedabad, statewide</w:t>
            </w:r>
          </w:p>
        </w:tc>
        <w:tc>
          <w:tcPr>
            <w:tcW w:type="dxa" w:w="4176"/>
          </w:tcPr>
          <w:p>
            <w:r/>
            <w:r>
              <w:rPr>
                <w:b w:val="0"/>
                <w:sz w:val="19"/>
              </w:rPr>
              <w:t>Fire, CCTV, access control, HVAC under one BMS. Big enough to have an estimator who can review output.</w:t>
            </w:r>
          </w:p>
        </w:tc>
      </w:tr>
      <w:tr>
        <w:tc>
          <w:tcPr>
            <w:tcW w:type="dxa" w:w="2736"/>
          </w:tcPr>
          <w:p>
            <w:r/>
            <w:r>
              <w:rPr>
                <w:b w:val="0"/>
                <w:sz w:val="19"/>
              </w:rPr>
              <w:t>Cable Vision Systems</w:t>
            </w:r>
          </w:p>
        </w:tc>
        <w:tc>
          <w:tcPr>
            <w:tcW w:type="dxa" w:w="2016"/>
          </w:tcPr>
          <w:p>
            <w:r/>
            <w:r>
              <w:rPr>
                <w:b w:val="0"/>
                <w:sz w:val="19"/>
              </w:rPr>
              <w:t>Ahmedabad</w:t>
            </w:r>
          </w:p>
        </w:tc>
        <w:tc>
          <w:tcPr>
            <w:tcW w:type="dxa" w:w="4176"/>
          </w:tcPr>
          <w:p>
            <w:r/>
            <w:r>
              <w:rPr>
                <w:b w:val="0"/>
                <w:sz w:val="19"/>
              </w:rPr>
              <w:t>Integrated security and surveillance.</w:t>
            </w:r>
          </w:p>
        </w:tc>
      </w:tr>
      <w:tr>
        <w:tc>
          <w:tcPr>
            <w:tcW w:type="dxa" w:w="2736"/>
          </w:tcPr>
          <w:p>
            <w:r/>
            <w:r>
              <w:rPr>
                <w:b w:val="0"/>
                <w:sz w:val="19"/>
              </w:rPr>
              <w:t>ADIT Innovations</w:t>
            </w:r>
          </w:p>
        </w:tc>
        <w:tc>
          <w:tcPr>
            <w:tcW w:type="dxa" w:w="2016"/>
          </w:tcPr>
          <w:p>
            <w:r/>
            <w:r>
              <w:rPr>
                <w:b w:val="0"/>
                <w:sz w:val="19"/>
              </w:rPr>
              <w:t>Gujarat</w:t>
            </w:r>
          </w:p>
        </w:tc>
        <w:tc>
          <w:tcPr>
            <w:tcW w:type="dxa" w:w="4176"/>
          </w:tcPr>
          <w:p>
            <w:r/>
            <w:r>
              <w:rPr>
                <w:b w:val="0"/>
                <w:sz w:val="19"/>
              </w:rPr>
              <w:t>Fire safety and ELV integrator.</w:t>
            </w:r>
          </w:p>
        </w:tc>
      </w:tr>
      <w:tr>
        <w:tc>
          <w:tcPr>
            <w:tcW w:type="dxa" w:w="2736"/>
          </w:tcPr>
          <w:p>
            <w:r/>
            <w:r>
              <w:rPr>
                <w:b w:val="0"/>
                <w:sz w:val="19"/>
              </w:rPr>
              <w:t>Tile, paint and sanitaryware dealers</w:t>
            </w:r>
          </w:p>
        </w:tc>
        <w:tc>
          <w:tcPr>
            <w:tcW w:type="dxa" w:w="2016"/>
          </w:tcPr>
          <w:p>
            <w:r/>
            <w:r>
              <w:rPr>
                <w:b w:val="0"/>
                <w:sz w:val="19"/>
              </w:rPr>
              <w:t>Ahmedabad, Rajkot, Surat</w:t>
            </w:r>
          </w:p>
        </w:tc>
        <w:tc>
          <w:tcPr>
            <w:tcW w:type="dxa" w:w="4176"/>
          </w:tcPr>
          <w:p>
            <w:r/>
            <w:r>
              <w:rPr>
                <w:b w:val="0"/>
                <w:sz w:val="19"/>
              </w:rPr>
              <w:t xml:space="preserve">A category, not a company — the largest by count. </w:t>
            </w:r>
            <w:r>
              <w:rPr>
                <w:b/>
                <w:sz w:val="19"/>
              </w:rPr>
              <w:t>Wait for the rate card.</w:t>
            </w:r>
          </w:p>
        </w:tc>
      </w:tr>
    </w:tbl>
    <w:p>
      <w:pPr>
        <w:spacing w:after="80"/>
      </w:pPr>
    </w:p>
    <w:p>
      <w:pPr>
        <w:pStyle w:val="Heading3"/>
      </w:pPr>
      <w:r>
        <w:t>Ring 2 — India, remote sale</w:t>
      </w:r>
    </w:p>
    <w:p>
      <w:r>
        <w:rPr>
          <w:b w:val="0"/>
          <w:i w:val="0"/>
        </w:rPr>
        <w:t>Only after one paying reference in Gujarat. All BOQ makers, all found on IndiaMART: PD Consulting Engineers (Delhi), Abu Engineering Consultants (Delhi, MEP), Epicenter Consultants (Pune), Wintech Construction Estimation (Trichy), MakeBOQ (Delhi), Structure Concept (Ghaziabad).</w:t>
      </w:r>
    </w:p>
    <w:p>
      <w:pPr>
        <w:pStyle w:val="Heading3"/>
      </w:pPr>
      <w:r>
        <w:t>Ring 3 — outside India</w:t>
      </w:r>
    </w:p>
    <w:p>
      <w:r>
        <w:rPr>
          <w:b/>
          <w:i w:val="0"/>
        </w:rPr>
        <w:t>ASDV Consultant</w:t>
      </w:r>
      <w:r>
        <w:rPr>
          <w:b w:val="0"/>
          <w:i w:val="0"/>
        </w:rPr>
        <w:t xml:space="preserve"> is the best-fit company found anywhere: Indian ELV, ICT and security design sold into the UK on an advertised </w:t>
      </w:r>
      <w:r>
        <w:rPr>
          <w:b w:val="0"/>
          <w:i/>
        </w:rPr>
        <w:t>40–60% lower cost than local UK firms</w:t>
      </w:r>
      <w:r>
        <w:rPr>
          <w:b w:val="0"/>
          <w:i w:val="0"/>
        </w:rPr>
        <w:t>, with overnight turnaround off the time-zone gap. Their entire margin is the hour differential — halve the hours and their capacity doubles with no new hire. Biggest deal here, and the hardest buyer: they will want accuracy evidence in writing. Approach last.</w:t>
      </w:r>
    </w:p>
    <w:p>
      <w:r>
        <w:rPr>
          <w:b w:val="0"/>
          <w:i w:val="0"/>
        </w:rPr>
        <w:t>Also HiTech CAD Services, URCADServices, MEPBIM and DGTRA — established BIM shops selling takeoff globally. They may see Prism as a competitor rather than a tool, so approach as a licence for their team, never as a service.</w:t>
      </w:r>
    </w:p>
    <w:p>
      <w:pPr>
        <w:pStyle w:val="Heading2"/>
      </w:pPr>
      <w:r>
        <w:t>9. What to do in the next two weeks</w:t>
      </w:r>
    </w:p>
    <w:p>
      <w:pPr>
        <w:pStyle w:val="ListNumber"/>
      </w:pPr>
      <w:r>
        <w:rPr>
          <w:b/>
        </w:rPr>
        <w:t xml:space="preserve">Call Total Engineering Consultancy Services. </w:t>
      </w:r>
      <w:r>
        <w:t>Do not pitch. Ask what they charge per BOQ and how long one takes. We need their real numbers, not the published rate per square foot.</w:t>
      </w:r>
    </w:p>
    <w:p>
      <w:pPr>
        <w:pStyle w:val="ListNumber"/>
      </w:pPr>
      <w:r>
        <w:rPr>
          <w:b/>
        </w:rPr>
        <w:t xml:space="preserve">Get one lost-tender DWG each from Sammraksha and Vakratund. </w:t>
      </w:r>
      <w:r>
        <w:t>Nothing confidential is at stake in a job they did not win, so they give it up easily.</w:t>
      </w:r>
    </w:p>
    <w:p>
      <w:pPr>
        <w:pStyle w:val="ListNumber"/>
      </w:pPr>
      <w:r>
        <w:rPr>
          <w:b/>
        </w:rPr>
        <w:t xml:space="preserve">Run them through Prism. </w:t>
      </w:r>
      <w:r>
        <w:t>Put the output beside the BOQ they produced by hand. Ask two questions only: how long did yours take, and where is mine wrong. Write down every wrong line.</w:t>
      </w:r>
    </w:p>
    <w:p>
      <w:pPr>
        <w:pStyle w:val="ListNumber"/>
      </w:pPr>
      <w:r>
        <w:rPr>
          <w:b/>
        </w:rPr>
        <w:t xml:space="preserve">In the same week, call one solar EPC and one panel builder. </w:t>
      </w:r>
      <w:r>
        <w:t>Ask them to describe a recent job in words, run it through spec mode, and show them. No drawing changes hands, so there is nothing to negotiate before the demo.</w:t>
      </w:r>
    </w:p>
    <w:p>
      <w:pPr>
        <w:pStyle w:val="ListNumber"/>
      </w:pPr>
      <w:r>
        <w:rPr>
          <w:b/>
        </w:rPr>
        <w:t xml:space="preserve">Then </w:t>
      </w:r>
      <w:r>
        <w:t>Go to Iyattva in Ahmedabad with several jobs' worth of evidence instead of one.</w:t>
      </w:r>
    </w:p>
    <w:tbl>
      <w:tblPr>
        <w:tblStyle w:val="TableGrid"/>
        <w:tblW w:type="auto" w:w="0"/>
        <w:tblLook w:firstColumn="1" w:firstRow="1" w:lastColumn="0" w:lastRow="0" w:noHBand="0" w:noVBand="1" w:val="04A0"/>
      </w:tblPr>
      <w:tblGrid>
        <w:gridCol w:w="8640"/>
      </w:tblGrid>
      <w:tr>
        <w:tc>
          <w:tcPr>
            <w:tcW w:type="dxa" w:w="8640"/>
            <w:shd w:fill="EAF1F6"/>
          </w:tcPr>
          <w:p>
            <w:r/>
            <w:r>
              <w:rPr>
                <w:b/>
                <w:color w:val="1F3F5C"/>
                <w:sz w:val="21"/>
              </w:rPr>
              <w:t xml:space="preserve">Two tests, not one.  </w:t>
            </w:r>
            <w:r>
              <w:rPr>
                <w:sz w:val="21"/>
              </w:rPr>
              <w:t>Drawings tell us whether the geometry reader survives real-world layer naming. Spec mode tells us whether derived quantities are good enough to quote from. Those are different products with different customers, and we do not yet know which is the better business. Find out in the same fortnight.</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fill="FAF1EA"/>
          </w:tcPr>
          <w:p>
            <w:r/>
            <w:r>
              <w:rPr>
                <w:b/>
                <w:color w:val="A84514"/>
                <w:sz w:val="21"/>
              </w:rPr>
              <w:t xml:space="preserve">The number we do not have.  </w:t>
            </w:r>
            <w:r>
              <w:rPr>
                <w:sz w:val="21"/>
              </w:rPr>
              <w:t>Every rate in this document is civil and interiors work. No published ELV-specific BOQ pricing exists anywhere we could find. Three real drawings from three real firms will give us that number, and our own pricing has to sit under it.</w:t>
            </w:r>
          </w:p>
        </w:tc>
      </w:tr>
    </w:tbl>
    <w:p>
      <w:pPr>
        <w:spacing w:after="80"/>
      </w:pPr>
    </w:p>
    <w:p>
      <w:r>
        <w:br w:type="page"/>
      </w:r>
    </w:p>
    <w:p>
      <w:pPr>
        <w:pStyle w:val="Heading2"/>
      </w:pPr>
      <w:r>
        <w:t>Sources</w:t>
      </w:r>
    </w:p>
    <w:p>
      <w:pPr>
        <w:pStyle w:val="ListBullet"/>
      </w:pPr>
      <w:r>
        <w:rPr>
          <w:sz w:val="19"/>
        </w:rPr>
        <w:t xml:space="preserve">Construction Estimator India — BOQ rates, software, interiors — </w:t>
      </w:r>
      <w:r>
        <w:rPr>
          <w:color w:val="1F3F5C"/>
          <w:sz w:val="19"/>
        </w:rPr>
        <w:t>constructionestimatorindia.com</w:t>
      </w:r>
    </w:p>
    <w:p>
      <w:pPr>
        <w:pStyle w:val="ListBullet"/>
      </w:pPr>
      <w:r>
        <w:rPr>
          <w:sz w:val="19"/>
        </w:rPr>
        <w:t xml:space="preserve">IndiaMART — Bill of Quantities Preparation suppliers — </w:t>
      </w:r>
      <w:r>
        <w:rPr>
          <w:color w:val="1F3F5C"/>
          <w:sz w:val="19"/>
        </w:rPr>
        <w:t>dir.indiamart.com/impcat/bill-of-quantities-preparation.html</w:t>
      </w:r>
    </w:p>
    <w:p>
      <w:pPr>
        <w:pStyle w:val="ListBullet"/>
      </w:pPr>
      <w:r>
        <w:rPr>
          <w:sz w:val="19"/>
        </w:rPr>
        <w:t xml:space="preserve">DesignDrafter — contractor solution — </w:t>
      </w:r>
      <w:r>
        <w:rPr>
          <w:color w:val="1F3F5C"/>
          <w:sz w:val="19"/>
        </w:rPr>
        <w:t>designdrafter.com/contractors-solution/</w:t>
      </w:r>
    </w:p>
    <w:p>
      <w:pPr>
        <w:pStyle w:val="ListBullet"/>
      </w:pPr>
      <w:r>
        <w:rPr>
          <w:sz w:val="19"/>
        </w:rPr>
        <w:t xml:space="preserve">ASDV Consultant — ELV/ICT consultancy for the UK — </w:t>
      </w:r>
      <w:r>
        <w:rPr>
          <w:color w:val="1F3F5C"/>
          <w:sz w:val="19"/>
        </w:rPr>
        <w:t>asdvconsultant.com/elv-ict-security-consultancy-uk</w:t>
      </w:r>
    </w:p>
    <w:p>
      <w:pPr>
        <w:pStyle w:val="ListBullet"/>
      </w:pPr>
      <w:r>
        <w:rPr>
          <w:sz w:val="19"/>
        </w:rPr>
        <w:t xml:space="preserve">Bluebeam — Visual Search and Count tool — </w:t>
      </w:r>
      <w:r>
        <w:rPr>
          <w:color w:val="1F3F5C"/>
          <w:sz w:val="19"/>
        </w:rPr>
        <w:t>support.bluebeam.com/revu/how-to/tips-and-tricks/boost-takeoff-workflows-with-count-tool.html</w:t>
      </w:r>
    </w:p>
    <w:p>
      <w:pPr>
        <w:pStyle w:val="ListBullet"/>
      </w:pPr>
      <w:r>
        <w:rPr>
          <w:sz w:val="19"/>
        </w:rPr>
        <w:t xml:space="preserve">VDCI — Speeding up electrical takeoffs with Bluebeam Auto Count — </w:t>
      </w:r>
      <w:r>
        <w:rPr>
          <w:color w:val="1F3F5C"/>
          <w:sz w:val="19"/>
        </w:rPr>
        <w:t>vdci.edu/learn/construction-estimating/speeding-up-electrical-takeoffs-bluebeam-tools</w:t>
      </w:r>
    </w:p>
    <w:p>
      <w:pPr>
        <w:pStyle w:val="ListBullet"/>
      </w:pPr>
      <w:r>
        <w:rPr>
          <w:sz w:val="19"/>
        </w:rPr>
        <w:t xml:space="preserve">Rayzon Green — Understanding BOQ in Solar EPC projects — </w:t>
      </w:r>
      <w:r>
        <w:rPr>
          <w:color w:val="1F3F5C"/>
          <w:sz w:val="19"/>
        </w:rPr>
        <w:t>rayzongreen.com/blog/solar-epc-boq-explained</w:t>
      </w:r>
    </w:p>
    <w:p>
      <w:pPr>
        <w:pStyle w:val="ListBullet"/>
      </w:pPr>
      <w:r>
        <w:rPr>
          <w:sz w:val="19"/>
        </w:rPr>
        <w:t xml:space="preserve">UC Engineer — Solar BOQ and tender documentation — </w:t>
      </w:r>
      <w:r>
        <w:rPr>
          <w:color w:val="1F3F5C"/>
          <w:sz w:val="19"/>
        </w:rPr>
        <w:t>ucengineer.com/boq-tender-documentation/</w:t>
      </w:r>
    </w:p>
    <w:p>
      <w:pPr>
        <w:pStyle w:val="ListBullet"/>
      </w:pPr>
      <w:r>
        <w:rPr>
          <w:sz w:val="19"/>
        </w:rPr>
        <w:t xml:space="preserve">Business Research Insights — Construction outsourcing services market — </w:t>
      </w:r>
      <w:r>
        <w:rPr>
          <w:color w:val="1F3F5C"/>
          <w:sz w:val="19"/>
        </w:rPr>
        <w:t>businessresearchinsights.com/market-reports/construction-outsourcing-services-market-112871</w:t>
      </w:r>
    </w:p>
    <w:p>
      <w:pPr>
        <w:pStyle w:val="ListBullet"/>
      </w:pPr>
      <w:r>
        <w:rPr>
          <w:sz w:val="19"/>
        </w:rPr>
        <w:t xml:space="preserve">Fiverr — BOQ estimation gigs — </w:t>
      </w:r>
      <w:r>
        <w:rPr>
          <w:color w:val="1F3F5C"/>
          <w:sz w:val="19"/>
        </w:rPr>
        <w:t>fiverr.com/gigs/boq-estimation</w:t>
      </w:r>
    </w:p>
    <w:p>
      <w:r>
        <w:rPr>
          <w:b w:val="0"/>
          <w:i w:val="0"/>
        </w:rPr>
      </w:r>
    </w:p>
    <w:p>
      <w:r>
        <w:rPr>
          <w:b w:val="0"/>
          <w:i/>
          <w:color w:val="5A6068"/>
          <w:sz w:val="19"/>
        </w:rPr>
        <w:t>Rate figures come from a content-marketing publisher and are indicative, not audited. Company entries prove a firm exists and what it advertises, nothing more. The 99% figure is Raj Infotech's assessment of one delivered job, not a product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C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F5C"/>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F5C"/>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C1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