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6CA49" w14:textId="77777777" w:rsidR="009A2C0D" w:rsidRPr="00831EF5" w:rsidRDefault="009A2C0D" w:rsidP="00831EF5">
      <w:pPr>
        <w:jc w:val="center"/>
        <w:rPr>
          <w:rFonts w:ascii="Arial" w:hAnsi="Arial" w:cs="Arial"/>
        </w:rPr>
      </w:pPr>
      <w:r w:rsidRPr="00831EF5">
        <w:rPr>
          <w:rFonts w:ascii="Arial" w:hAnsi="Arial" w:cs="Arial"/>
          <w:b/>
          <w:bCs/>
        </w:rPr>
        <w:t>Detailed Legal, Ethical, and Regulatory Compliance Checklist</w:t>
      </w:r>
    </w:p>
    <w:p w14:paraId="393AF955" w14:textId="77777777" w:rsidR="009A2C0D" w:rsidRPr="00590819" w:rsidRDefault="009A2C0D" w:rsidP="00E762AE">
      <w:pPr>
        <w:jc w:val="both"/>
        <w:rPr>
          <w:rFonts w:ascii="Arial" w:hAnsi="Arial" w:cs="Arial"/>
        </w:rPr>
      </w:pPr>
      <w:r w:rsidRPr="00590819">
        <w:rPr>
          <w:rFonts w:ascii="Arial" w:hAnsi="Arial" w:cs="Arial"/>
        </w:rPr>
        <w:t>This project adheres to UK regulations for software in healthcare contexts, ensuring it remains a pure informational/navigation tool.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8"/>
        <w:gridCol w:w="2059"/>
        <w:gridCol w:w="2587"/>
        <w:gridCol w:w="2832"/>
      </w:tblGrid>
      <w:tr w:rsidR="009A2C0D" w:rsidRPr="009A2C0D" w14:paraId="3837A947" w14:textId="77777777" w:rsidTr="00484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7C0F2B" w14:textId="77777777" w:rsidR="009A2C0D" w:rsidRPr="002353BB" w:rsidRDefault="009A2C0D" w:rsidP="009A2C0D">
            <w:pPr>
              <w:rPr>
                <w:rFonts w:ascii="Arial" w:hAnsi="Arial" w:cs="Arial"/>
                <w:b/>
                <w:bCs/>
              </w:rPr>
            </w:pPr>
            <w:r w:rsidRPr="002353BB">
              <w:rPr>
                <w:rFonts w:ascii="Arial" w:hAnsi="Arial" w:cs="Arial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05E9D92" w14:textId="77777777" w:rsidR="009A2C0D" w:rsidRPr="002353BB" w:rsidRDefault="009A2C0D" w:rsidP="009A2C0D">
            <w:pPr>
              <w:rPr>
                <w:rFonts w:ascii="Arial" w:hAnsi="Arial" w:cs="Arial"/>
                <w:b/>
                <w:bCs/>
              </w:rPr>
            </w:pPr>
            <w:r w:rsidRPr="002353BB">
              <w:rPr>
                <w:rFonts w:ascii="Arial" w:hAnsi="Arial" w:cs="Arial"/>
                <w:b/>
                <w:bCs/>
              </w:rPr>
              <w:t>Regulatory Requirement</w:t>
            </w:r>
          </w:p>
        </w:tc>
        <w:tc>
          <w:tcPr>
            <w:tcW w:w="0" w:type="auto"/>
            <w:vAlign w:val="center"/>
            <w:hideMark/>
          </w:tcPr>
          <w:p w14:paraId="48CF9F50" w14:textId="77777777" w:rsidR="009A2C0D" w:rsidRPr="002353BB" w:rsidRDefault="009A2C0D" w:rsidP="009A2C0D">
            <w:pPr>
              <w:rPr>
                <w:rFonts w:ascii="Arial" w:hAnsi="Arial" w:cs="Arial"/>
                <w:b/>
                <w:bCs/>
              </w:rPr>
            </w:pPr>
            <w:r w:rsidRPr="002353BB">
              <w:rPr>
                <w:rFonts w:ascii="Arial" w:hAnsi="Arial" w:cs="Arial"/>
                <w:b/>
                <w:bCs/>
              </w:rPr>
              <w:t>Compliance Measure Implemented</w:t>
            </w:r>
          </w:p>
        </w:tc>
        <w:tc>
          <w:tcPr>
            <w:tcW w:w="0" w:type="auto"/>
            <w:vAlign w:val="center"/>
            <w:hideMark/>
          </w:tcPr>
          <w:p w14:paraId="601F9F85" w14:textId="77777777" w:rsidR="009A2C0D" w:rsidRPr="002353BB" w:rsidRDefault="009A2C0D" w:rsidP="009A2C0D">
            <w:pPr>
              <w:rPr>
                <w:rFonts w:ascii="Arial" w:hAnsi="Arial" w:cs="Arial"/>
                <w:b/>
                <w:bCs/>
              </w:rPr>
            </w:pPr>
            <w:r w:rsidRPr="002353BB">
              <w:rPr>
                <w:rFonts w:ascii="Arial" w:hAnsi="Arial" w:cs="Arial"/>
                <w:b/>
                <w:bCs/>
              </w:rPr>
              <w:t>Evidence/Source (as of December 2025)</w:t>
            </w:r>
          </w:p>
        </w:tc>
      </w:tr>
      <w:tr w:rsidR="009A2C0D" w:rsidRPr="009A2C0D" w14:paraId="20BE396D" w14:textId="77777777" w:rsidTr="00484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5DB37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Non-Diagnostic Status</w:t>
            </w:r>
          </w:p>
        </w:tc>
        <w:tc>
          <w:tcPr>
            <w:tcW w:w="0" w:type="auto"/>
            <w:vAlign w:val="center"/>
            <w:hideMark/>
          </w:tcPr>
          <w:p w14:paraId="40979F54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Must not qualify as a medical device (no diagnosis, treatment, or clinical decision support)</w:t>
            </w:r>
          </w:p>
        </w:tc>
        <w:tc>
          <w:tcPr>
            <w:tcW w:w="0" w:type="auto"/>
            <w:vAlign w:val="center"/>
            <w:hideMark/>
          </w:tcPr>
          <w:p w14:paraId="13C824E6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Pure rule-based navigation using public pathways; no interpretation of symptoms as diagnoses; always redirects to professionals</w:t>
            </w:r>
          </w:p>
        </w:tc>
        <w:tc>
          <w:tcPr>
            <w:tcW w:w="0" w:type="auto"/>
            <w:vAlign w:val="center"/>
            <w:hideMark/>
          </w:tcPr>
          <w:p w14:paraId="003C34B2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MHRA Guidance: "Software and AI as a Medical Device" (2025); tools providing general information only are not regulated as devices</w:t>
            </w:r>
          </w:p>
        </w:tc>
      </w:tr>
      <w:tr w:rsidR="009A2C0D" w:rsidRPr="009A2C0D" w14:paraId="64232183" w14:textId="77777777" w:rsidTr="00484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DDD3F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Medical Device Classification</w:t>
            </w:r>
          </w:p>
        </w:tc>
        <w:tc>
          <w:tcPr>
            <w:tcW w:w="0" w:type="auto"/>
            <w:vAlign w:val="center"/>
            <w:hideMark/>
          </w:tcPr>
          <w:p w14:paraId="750D8928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Avoid qualification under UK MDR 2002 (as amended)</w:t>
            </w:r>
          </w:p>
        </w:tc>
        <w:tc>
          <w:tcPr>
            <w:tcW w:w="0" w:type="auto"/>
            <w:vAlign w:val="center"/>
            <w:hideMark/>
          </w:tcPr>
          <w:p w14:paraId="2353CA7B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Intended purpose: Signposting only; no monitoring, prediction, or alleviation of disease</w:t>
            </w:r>
          </w:p>
        </w:tc>
        <w:tc>
          <w:tcPr>
            <w:tcW w:w="0" w:type="auto"/>
            <w:vAlign w:val="center"/>
            <w:hideMark/>
          </w:tcPr>
          <w:p w14:paraId="608B8967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MHRA Flowchart for Standalone Software/Apps (2025)</w:t>
            </w:r>
          </w:p>
        </w:tc>
      </w:tr>
      <w:tr w:rsidR="009A2C0D" w:rsidRPr="009A2C0D" w14:paraId="71D0AAEE" w14:textId="77777777" w:rsidTr="00484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98A6A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Privacy and Data Protection</w:t>
            </w:r>
          </w:p>
        </w:tc>
        <w:tc>
          <w:tcPr>
            <w:tcW w:w="0" w:type="auto"/>
            <w:vAlign w:val="center"/>
            <w:hideMark/>
          </w:tcPr>
          <w:p w14:paraId="78CFC697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Compliance with UK GDPR</w:t>
            </w:r>
          </w:p>
        </w:tc>
        <w:tc>
          <w:tcPr>
            <w:tcW w:w="0" w:type="auto"/>
            <w:vAlign w:val="center"/>
            <w:hideMark/>
          </w:tcPr>
          <w:p w14:paraId="56029700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No user accounts, no data storage/logging; all processing local to device; anonymized simulations for testing only</w:t>
            </w:r>
          </w:p>
        </w:tc>
        <w:tc>
          <w:tcPr>
            <w:tcW w:w="0" w:type="auto"/>
            <w:vAlign w:val="center"/>
            <w:hideMark/>
          </w:tcPr>
          <w:p w14:paraId="3C67B67D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UK GDPR Principles; no personal health data handled</w:t>
            </w:r>
          </w:p>
        </w:tc>
      </w:tr>
      <w:tr w:rsidR="009A2C0D" w:rsidRPr="009A2C0D" w14:paraId="21F37EAE" w14:textId="77777777" w:rsidTr="00484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A5E46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Content Accuracy</w:t>
            </w:r>
          </w:p>
        </w:tc>
        <w:tc>
          <w:tcPr>
            <w:tcW w:w="0" w:type="auto"/>
            <w:vAlign w:val="center"/>
            <w:hideMark/>
          </w:tcPr>
          <w:p w14:paraId="733FA055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Based on reliable, public sources</w:t>
            </w:r>
          </w:p>
        </w:tc>
        <w:tc>
          <w:tcPr>
            <w:tcW w:w="0" w:type="auto"/>
            <w:vAlign w:val="center"/>
            <w:hideMark/>
          </w:tcPr>
          <w:p w14:paraId="6AF6D549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Pathways aligned with NHS Pharmacy First (7 conditions) and urgent red-flag lists</w:t>
            </w:r>
          </w:p>
        </w:tc>
        <w:tc>
          <w:tcPr>
            <w:tcW w:w="0" w:type="auto"/>
            <w:vAlign w:val="center"/>
            <w:hideMark/>
          </w:tcPr>
          <w:p w14:paraId="1A614DD4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NHS England Pharmacy First Service Specification (2025)</w:t>
            </w:r>
          </w:p>
        </w:tc>
      </w:tr>
      <w:tr w:rsidR="009A2C0D" w:rsidRPr="009A2C0D" w14:paraId="7B068E2F" w14:textId="77777777" w:rsidTr="00484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FA9B0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Disclaimers and Safety Netting</w:t>
            </w:r>
          </w:p>
        </w:tc>
        <w:tc>
          <w:tcPr>
            <w:tcW w:w="0" w:type="auto"/>
            <w:vAlign w:val="center"/>
            <w:hideMark/>
          </w:tcPr>
          <w:p w14:paraId="2C2D7B90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Prominent warnings required</w:t>
            </w:r>
          </w:p>
        </w:tc>
        <w:tc>
          <w:tcPr>
            <w:tcW w:w="0" w:type="auto"/>
            <w:vAlign w:val="center"/>
            <w:hideMark/>
          </w:tcPr>
          <w:p w14:paraId="67EA06BF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Mandatory disclaimers on every page/result; red-flag immediate escalation to 999</w:t>
            </w:r>
          </w:p>
        </w:tc>
        <w:tc>
          <w:tcPr>
            <w:tcW w:w="0" w:type="auto"/>
            <w:vAlign w:val="center"/>
            <w:hideMark/>
          </w:tcPr>
          <w:p w14:paraId="1811B983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Best practice from NHS 111 online and MHRA guidance</w:t>
            </w:r>
          </w:p>
        </w:tc>
      </w:tr>
      <w:tr w:rsidR="009A2C0D" w:rsidRPr="009A2C0D" w14:paraId="49A0F2CD" w14:textId="77777777" w:rsidTr="00484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998BC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Accessibility</w:t>
            </w:r>
          </w:p>
        </w:tc>
        <w:tc>
          <w:tcPr>
            <w:tcW w:w="0" w:type="auto"/>
            <w:vAlign w:val="center"/>
            <w:hideMark/>
          </w:tcPr>
          <w:p w14:paraId="4AB54148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Inclusive design for all users</w:t>
            </w:r>
          </w:p>
        </w:tc>
        <w:tc>
          <w:tcPr>
            <w:tcW w:w="0" w:type="auto"/>
            <w:vAlign w:val="center"/>
            <w:hideMark/>
          </w:tcPr>
          <w:p w14:paraId="269650F5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Full WCAG 2.1 Level AA compliance planned and audited</w:t>
            </w:r>
          </w:p>
        </w:tc>
        <w:tc>
          <w:tcPr>
            <w:tcW w:w="0" w:type="auto"/>
            <w:vAlign w:val="center"/>
            <w:hideMark/>
          </w:tcPr>
          <w:p w14:paraId="6FAC8CC2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Web Content Accessibility Guidelines 2.1</w:t>
            </w:r>
          </w:p>
        </w:tc>
      </w:tr>
      <w:tr w:rsidR="009A2C0D" w:rsidRPr="009A2C0D" w14:paraId="3A1EC2AF" w14:textId="77777777" w:rsidTr="00484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F73EC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Post-Market Monitoring</w:t>
            </w:r>
          </w:p>
        </w:tc>
        <w:tc>
          <w:tcPr>
            <w:tcW w:w="0" w:type="auto"/>
            <w:vAlign w:val="center"/>
            <w:hideMark/>
          </w:tcPr>
          <w:p w14:paraId="205EE939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Voluntary for non-regulated tools</w:t>
            </w:r>
          </w:p>
        </w:tc>
        <w:tc>
          <w:tcPr>
            <w:tcW w:w="0" w:type="auto"/>
            <w:vAlign w:val="center"/>
            <w:hideMark/>
          </w:tcPr>
          <w:p w14:paraId="7425E3EE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Planned user feedback collection (anonymous); monitoring for improvements</w:t>
            </w:r>
          </w:p>
        </w:tc>
        <w:tc>
          <w:tcPr>
            <w:tcW w:w="0" w:type="auto"/>
            <w:vAlign w:val="center"/>
            <w:hideMark/>
          </w:tcPr>
          <w:p w14:paraId="6CA61273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MHRA post-market guidance (voluntary for non-devices)</w:t>
            </w:r>
          </w:p>
        </w:tc>
      </w:tr>
      <w:tr w:rsidR="009A2C0D" w:rsidRPr="009A2C0D" w14:paraId="25E4E9DD" w14:textId="77777777" w:rsidTr="00484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F859F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Adverse Incident Reporting</w:t>
            </w:r>
          </w:p>
        </w:tc>
        <w:tc>
          <w:tcPr>
            <w:tcW w:w="0" w:type="auto"/>
            <w:vAlign w:val="center"/>
            <w:hideMark/>
          </w:tcPr>
          <w:p w14:paraId="5955FAA1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Report if serious issues arise</w:t>
            </w:r>
          </w:p>
        </w:tc>
        <w:tc>
          <w:tcPr>
            <w:tcW w:w="0" w:type="auto"/>
            <w:vAlign w:val="center"/>
            <w:hideMark/>
          </w:tcPr>
          <w:p w14:paraId="527CD278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Not mandatory (non-device), but voluntary reporting pathway established</w:t>
            </w:r>
          </w:p>
        </w:tc>
        <w:tc>
          <w:tcPr>
            <w:tcW w:w="0" w:type="auto"/>
            <w:vAlign w:val="center"/>
            <w:hideMark/>
          </w:tcPr>
          <w:p w14:paraId="19A33996" w14:textId="77777777" w:rsidR="009A2C0D" w:rsidRPr="002353BB" w:rsidRDefault="009A2C0D" w:rsidP="009A2C0D">
            <w:pPr>
              <w:rPr>
                <w:rFonts w:ascii="Arial" w:hAnsi="Arial" w:cs="Arial"/>
              </w:rPr>
            </w:pPr>
            <w:r w:rsidRPr="002353BB">
              <w:rPr>
                <w:rFonts w:ascii="Arial" w:hAnsi="Arial" w:cs="Arial"/>
              </w:rPr>
              <w:t>MHRA vigilance guidance</w:t>
            </w:r>
          </w:p>
        </w:tc>
      </w:tr>
    </w:tbl>
    <w:p w14:paraId="61E0AAFE" w14:textId="77777777" w:rsidR="00484777" w:rsidRDefault="00484777" w:rsidP="009A2C0D">
      <w:pPr>
        <w:rPr>
          <w:b/>
          <w:bCs/>
        </w:rPr>
      </w:pPr>
    </w:p>
    <w:p w14:paraId="1D696A34" w14:textId="77777777" w:rsidR="00484777" w:rsidRDefault="00484777" w:rsidP="009A2C0D">
      <w:pPr>
        <w:rPr>
          <w:b/>
          <w:bCs/>
        </w:rPr>
      </w:pPr>
    </w:p>
    <w:p w14:paraId="7E1BB540" w14:textId="77777777" w:rsidR="00484777" w:rsidRDefault="00484777" w:rsidP="009A2C0D">
      <w:pPr>
        <w:rPr>
          <w:b/>
          <w:bCs/>
        </w:rPr>
      </w:pPr>
    </w:p>
    <w:p w14:paraId="59EC89DE" w14:textId="701C05E9" w:rsidR="009A2C0D" w:rsidRPr="009A2C0D" w:rsidRDefault="009A2C0D" w:rsidP="009A2C0D">
      <w:r w:rsidRPr="009A2C0D">
        <w:rPr>
          <w:b/>
          <w:bCs/>
        </w:rPr>
        <w:t>Additional Notes:</w:t>
      </w:r>
    </w:p>
    <w:p w14:paraId="6271E788" w14:textId="77777777" w:rsidR="009A2C0D" w:rsidRPr="002353BB" w:rsidRDefault="009A2C0D" w:rsidP="002353BB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2353BB">
        <w:rPr>
          <w:rFonts w:ascii="Arial" w:hAnsi="Arial" w:cs="Arial"/>
        </w:rPr>
        <w:t>Confirmed non-medical device status per MHRA 2025 guidance: Informational/navigation apps without diagnostic intent are out of scope.</w:t>
      </w:r>
    </w:p>
    <w:p w14:paraId="46CC3D19" w14:textId="77777777" w:rsidR="009A2C0D" w:rsidRPr="002353BB" w:rsidRDefault="009A2C0D" w:rsidP="002353BB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2353BB">
        <w:rPr>
          <w:rFonts w:ascii="Arial" w:hAnsi="Arial" w:cs="Arial"/>
        </w:rPr>
        <w:t>Ethical focus: Promotes equitable access, reduces health inequalities by guiding to free NHS services.</w:t>
      </w:r>
    </w:p>
    <w:p w14:paraId="2450C91E" w14:textId="77777777" w:rsidR="009A2C0D" w:rsidRPr="002353BB" w:rsidRDefault="009A2C0D" w:rsidP="002353BB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2353BB">
        <w:rPr>
          <w:rFonts w:ascii="Arial" w:hAnsi="Arial" w:cs="Arial"/>
        </w:rPr>
        <w:t>Updates: All sources reviewed as of December 2025; pathways will be maintained if public NHS guidance changes.</w:t>
      </w:r>
    </w:p>
    <w:p w14:paraId="7C6B5AEE" w14:textId="77777777" w:rsidR="000E7D86" w:rsidRDefault="000E7D86"/>
    <w:sectPr w:rsidR="000E7D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F96C56"/>
    <w:multiLevelType w:val="multilevel"/>
    <w:tmpl w:val="B6D8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5962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E46"/>
    <w:rsid w:val="000E7D86"/>
    <w:rsid w:val="00155285"/>
    <w:rsid w:val="002353BB"/>
    <w:rsid w:val="002C49A0"/>
    <w:rsid w:val="00484777"/>
    <w:rsid w:val="00590819"/>
    <w:rsid w:val="0075241B"/>
    <w:rsid w:val="00831EF5"/>
    <w:rsid w:val="008B4E46"/>
    <w:rsid w:val="009A2C0D"/>
    <w:rsid w:val="00E76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40F112"/>
  <w15:chartTrackingRefBased/>
  <w15:docId w15:val="{C9128B72-473C-4B88-A2FF-64FE355E8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4E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4E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4E4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4E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4E4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4E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4E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4E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4E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4E4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4E4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4E4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4E4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4E4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4E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4E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4E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4E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4E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4E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4E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4E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4E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4E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4E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4E4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4E4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4E4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4E4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350</Words>
  <Characters>1997</Characters>
  <Application>Microsoft Office Word</Application>
  <DocSecurity>0</DocSecurity>
  <Lines>16</Lines>
  <Paragraphs>4</Paragraphs>
  <ScaleCrop>false</ScaleCrop>
  <Company/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2025-12-27T20:09:00Z</dcterms:created>
  <dcterms:modified xsi:type="dcterms:W3CDTF">2026-02-08T20:33:00Z</dcterms:modified>
</cp:coreProperties>
</file>