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CC898" w14:textId="6F4EB565" w:rsidR="00AC1350" w:rsidRPr="0075336F" w:rsidRDefault="00AC1350" w:rsidP="00753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5336F">
        <w:rPr>
          <w:rFonts w:ascii="Arial" w:hAnsi="Arial" w:cs="Arial"/>
          <w:b/>
          <w:bCs/>
          <w:sz w:val="24"/>
          <w:szCs w:val="24"/>
        </w:rPr>
        <w:t>7. Compliance and Governance Documentation</w:t>
      </w:r>
    </w:p>
    <w:p w14:paraId="0B987305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 xml:space="preserve">Professional medical AI development in the UK requires thorough </w:t>
      </w:r>
      <w:r w:rsidRPr="0075336F">
        <w:rPr>
          <w:rFonts w:ascii="Arial" w:hAnsi="Arial" w:cs="Arial"/>
          <w:b/>
          <w:bCs/>
        </w:rPr>
        <w:t>compliance documentation</w:t>
      </w:r>
      <w:r w:rsidRPr="0075336F">
        <w:rPr>
          <w:rFonts w:ascii="Arial" w:hAnsi="Arial" w:cs="Arial"/>
        </w:rPr>
        <w:t xml:space="preserve"> to demonstrate adherence to data protection laws, medical device regulations, and clinical safety standards. This ensures patient safety, ethical AI use, and readiness for NHS adoption or MHRA scrutiny.</w:t>
      </w:r>
    </w:p>
    <w:p w14:paraId="72814DC5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Key documents reside in /docs/compliance/ as PDFs or Markdown files, with clear references to current (2025) guidance.</w:t>
      </w:r>
    </w:p>
    <w:p w14:paraId="65917F4B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Data Protection Statement</w:t>
      </w:r>
    </w:p>
    <w:p w14:paraId="19CD3C7C" w14:textId="77777777" w:rsidR="00AC1350" w:rsidRPr="0075336F" w:rsidRDefault="00AC1350" w:rsidP="0075336F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GDPR/UK Data Protection Act 2018 Compliance</w:t>
      </w:r>
      <w:r w:rsidRPr="0075336F">
        <w:rPr>
          <w:rFonts w:ascii="Arial" w:hAnsi="Arial" w:cs="Arial"/>
        </w:rPr>
        <w:t>:</w:t>
      </w:r>
    </w:p>
    <w:p w14:paraId="71962B86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No real patient data is stored, processed persistently, or included in the repository.</w:t>
      </w:r>
    </w:p>
    <w:p w14:paraId="2910A2A6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All testing uses only public, fully anonymised datasets (e.g., MIMIC-CXR, TCIA).</w:t>
      </w:r>
    </w:p>
    <w:p w14:paraId="7E3C9497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Pipeline enforces mandatory anonymisation (DICOM PS3.15 profile) upon ingestion.</w:t>
      </w:r>
    </w:p>
    <w:p w14:paraId="751D6056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Temporary in-memory processing only; no logging of sensitive attributes.</w:t>
      </w:r>
    </w:p>
    <w:p w14:paraId="0305AA46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Data minimisation: Only necessary metadata retained for clinical utility.</w:t>
      </w:r>
    </w:p>
    <w:p w14:paraId="0B61E99E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DPIA (Data Protection Impact Assessment) outline included, noting low risk due to no personal data handling.</w:t>
      </w:r>
    </w:p>
    <w:p w14:paraId="464C0FFE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Risk Assessment and Medical Device Classification</w:t>
      </w:r>
    </w:p>
    <w:p w14:paraId="6F0E5994" w14:textId="77777777" w:rsidR="00AC1350" w:rsidRPr="0075336F" w:rsidRDefault="00AC1350" w:rsidP="0075336F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Potential Classification</w:t>
      </w:r>
      <w:r w:rsidRPr="0075336F">
        <w:rPr>
          <w:rFonts w:ascii="Arial" w:hAnsi="Arial" w:cs="Arial"/>
        </w:rPr>
        <w:t xml:space="preserve">: Likely </w:t>
      </w:r>
      <w:r w:rsidRPr="0075336F">
        <w:rPr>
          <w:rFonts w:ascii="Arial" w:hAnsi="Arial" w:cs="Arial"/>
          <w:b/>
          <w:bCs/>
        </w:rPr>
        <w:t xml:space="preserve">Class </w:t>
      </w:r>
      <w:proofErr w:type="spellStart"/>
      <w:r w:rsidRPr="0075336F">
        <w:rPr>
          <w:rFonts w:ascii="Arial" w:hAnsi="Arial" w:cs="Arial"/>
          <w:b/>
          <w:bCs/>
        </w:rPr>
        <w:t>IIa</w:t>
      </w:r>
      <w:proofErr w:type="spellEnd"/>
      <w:r w:rsidRPr="0075336F">
        <w:rPr>
          <w:rFonts w:ascii="Arial" w:hAnsi="Arial" w:cs="Arial"/>
        </w:rPr>
        <w:t xml:space="preserve"> under UK MDR 2002 (as amended) for Software/AI as a Medical Device (SaMD/</w:t>
      </w:r>
      <w:proofErr w:type="spellStart"/>
      <w:r w:rsidRPr="0075336F">
        <w:rPr>
          <w:rFonts w:ascii="Arial" w:hAnsi="Arial" w:cs="Arial"/>
        </w:rPr>
        <w:t>AIaMD</w:t>
      </w:r>
      <w:proofErr w:type="spellEnd"/>
      <w:r w:rsidRPr="0075336F">
        <w:rPr>
          <w:rFonts w:ascii="Arial" w:hAnsi="Arial" w:cs="Arial"/>
        </w:rPr>
        <w:t>) that provides information used for diagnostic purposes (e.g., highlighting findings to inform reporting).</w:t>
      </w:r>
    </w:p>
    <w:p w14:paraId="148F7D47" w14:textId="77777777" w:rsidR="00AC1350" w:rsidRPr="0075336F" w:rsidRDefault="00AC1350" w:rsidP="0075336F">
      <w:pPr>
        <w:numPr>
          <w:ilvl w:val="1"/>
          <w:numId w:val="2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Rationale: Assists in detection/characterisation of abnormalities in radiology imaging but does not provide standalone diagnosis.</w:t>
      </w:r>
    </w:p>
    <w:p w14:paraId="5FC5BFAB" w14:textId="77777777" w:rsidR="00AC1350" w:rsidRPr="0075336F" w:rsidRDefault="00AC1350" w:rsidP="0075336F">
      <w:pPr>
        <w:numPr>
          <w:ilvl w:val="1"/>
          <w:numId w:val="2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Reference: MHRA "Software and AI as a Medical Device" guidance (updated February 2025) and Change Programme Roadmap.</w:t>
      </w:r>
    </w:p>
    <w:p w14:paraId="4056E9C6" w14:textId="77777777" w:rsidR="00AC1350" w:rsidRPr="0075336F" w:rsidRDefault="00AC1350" w:rsidP="0075336F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Risk Management</w:t>
      </w:r>
      <w:r w:rsidRPr="0075336F">
        <w:rPr>
          <w:rFonts w:ascii="Arial" w:hAnsi="Arial" w:cs="Arial"/>
        </w:rPr>
        <w:t>: ISO 14971-aligned risk register included, covering bias, overfitting, false positives/negatives, with mitigations (human oversight, explainability).</w:t>
      </w:r>
    </w:p>
    <w:p w14:paraId="615324EC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Notes on Regulations</w:t>
      </w:r>
    </w:p>
    <w:p w14:paraId="4DBC6353" w14:textId="77777777" w:rsidR="00AC1350" w:rsidRPr="0075336F" w:rsidRDefault="00AC1350" w:rsidP="0075336F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MHRA Guidance</w:t>
      </w:r>
      <w:r w:rsidRPr="0075336F">
        <w:rPr>
          <w:rFonts w:ascii="Arial" w:hAnsi="Arial" w:cs="Arial"/>
        </w:rPr>
        <w:t>:</w:t>
      </w:r>
    </w:p>
    <w:p w14:paraId="4F3B4F14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Aligns with "Software and artificial intelligence (AI) as a medical device" (GOV.UK, latest 2025 updates).</w:t>
      </w:r>
    </w:p>
    <w:p w14:paraId="315589A2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Follows Good Machine Learning Practice (GMLP) principles (IMDRF/MHRA/FDA/Health Canada).</w:t>
      </w:r>
    </w:p>
    <w:p w14:paraId="398DDDC0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Intended purpose statement: "Assistive tool for clinicians in reviewing medical images and drafting reports; not for independent diagnosis."</w:t>
      </w:r>
    </w:p>
    <w:p w14:paraId="1280D6AF" w14:textId="77777777" w:rsidR="00AC1350" w:rsidRPr="0075336F" w:rsidRDefault="00AC1350" w:rsidP="0075336F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NHS Adoption</w:t>
      </w:r>
      <w:r w:rsidRPr="0075336F">
        <w:rPr>
          <w:rFonts w:ascii="Arial" w:hAnsi="Arial" w:cs="Arial"/>
        </w:rPr>
        <w:t>:</w:t>
      </w:r>
    </w:p>
    <w:p w14:paraId="73B8B96F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lastRenderedPageBreak/>
        <w:t>DTAC (Digital Technology Assessment Criteria) self-assessment completed (current version under review in 2025; baseline standards applied).</w:t>
      </w:r>
    </w:p>
    <w:p w14:paraId="10AECA91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Covers clinical safety (DCB 0129/0160), data protection, technical security, interoperability, usability/accessibility (WCAG 2.1 AA).</w:t>
      </w:r>
    </w:p>
    <w:p w14:paraId="1C9DDE3E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Prepared for procurement frameworks.</w:t>
      </w:r>
    </w:p>
    <w:p w14:paraId="6F63A186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Human-in-the-Loop Emphasis</w:t>
      </w:r>
    </w:p>
    <w:p w14:paraId="5C3889F0" w14:textId="77777777" w:rsidR="00AC1350" w:rsidRPr="0075336F" w:rsidRDefault="00AC1350" w:rsidP="0075336F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Core design principle: AI outputs are advisory only; mandatory clinician review, editing, and approval required.</w:t>
      </w:r>
    </w:p>
    <w:p w14:paraId="0010AA90" w14:textId="77777777" w:rsidR="00AC1350" w:rsidRPr="0075336F" w:rsidRDefault="00AC1350" w:rsidP="0075336F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Enforced via UI flags, audit logs, and documentation stating: "The system never replaces professional judgement; full accountability remains with the overseeing clinician."</w:t>
      </w:r>
    </w:p>
    <w:p w14:paraId="1A6BF8C8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Industry-Level Example Diagrams and Visuals</w:t>
      </w:r>
    </w:p>
    <w:p w14:paraId="3B33D96A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59: MHRA Software and AI as a Medical Device qualification flowchart</w:t>
      </w:r>
      <w:r w:rsidRPr="0075336F">
        <w:rPr>
          <w:rFonts w:ascii="Arial" w:hAnsi="Arial" w:cs="Arial"/>
        </w:rPr>
        <w:t xml:space="preserve"> (Decision tree for SaMD classification.) Suggested filename: fig59-mhra-samd-flowchart.pdf</w:t>
      </w:r>
    </w:p>
    <w:p w14:paraId="4F2886F3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 xml:space="preserve">Figure 60: MHRA </w:t>
      </w:r>
      <w:proofErr w:type="spellStart"/>
      <w:r w:rsidRPr="0075336F">
        <w:rPr>
          <w:rFonts w:ascii="Arial" w:hAnsi="Arial" w:cs="Arial"/>
          <w:b/>
          <w:bCs/>
        </w:rPr>
        <w:t>AIaMD</w:t>
      </w:r>
      <w:proofErr w:type="spellEnd"/>
      <w:r w:rsidRPr="0075336F">
        <w:rPr>
          <w:rFonts w:ascii="Arial" w:hAnsi="Arial" w:cs="Arial"/>
          <w:b/>
          <w:bCs/>
        </w:rPr>
        <w:t xml:space="preserve"> regulatory roadmap and change programme overview</w:t>
      </w:r>
      <w:r w:rsidRPr="0075336F">
        <w:rPr>
          <w:rFonts w:ascii="Arial" w:hAnsi="Arial" w:cs="Arial"/>
        </w:rPr>
        <w:t xml:space="preserve"> (2025 reform timeline.) Suggested filename: fig60-mhra-ai-roadmap.pdf</w:t>
      </w:r>
    </w:p>
    <w:p w14:paraId="60CDFEED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61: GDPR-compliant data flow in medical AI systems</w:t>
      </w:r>
      <w:r w:rsidRPr="0075336F">
        <w:rPr>
          <w:rFonts w:ascii="Arial" w:hAnsi="Arial" w:cs="Arial"/>
        </w:rPr>
        <w:t xml:space="preserve"> (Privacy-by-design architecture.) Suggested filename: fig61-gdpr-medical-ai-flow.pdf</w:t>
      </w:r>
    </w:p>
    <w:p w14:paraId="59B9C474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62: NHS DTAC framework pillars and assessment criteria</w:t>
      </w:r>
      <w:r w:rsidRPr="0075336F">
        <w:rPr>
          <w:rFonts w:ascii="Arial" w:hAnsi="Arial" w:cs="Arial"/>
        </w:rPr>
        <w:t xml:space="preserve"> (National baseline standards diagram.) Suggested filename: fig62-nhs-dtac-pillars.pdf</w:t>
      </w:r>
    </w:p>
    <w:p w14:paraId="46B287BB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63: Human-in-the-loop framework in AI-assisted radiology</w:t>
      </w:r>
      <w:r w:rsidRPr="0075336F">
        <w:rPr>
          <w:rFonts w:ascii="Arial" w:hAnsi="Arial" w:cs="Arial"/>
        </w:rPr>
        <w:t xml:space="preserve"> (Clinician oversight workflow.) Suggested filename: fig63-human-in-loop-radiology.pdf</w:t>
      </w:r>
    </w:p>
    <w:p w14:paraId="4A0DF8DC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64: Risk classification matrix for AI medical devices (MHRA/IMDRF aligned)</w:t>
      </w:r>
      <w:r w:rsidRPr="0075336F">
        <w:rPr>
          <w:rFonts w:ascii="Arial" w:hAnsi="Arial" w:cs="Arial"/>
        </w:rPr>
        <w:t xml:space="preserve"> (Device class determination.) Suggested filename: fig64-ai-risk-classification.pdf</w:t>
      </w:r>
    </w:p>
    <w:p w14:paraId="1510E74B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Evidence Artefacts for Repository</w:t>
      </w:r>
    </w:p>
    <w:p w14:paraId="4485D3C8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data_protection_statement.md</w:t>
      </w:r>
    </w:p>
    <w:p w14:paraId="5D1A6796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risk_assessment_register.pdf</w:t>
      </w:r>
    </w:p>
    <w:p w14:paraId="5904CDB7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dtac_self_assessment.xlsx (completed form)</w:t>
      </w:r>
    </w:p>
    <w:p w14:paraId="2854D8B9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intended_purpose_statement.pdf</w:t>
      </w:r>
    </w:p>
    <w:p w14:paraId="5A0AF29E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clinical_safety_case_outline.pdf (DCB 0129 compliant)</w:t>
      </w:r>
    </w:p>
    <w:p w14:paraId="710A8730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This documentation positions the project as responsibly developed, regulator-aware, and NHS-ready, with clear emphasis on safety and human accountability. For future deployment, consider MHRA AI Airlock participation for live validation.</w:t>
      </w:r>
    </w:p>
    <w:p w14:paraId="46634CD8" w14:textId="77777777" w:rsidR="000E7D86" w:rsidRPr="0075336F" w:rsidRDefault="000E7D86" w:rsidP="0075336F">
      <w:pPr>
        <w:jc w:val="both"/>
        <w:rPr>
          <w:rFonts w:ascii="Arial" w:hAnsi="Arial" w:cs="Arial"/>
        </w:rPr>
      </w:pPr>
    </w:p>
    <w:sectPr w:rsidR="000E7D86" w:rsidRPr="007533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C2030"/>
    <w:multiLevelType w:val="multilevel"/>
    <w:tmpl w:val="F070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90A59"/>
    <w:multiLevelType w:val="multilevel"/>
    <w:tmpl w:val="38A8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5C2704"/>
    <w:multiLevelType w:val="multilevel"/>
    <w:tmpl w:val="04D8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82329"/>
    <w:multiLevelType w:val="multilevel"/>
    <w:tmpl w:val="4D78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987FC9"/>
    <w:multiLevelType w:val="multilevel"/>
    <w:tmpl w:val="115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660421">
    <w:abstractNumId w:val="1"/>
  </w:num>
  <w:num w:numId="2" w16cid:durableId="1739280007">
    <w:abstractNumId w:val="0"/>
  </w:num>
  <w:num w:numId="3" w16cid:durableId="1554350045">
    <w:abstractNumId w:val="4"/>
  </w:num>
  <w:num w:numId="4" w16cid:durableId="1873111411">
    <w:abstractNumId w:val="2"/>
  </w:num>
  <w:num w:numId="5" w16cid:durableId="10396653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D3"/>
    <w:rsid w:val="000E7D86"/>
    <w:rsid w:val="00415213"/>
    <w:rsid w:val="0075241B"/>
    <w:rsid w:val="0075336F"/>
    <w:rsid w:val="007539CD"/>
    <w:rsid w:val="007F73D0"/>
    <w:rsid w:val="00877AD3"/>
    <w:rsid w:val="00AC1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B5FA8"/>
  <w15:chartTrackingRefBased/>
  <w15:docId w15:val="{BF4FA31E-F73B-45F8-B9DB-BE32B92BE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A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AD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D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D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AD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D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D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A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D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D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D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D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619</Words>
  <Characters>3531</Characters>
  <Application>Microsoft Office Word</Application>
  <DocSecurity>0</DocSecurity>
  <Lines>29</Lines>
  <Paragraphs>8</Paragraphs>
  <ScaleCrop>false</ScaleCrop>
  <Company/>
  <LinksUpToDate>false</LinksUpToDate>
  <CharactersWithSpaces>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2025-12-27T19:24:00Z</dcterms:created>
  <dcterms:modified xsi:type="dcterms:W3CDTF">2026-02-08T21:06:00Z</dcterms:modified>
</cp:coreProperties>
</file>