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0A0F9" w14:textId="77777777" w:rsidR="002909B6" w:rsidRDefault="002909B6">
      <w:pPr>
        <w:spacing w:before="2200"/>
      </w:pPr>
    </w:p>
    <w:p w14:paraId="726C4C8B" w14:textId="77777777" w:rsidR="002909B6" w:rsidRDefault="00000000">
      <w:pPr>
        <w:spacing w:after="120"/>
        <w:jc w:val="center"/>
      </w:pPr>
      <w:r>
        <w:rPr>
          <w:rFonts w:ascii="Cambria" w:eastAsia="Cambria" w:hAnsi="Cambria" w:cs="Cambria"/>
          <w:b/>
          <w:bCs/>
          <w:color w:val="1B2A4A"/>
          <w:sz w:val="52"/>
          <w:szCs w:val="52"/>
        </w:rPr>
        <w:t>E-COMMERCE SALES ANALYTICS</w:t>
      </w:r>
    </w:p>
    <w:p w14:paraId="5BEB752B" w14:textId="6E73E8BC" w:rsidR="002909B6" w:rsidRDefault="00000000" w:rsidP="00CC1DD0">
      <w:pPr>
        <w:spacing w:after="60"/>
        <w:jc w:val="center"/>
      </w:pPr>
      <w:r>
        <w:rPr>
          <w:i/>
          <w:iCs/>
          <w:color w:val="FF6B5B"/>
          <w:sz w:val="28"/>
          <w:szCs w:val="28"/>
        </w:rPr>
        <w:t>Dashboard &amp; Data Report</w:t>
      </w:r>
      <w:r>
        <w:br w:type="page"/>
      </w:r>
    </w:p>
    <w:p w14:paraId="72FAC7F6" w14:textId="77777777" w:rsidR="002909B6" w:rsidRDefault="002909B6">
      <w:pPr>
        <w:sectPr w:rsidR="002909B6">
          <w:pgSz w:w="12240" w:h="15840"/>
          <w:pgMar w:top="1080" w:right="1350" w:bottom="1080" w:left="1350" w:header="708" w:footer="708" w:gutter="0"/>
          <w:cols w:space="720"/>
          <w:docGrid w:linePitch="360"/>
        </w:sectPr>
      </w:pPr>
    </w:p>
    <w:p w14:paraId="19D6244D" w14:textId="77777777" w:rsidR="002909B6" w:rsidRDefault="00000000">
      <w:pPr>
        <w:pStyle w:val="Heading1"/>
        <w:pBdr>
          <w:bottom w:val="single" w:sz="6" w:space="6" w:color="D7DCE3"/>
        </w:pBdr>
        <w:spacing w:before="380" w:after="200"/>
      </w:pPr>
      <w:r>
        <w:rPr>
          <w:rFonts w:ascii="Cambria" w:eastAsia="Cambria" w:hAnsi="Cambria" w:cs="Cambria"/>
          <w:b/>
          <w:bCs/>
          <w:color w:val="1B2A4A"/>
        </w:rPr>
        <w:lastRenderedPageBreak/>
        <w:t>Table of Contents</w:t>
      </w:r>
    </w:p>
    <w:p w14:paraId="473B623B" w14:textId="77777777" w:rsidR="002909B6" w:rsidRDefault="00000000">
      <w:pPr>
        <w:tabs>
          <w:tab w:val="right" w:leader="dot" w:pos="9360"/>
        </w:tabs>
        <w:spacing w:after="140"/>
      </w:pPr>
      <w:r>
        <w:t>1. Introduction</w:t>
      </w:r>
      <w:r>
        <w:rPr>
          <w:color w:val="5B6472"/>
        </w:rPr>
        <w:tab/>
        <w:t>3</w:t>
      </w:r>
    </w:p>
    <w:p w14:paraId="4C345D7B" w14:textId="77777777" w:rsidR="002909B6" w:rsidRDefault="00000000">
      <w:pPr>
        <w:tabs>
          <w:tab w:val="right" w:leader="dot" w:pos="9360"/>
        </w:tabs>
        <w:spacing w:after="140"/>
      </w:pPr>
      <w:r>
        <w:t>2. About the Dataset</w:t>
      </w:r>
      <w:r>
        <w:rPr>
          <w:color w:val="5B6472"/>
        </w:rPr>
        <w:tab/>
        <w:t>3</w:t>
      </w:r>
    </w:p>
    <w:p w14:paraId="0FF30EAE" w14:textId="77777777" w:rsidR="002909B6" w:rsidRDefault="00000000">
      <w:pPr>
        <w:tabs>
          <w:tab w:val="right" w:leader="dot" w:pos="9360"/>
        </w:tabs>
        <w:spacing w:after="140"/>
      </w:pPr>
      <w:r>
        <w:t>3. The Data Model</w:t>
      </w:r>
      <w:r>
        <w:rPr>
          <w:color w:val="5B6472"/>
        </w:rPr>
        <w:tab/>
        <w:t>4</w:t>
      </w:r>
    </w:p>
    <w:p w14:paraId="7A86D843" w14:textId="77777777" w:rsidR="002909B6" w:rsidRDefault="00000000">
      <w:pPr>
        <w:tabs>
          <w:tab w:val="right" w:leader="dot" w:pos="9360"/>
        </w:tabs>
        <w:spacing w:after="140"/>
      </w:pPr>
      <w:r>
        <w:t>4. Key Metrics Tracked</w:t>
      </w:r>
      <w:r>
        <w:rPr>
          <w:color w:val="5B6472"/>
        </w:rPr>
        <w:tab/>
        <w:t>4</w:t>
      </w:r>
    </w:p>
    <w:p w14:paraId="2223853E" w14:textId="77777777" w:rsidR="002909B6" w:rsidRDefault="00000000">
      <w:pPr>
        <w:tabs>
          <w:tab w:val="right" w:leader="dot" w:pos="9360"/>
        </w:tabs>
        <w:spacing w:after="140"/>
      </w:pPr>
      <w:r>
        <w:t>5. Dashboard Overview</w:t>
      </w:r>
      <w:r>
        <w:rPr>
          <w:color w:val="5B6472"/>
        </w:rPr>
        <w:tab/>
        <w:t>4</w:t>
      </w:r>
    </w:p>
    <w:p w14:paraId="47BB5B96" w14:textId="121B99BB" w:rsidR="002909B6" w:rsidRDefault="00000000">
      <w:pPr>
        <w:tabs>
          <w:tab w:val="right" w:leader="dot" w:pos="9360"/>
        </w:tabs>
        <w:spacing w:after="140"/>
      </w:pPr>
      <w:r>
        <w:t>6. Visual Deep-Dive: Profit by Country</w:t>
      </w:r>
      <w:r>
        <w:rPr>
          <w:color w:val="5B6472"/>
        </w:rPr>
        <w:tab/>
      </w:r>
      <w:r w:rsidR="00CC1DD0">
        <w:rPr>
          <w:color w:val="5B6472"/>
        </w:rPr>
        <w:t>6</w:t>
      </w:r>
    </w:p>
    <w:p w14:paraId="79B56EF1" w14:textId="41BC094E" w:rsidR="002909B6" w:rsidRDefault="00000000">
      <w:pPr>
        <w:tabs>
          <w:tab w:val="right" w:leader="dot" w:pos="9360"/>
        </w:tabs>
        <w:spacing w:after="140"/>
      </w:pPr>
      <w:r>
        <w:t>7. Visual Deep-Dive: Profit by Product Category</w:t>
      </w:r>
      <w:r>
        <w:rPr>
          <w:color w:val="5B6472"/>
        </w:rPr>
        <w:tab/>
      </w:r>
      <w:r w:rsidR="00CC1DD0">
        <w:rPr>
          <w:color w:val="5B6472"/>
        </w:rPr>
        <w:t>7</w:t>
      </w:r>
    </w:p>
    <w:p w14:paraId="406E1181" w14:textId="3C82B160" w:rsidR="002909B6" w:rsidRDefault="00000000">
      <w:pPr>
        <w:tabs>
          <w:tab w:val="right" w:leader="dot" w:pos="9360"/>
        </w:tabs>
        <w:spacing w:after="140"/>
      </w:pPr>
      <w:r>
        <w:t xml:space="preserve">8. Getting the Most </w:t>
      </w:r>
      <w:proofErr w:type="gramStart"/>
      <w:r>
        <w:t>From</w:t>
      </w:r>
      <w:proofErr w:type="gramEnd"/>
      <w:r>
        <w:t xml:space="preserve"> the Dashboard</w:t>
      </w:r>
      <w:r>
        <w:rPr>
          <w:color w:val="5B6472"/>
        </w:rPr>
        <w:tab/>
      </w:r>
      <w:r w:rsidR="00CC1DD0">
        <w:rPr>
          <w:color w:val="5B6472"/>
        </w:rPr>
        <w:t>8</w:t>
      </w:r>
    </w:p>
    <w:p w14:paraId="59A268BD" w14:textId="0CBDA8FA" w:rsidR="002909B6" w:rsidRDefault="00000000">
      <w:pPr>
        <w:tabs>
          <w:tab w:val="right" w:leader="dot" w:pos="9360"/>
        </w:tabs>
        <w:spacing w:after="140"/>
      </w:pPr>
      <w:r>
        <w:t>9. Conclusion</w:t>
      </w:r>
      <w:r>
        <w:rPr>
          <w:color w:val="5B6472"/>
        </w:rPr>
        <w:tab/>
      </w:r>
      <w:r w:rsidR="00CC1DD0">
        <w:rPr>
          <w:color w:val="5B6472"/>
        </w:rPr>
        <w:t>8</w:t>
      </w:r>
    </w:p>
    <w:p w14:paraId="4699038F" w14:textId="77777777" w:rsidR="002909B6" w:rsidRDefault="00000000">
      <w:r>
        <w:br w:type="page"/>
      </w:r>
    </w:p>
    <w:p w14:paraId="772A6A2D" w14:textId="77777777" w:rsidR="002909B6" w:rsidRDefault="00000000">
      <w:pPr>
        <w:pStyle w:val="Heading1"/>
        <w:pBdr>
          <w:bottom w:val="single" w:sz="6" w:space="6" w:color="D7DCE3"/>
        </w:pBdr>
        <w:spacing w:before="380" w:after="200"/>
      </w:pPr>
      <w:r>
        <w:rPr>
          <w:rFonts w:ascii="Cambria" w:eastAsia="Cambria" w:hAnsi="Cambria" w:cs="Cambria"/>
          <w:b/>
          <w:bCs/>
          <w:color w:val="1B2A4A"/>
        </w:rPr>
        <w:lastRenderedPageBreak/>
        <w:t>1. Introduction</w:t>
      </w:r>
    </w:p>
    <w:p w14:paraId="31382966" w14:textId="77777777" w:rsidR="002909B6" w:rsidRDefault="00000000">
      <w:pPr>
        <w:spacing w:after="160" w:line="300" w:lineRule="auto"/>
      </w:pPr>
      <w:r>
        <w:t>This report documents the E-commerce Sales Analytics Power BI dashboard — the data it is built on and how each visual on the page turns that data into insight. It is intended as a companion reference for anyone reviewing, presenting, or extending the dashboard.</w:t>
      </w:r>
    </w:p>
    <w:p w14:paraId="5298FB01" w14:textId="77777777" w:rsidR="002909B6" w:rsidRDefault="00000000">
      <w:pPr>
        <w:spacing w:after="160" w:line="300" w:lineRule="auto"/>
      </w:pPr>
      <w:r>
        <w:t>The report is organized in two parts: the first explains the underlying dataset and data model, and the second walks through the dashboard itself — its layout, its visuals, and how to use them.</w:t>
      </w:r>
    </w:p>
    <w:p w14:paraId="51E2441B" w14:textId="77777777" w:rsidR="002909B6" w:rsidRDefault="00000000">
      <w:pPr>
        <w:pStyle w:val="Heading1"/>
        <w:pBdr>
          <w:bottom w:val="single" w:sz="6" w:space="6" w:color="D7DCE3"/>
        </w:pBdr>
        <w:spacing w:before="380" w:after="200"/>
      </w:pPr>
      <w:r>
        <w:rPr>
          <w:rFonts w:ascii="Cambria" w:eastAsia="Cambria" w:hAnsi="Cambria" w:cs="Cambria"/>
          <w:b/>
          <w:bCs/>
          <w:color w:val="1B2A4A"/>
        </w:rPr>
        <w:t>2. About the Dataset</w:t>
      </w:r>
    </w:p>
    <w:p w14:paraId="705BAB7A" w14:textId="77777777" w:rsidR="002909B6" w:rsidRDefault="00000000">
      <w:pPr>
        <w:spacing w:after="160" w:line="300" w:lineRule="auto"/>
      </w:pPr>
      <w:r>
        <w:t xml:space="preserve">The dashboard is built on order-level e-commerce transaction data, </w:t>
      </w:r>
      <w:proofErr w:type="spellStart"/>
      <w:r>
        <w:t>modeled</w:t>
      </w:r>
      <w:proofErr w:type="spellEnd"/>
      <w:r>
        <w:t xml:space="preserve"> across five connected tables so that every sale can be traced back to the customer who bought it and the product that was sold.</w:t>
      </w:r>
    </w:p>
    <w:p w14:paraId="07CE6833" w14:textId="77777777" w:rsidR="002909B6" w:rsidRDefault="00000000">
      <w:pPr>
        <w:pStyle w:val="Heading2"/>
        <w:spacing w:before="260" w:after="140"/>
      </w:pPr>
      <w:r>
        <w:rPr>
          <w:rFonts w:ascii="Cambria" w:eastAsia="Cambria" w:hAnsi="Cambria" w:cs="Cambria"/>
          <w:b/>
          <w:bCs/>
          <w:color w:val="1B2A4A"/>
          <w:sz w:val="25"/>
          <w:szCs w:val="25"/>
        </w:rPr>
        <w:t>2.1 Data Grain</w:t>
      </w:r>
    </w:p>
    <w:p w14:paraId="14803031" w14:textId="77777777" w:rsidR="002909B6" w:rsidRDefault="00000000">
      <w:pPr>
        <w:spacing w:after="160" w:line="300" w:lineRule="auto"/>
      </w:pPr>
      <w:r>
        <w:t>Each row in the core sales table represents one order line item, not one order. A single order containing three products contributes three rows — which keeps product- and country-level totals accurate when the dashboard aggregates profit, sales, or quantity.</w:t>
      </w:r>
    </w:p>
    <w:p w14:paraId="14C57C1B" w14:textId="77777777" w:rsidR="002909B6" w:rsidRDefault="00000000">
      <w:pPr>
        <w:pStyle w:val="Heading2"/>
        <w:spacing w:before="260" w:after="140"/>
      </w:pPr>
      <w:r>
        <w:rPr>
          <w:rFonts w:ascii="Cambria" w:eastAsia="Cambria" w:hAnsi="Cambria" w:cs="Cambria"/>
          <w:b/>
          <w:bCs/>
          <w:color w:val="1B2A4A"/>
          <w:sz w:val="25"/>
          <w:szCs w:val="25"/>
        </w:rPr>
        <w:t>2.2 Tables in the Model</w:t>
      </w:r>
    </w:p>
    <w:tbl>
      <w:tblPr>
        <w:tblW w:w="8800" w:type="dxa"/>
        <w:tblBorders>
          <w:top w:val="single" w:sz="4" w:space="0" w:color="D7DCE3"/>
          <w:left w:val="single" w:sz="4" w:space="0" w:color="D7DCE3"/>
          <w:bottom w:val="single" w:sz="4" w:space="0" w:color="D7DCE3"/>
          <w:right w:val="single" w:sz="4" w:space="0" w:color="D7DCE3"/>
          <w:insideH w:val="single" w:sz="4" w:space="0" w:color="D7DCE3"/>
          <w:insideV w:val="single" w:sz="4" w:space="0" w:color="D7DCE3"/>
        </w:tblBorders>
        <w:tblCellMar>
          <w:left w:w="10" w:type="dxa"/>
          <w:right w:w="10" w:type="dxa"/>
        </w:tblCellMar>
        <w:tblLook w:val="04A0" w:firstRow="1" w:lastRow="0" w:firstColumn="1" w:lastColumn="0" w:noHBand="0" w:noVBand="1"/>
      </w:tblPr>
      <w:tblGrid>
        <w:gridCol w:w="2200"/>
        <w:gridCol w:w="1800"/>
        <w:gridCol w:w="4800"/>
      </w:tblGrid>
      <w:tr w:rsidR="002909B6" w14:paraId="0770C5BA" w14:textId="77777777">
        <w:tblPrEx>
          <w:tblCellMar>
            <w:top w:w="0" w:type="dxa"/>
            <w:bottom w:w="0" w:type="dxa"/>
          </w:tblCellMar>
        </w:tblPrEx>
        <w:trPr>
          <w:cantSplit/>
          <w:tblHeader/>
        </w:trPr>
        <w:tc>
          <w:tcPr>
            <w:tcW w:w="2200" w:type="dxa"/>
            <w:shd w:val="clear" w:color="auto" w:fill="1B2A4A"/>
            <w:tcMar>
              <w:top w:w="100" w:type="dxa"/>
              <w:left w:w="140" w:type="dxa"/>
              <w:bottom w:w="100" w:type="dxa"/>
              <w:right w:w="140" w:type="dxa"/>
            </w:tcMar>
            <w:vAlign w:val="center"/>
          </w:tcPr>
          <w:p w14:paraId="7736C30A" w14:textId="77777777" w:rsidR="002909B6" w:rsidRDefault="00000000">
            <w:r>
              <w:rPr>
                <w:b/>
                <w:bCs/>
                <w:color w:val="FFFFFF"/>
                <w:sz w:val="20"/>
                <w:szCs w:val="20"/>
              </w:rPr>
              <w:t>Table</w:t>
            </w:r>
          </w:p>
        </w:tc>
        <w:tc>
          <w:tcPr>
            <w:tcW w:w="1800" w:type="dxa"/>
            <w:shd w:val="clear" w:color="auto" w:fill="1B2A4A"/>
            <w:tcMar>
              <w:top w:w="100" w:type="dxa"/>
              <w:left w:w="140" w:type="dxa"/>
              <w:bottom w:w="100" w:type="dxa"/>
              <w:right w:w="140" w:type="dxa"/>
            </w:tcMar>
            <w:vAlign w:val="center"/>
          </w:tcPr>
          <w:p w14:paraId="0AE54F6C" w14:textId="77777777" w:rsidR="002909B6" w:rsidRDefault="00000000">
            <w:r>
              <w:rPr>
                <w:b/>
                <w:bCs/>
                <w:color w:val="FFFFFF"/>
                <w:sz w:val="20"/>
                <w:szCs w:val="20"/>
              </w:rPr>
              <w:t>Role</w:t>
            </w:r>
          </w:p>
        </w:tc>
        <w:tc>
          <w:tcPr>
            <w:tcW w:w="4800" w:type="dxa"/>
            <w:shd w:val="clear" w:color="auto" w:fill="1B2A4A"/>
            <w:tcMar>
              <w:top w:w="100" w:type="dxa"/>
              <w:left w:w="140" w:type="dxa"/>
              <w:bottom w:w="100" w:type="dxa"/>
              <w:right w:w="140" w:type="dxa"/>
            </w:tcMar>
            <w:vAlign w:val="center"/>
          </w:tcPr>
          <w:p w14:paraId="1A248E38" w14:textId="77777777" w:rsidR="002909B6" w:rsidRDefault="00000000">
            <w:r>
              <w:rPr>
                <w:b/>
                <w:bCs/>
                <w:color w:val="FFFFFF"/>
                <w:sz w:val="20"/>
                <w:szCs w:val="20"/>
              </w:rPr>
              <w:t>Description</w:t>
            </w:r>
          </w:p>
        </w:tc>
      </w:tr>
      <w:tr w:rsidR="002909B6" w14:paraId="1EEE13DB" w14:textId="77777777">
        <w:tblPrEx>
          <w:tblCellMar>
            <w:top w:w="0" w:type="dxa"/>
            <w:bottom w:w="0" w:type="dxa"/>
          </w:tblCellMar>
        </w:tblPrEx>
        <w:trPr>
          <w:cantSplit/>
        </w:trPr>
        <w:tc>
          <w:tcPr>
            <w:tcW w:w="2200" w:type="dxa"/>
            <w:shd w:val="clear" w:color="auto" w:fill="FFFFFF"/>
            <w:tcMar>
              <w:top w:w="100" w:type="dxa"/>
              <w:left w:w="140" w:type="dxa"/>
              <w:bottom w:w="100" w:type="dxa"/>
              <w:right w:w="140" w:type="dxa"/>
            </w:tcMar>
            <w:vAlign w:val="center"/>
          </w:tcPr>
          <w:p w14:paraId="0C5E19B6" w14:textId="77777777" w:rsidR="002909B6" w:rsidRDefault="00000000">
            <w:proofErr w:type="spellStart"/>
            <w:r>
              <w:rPr>
                <w:b/>
                <w:bCs/>
                <w:color w:val="1B2A4A"/>
                <w:sz w:val="20"/>
                <w:szCs w:val="20"/>
              </w:rPr>
              <w:t>order_items</w:t>
            </w:r>
            <w:proofErr w:type="spellEnd"/>
          </w:p>
        </w:tc>
        <w:tc>
          <w:tcPr>
            <w:tcW w:w="1800" w:type="dxa"/>
            <w:shd w:val="clear" w:color="auto" w:fill="FFFFFF"/>
            <w:tcMar>
              <w:top w:w="100" w:type="dxa"/>
              <w:left w:w="140" w:type="dxa"/>
              <w:bottom w:w="100" w:type="dxa"/>
              <w:right w:w="140" w:type="dxa"/>
            </w:tcMar>
            <w:vAlign w:val="center"/>
          </w:tcPr>
          <w:p w14:paraId="110D03E2" w14:textId="77777777" w:rsidR="002909B6" w:rsidRDefault="00000000">
            <w:r>
              <w:rPr>
                <w:sz w:val="20"/>
                <w:szCs w:val="20"/>
              </w:rPr>
              <w:t>Fact table</w:t>
            </w:r>
          </w:p>
        </w:tc>
        <w:tc>
          <w:tcPr>
            <w:tcW w:w="4800" w:type="dxa"/>
            <w:shd w:val="clear" w:color="auto" w:fill="FFFFFF"/>
            <w:tcMar>
              <w:top w:w="100" w:type="dxa"/>
              <w:left w:w="140" w:type="dxa"/>
              <w:bottom w:w="100" w:type="dxa"/>
              <w:right w:w="140" w:type="dxa"/>
            </w:tcMar>
            <w:vAlign w:val="center"/>
          </w:tcPr>
          <w:p w14:paraId="3B5AA163" w14:textId="77777777" w:rsidR="002909B6" w:rsidRDefault="00000000">
            <w:r>
              <w:rPr>
                <w:sz w:val="20"/>
                <w:szCs w:val="20"/>
              </w:rPr>
              <w:t xml:space="preserve">One row per order line; the source of every </w:t>
            </w:r>
            <w:proofErr w:type="gramStart"/>
            <w:r>
              <w:rPr>
                <w:sz w:val="20"/>
                <w:szCs w:val="20"/>
              </w:rPr>
              <w:t>sales</w:t>
            </w:r>
            <w:proofErr w:type="gramEnd"/>
            <w:r>
              <w:rPr>
                <w:sz w:val="20"/>
                <w:szCs w:val="20"/>
              </w:rPr>
              <w:t>, profit, and quantity figure the dashboard reports.</w:t>
            </w:r>
          </w:p>
        </w:tc>
      </w:tr>
      <w:tr w:rsidR="002909B6" w14:paraId="66559F13" w14:textId="77777777">
        <w:tblPrEx>
          <w:tblCellMar>
            <w:top w:w="0" w:type="dxa"/>
            <w:bottom w:w="0" w:type="dxa"/>
          </w:tblCellMar>
        </w:tblPrEx>
        <w:trPr>
          <w:cantSplit/>
        </w:trPr>
        <w:tc>
          <w:tcPr>
            <w:tcW w:w="2200" w:type="dxa"/>
            <w:shd w:val="clear" w:color="auto" w:fill="F2F4F7"/>
            <w:tcMar>
              <w:top w:w="100" w:type="dxa"/>
              <w:left w:w="140" w:type="dxa"/>
              <w:bottom w:w="100" w:type="dxa"/>
              <w:right w:w="140" w:type="dxa"/>
            </w:tcMar>
            <w:vAlign w:val="center"/>
          </w:tcPr>
          <w:p w14:paraId="2E7C7793" w14:textId="77777777" w:rsidR="002909B6" w:rsidRDefault="00000000">
            <w:proofErr w:type="spellStart"/>
            <w:r>
              <w:rPr>
                <w:b/>
                <w:bCs/>
                <w:color w:val="1B2A4A"/>
                <w:sz w:val="20"/>
                <w:szCs w:val="20"/>
              </w:rPr>
              <w:t>customer_master</w:t>
            </w:r>
            <w:proofErr w:type="spellEnd"/>
          </w:p>
        </w:tc>
        <w:tc>
          <w:tcPr>
            <w:tcW w:w="1800" w:type="dxa"/>
            <w:shd w:val="clear" w:color="auto" w:fill="F2F4F7"/>
            <w:tcMar>
              <w:top w:w="100" w:type="dxa"/>
              <w:left w:w="140" w:type="dxa"/>
              <w:bottom w:w="100" w:type="dxa"/>
              <w:right w:w="140" w:type="dxa"/>
            </w:tcMar>
            <w:vAlign w:val="center"/>
          </w:tcPr>
          <w:p w14:paraId="78041306" w14:textId="77777777" w:rsidR="002909B6" w:rsidRDefault="00000000">
            <w:r>
              <w:rPr>
                <w:sz w:val="20"/>
                <w:szCs w:val="20"/>
              </w:rPr>
              <w:t>Dimension</w:t>
            </w:r>
          </w:p>
        </w:tc>
        <w:tc>
          <w:tcPr>
            <w:tcW w:w="4800" w:type="dxa"/>
            <w:shd w:val="clear" w:color="auto" w:fill="F2F4F7"/>
            <w:tcMar>
              <w:top w:w="100" w:type="dxa"/>
              <w:left w:w="140" w:type="dxa"/>
              <w:bottom w:w="100" w:type="dxa"/>
              <w:right w:w="140" w:type="dxa"/>
            </w:tcMar>
            <w:vAlign w:val="center"/>
          </w:tcPr>
          <w:p w14:paraId="4F5AB81A" w14:textId="77777777" w:rsidR="002909B6" w:rsidRDefault="00000000">
            <w:r>
              <w:rPr>
                <w:sz w:val="20"/>
                <w:szCs w:val="20"/>
              </w:rPr>
              <w:t>Buyer details, including the customer's country — used to break profit down by market.</w:t>
            </w:r>
          </w:p>
        </w:tc>
      </w:tr>
      <w:tr w:rsidR="002909B6" w14:paraId="330D8E9E" w14:textId="77777777">
        <w:tblPrEx>
          <w:tblCellMar>
            <w:top w:w="0" w:type="dxa"/>
            <w:bottom w:w="0" w:type="dxa"/>
          </w:tblCellMar>
        </w:tblPrEx>
        <w:trPr>
          <w:cantSplit/>
        </w:trPr>
        <w:tc>
          <w:tcPr>
            <w:tcW w:w="2200" w:type="dxa"/>
            <w:shd w:val="clear" w:color="auto" w:fill="FFFFFF"/>
            <w:tcMar>
              <w:top w:w="100" w:type="dxa"/>
              <w:left w:w="140" w:type="dxa"/>
              <w:bottom w:w="100" w:type="dxa"/>
              <w:right w:w="140" w:type="dxa"/>
            </w:tcMar>
            <w:vAlign w:val="center"/>
          </w:tcPr>
          <w:p w14:paraId="7DC48FBD" w14:textId="77777777" w:rsidR="002909B6" w:rsidRDefault="00000000">
            <w:proofErr w:type="spellStart"/>
            <w:r>
              <w:rPr>
                <w:b/>
                <w:bCs/>
                <w:color w:val="1B2A4A"/>
                <w:sz w:val="20"/>
                <w:szCs w:val="20"/>
              </w:rPr>
              <w:t>product_catalog</w:t>
            </w:r>
            <w:proofErr w:type="spellEnd"/>
          </w:p>
        </w:tc>
        <w:tc>
          <w:tcPr>
            <w:tcW w:w="1800" w:type="dxa"/>
            <w:shd w:val="clear" w:color="auto" w:fill="FFFFFF"/>
            <w:tcMar>
              <w:top w:w="100" w:type="dxa"/>
              <w:left w:w="140" w:type="dxa"/>
              <w:bottom w:w="100" w:type="dxa"/>
              <w:right w:w="140" w:type="dxa"/>
            </w:tcMar>
            <w:vAlign w:val="center"/>
          </w:tcPr>
          <w:p w14:paraId="78CB3ED1" w14:textId="77777777" w:rsidR="002909B6" w:rsidRDefault="00000000">
            <w:r>
              <w:rPr>
                <w:sz w:val="20"/>
                <w:szCs w:val="20"/>
              </w:rPr>
              <w:t>Dimension</w:t>
            </w:r>
          </w:p>
        </w:tc>
        <w:tc>
          <w:tcPr>
            <w:tcW w:w="4800" w:type="dxa"/>
            <w:shd w:val="clear" w:color="auto" w:fill="FFFFFF"/>
            <w:tcMar>
              <w:top w:w="100" w:type="dxa"/>
              <w:left w:w="140" w:type="dxa"/>
              <w:bottom w:w="100" w:type="dxa"/>
              <w:right w:w="140" w:type="dxa"/>
            </w:tcMar>
            <w:vAlign w:val="center"/>
          </w:tcPr>
          <w:p w14:paraId="2835CD31" w14:textId="77777777" w:rsidR="002909B6" w:rsidRDefault="00000000">
            <w:r>
              <w:rPr>
                <w:sz w:val="20"/>
                <w:szCs w:val="20"/>
              </w:rPr>
              <w:t>Product details, including the product category — used to break profit down by category.</w:t>
            </w:r>
          </w:p>
        </w:tc>
      </w:tr>
      <w:tr w:rsidR="002909B6" w14:paraId="25A9F6BC" w14:textId="77777777">
        <w:tblPrEx>
          <w:tblCellMar>
            <w:top w:w="0" w:type="dxa"/>
            <w:bottom w:w="0" w:type="dxa"/>
          </w:tblCellMar>
        </w:tblPrEx>
        <w:trPr>
          <w:cantSplit/>
        </w:trPr>
        <w:tc>
          <w:tcPr>
            <w:tcW w:w="2200" w:type="dxa"/>
            <w:shd w:val="clear" w:color="auto" w:fill="F2F4F7"/>
            <w:tcMar>
              <w:top w:w="100" w:type="dxa"/>
              <w:left w:w="140" w:type="dxa"/>
              <w:bottom w:w="100" w:type="dxa"/>
              <w:right w:w="140" w:type="dxa"/>
            </w:tcMar>
            <w:vAlign w:val="center"/>
          </w:tcPr>
          <w:p w14:paraId="2A25179F" w14:textId="77777777" w:rsidR="002909B6" w:rsidRDefault="00000000">
            <w:r>
              <w:rPr>
                <w:b/>
                <w:bCs/>
                <w:color w:val="1B2A4A"/>
                <w:sz w:val="20"/>
                <w:szCs w:val="20"/>
              </w:rPr>
              <w:t>Consolidated analytics table</w:t>
            </w:r>
          </w:p>
        </w:tc>
        <w:tc>
          <w:tcPr>
            <w:tcW w:w="1800" w:type="dxa"/>
            <w:shd w:val="clear" w:color="auto" w:fill="F2F4F7"/>
            <w:tcMar>
              <w:top w:w="100" w:type="dxa"/>
              <w:left w:w="140" w:type="dxa"/>
              <w:bottom w:w="100" w:type="dxa"/>
              <w:right w:w="140" w:type="dxa"/>
            </w:tcMar>
            <w:vAlign w:val="center"/>
          </w:tcPr>
          <w:p w14:paraId="6C07E887" w14:textId="77777777" w:rsidR="002909B6" w:rsidRDefault="00000000">
            <w:r>
              <w:rPr>
                <w:sz w:val="20"/>
                <w:szCs w:val="20"/>
              </w:rPr>
              <w:t>Consolidated table</w:t>
            </w:r>
          </w:p>
        </w:tc>
        <w:tc>
          <w:tcPr>
            <w:tcW w:w="4800" w:type="dxa"/>
            <w:shd w:val="clear" w:color="auto" w:fill="F2F4F7"/>
            <w:tcMar>
              <w:top w:w="100" w:type="dxa"/>
              <w:left w:w="140" w:type="dxa"/>
              <w:bottom w:w="100" w:type="dxa"/>
              <w:right w:w="140" w:type="dxa"/>
            </w:tcMar>
            <w:vAlign w:val="center"/>
          </w:tcPr>
          <w:p w14:paraId="067084F9" w14:textId="77777777" w:rsidR="002909B6" w:rsidRDefault="00000000">
            <w:r>
              <w:rPr>
                <w:sz w:val="20"/>
                <w:szCs w:val="20"/>
              </w:rPr>
              <w:t>A pre-joined, order-level view (ecommerce_sales_customer_analytics_150k) combining customer, product, and order data for reporting; its name indicates roughly 150,000 underlying records.</w:t>
            </w:r>
          </w:p>
        </w:tc>
      </w:tr>
      <w:tr w:rsidR="002909B6" w14:paraId="362B6BEA" w14:textId="77777777">
        <w:tblPrEx>
          <w:tblCellMar>
            <w:top w:w="0" w:type="dxa"/>
            <w:bottom w:w="0" w:type="dxa"/>
          </w:tblCellMar>
        </w:tblPrEx>
        <w:trPr>
          <w:cantSplit/>
        </w:trPr>
        <w:tc>
          <w:tcPr>
            <w:tcW w:w="2200" w:type="dxa"/>
            <w:shd w:val="clear" w:color="auto" w:fill="FFFFFF"/>
            <w:tcMar>
              <w:top w:w="100" w:type="dxa"/>
              <w:left w:w="140" w:type="dxa"/>
              <w:bottom w:w="100" w:type="dxa"/>
              <w:right w:w="140" w:type="dxa"/>
            </w:tcMar>
            <w:vAlign w:val="center"/>
          </w:tcPr>
          <w:p w14:paraId="046B5F92" w14:textId="77777777" w:rsidR="002909B6" w:rsidRDefault="00000000">
            <w:r>
              <w:rPr>
                <w:b/>
                <w:bCs/>
                <w:color w:val="1B2A4A"/>
                <w:sz w:val="20"/>
                <w:szCs w:val="20"/>
              </w:rPr>
              <w:t>Dataset statistics</w:t>
            </w:r>
          </w:p>
        </w:tc>
        <w:tc>
          <w:tcPr>
            <w:tcW w:w="1800" w:type="dxa"/>
            <w:shd w:val="clear" w:color="auto" w:fill="FFFFFF"/>
            <w:tcMar>
              <w:top w:w="100" w:type="dxa"/>
              <w:left w:w="140" w:type="dxa"/>
              <w:bottom w:w="100" w:type="dxa"/>
              <w:right w:w="140" w:type="dxa"/>
            </w:tcMar>
            <w:vAlign w:val="center"/>
          </w:tcPr>
          <w:p w14:paraId="263E0C47" w14:textId="77777777" w:rsidR="002909B6" w:rsidRDefault="00000000">
            <w:r>
              <w:rPr>
                <w:sz w:val="20"/>
                <w:szCs w:val="20"/>
              </w:rPr>
              <w:t>Supporting table</w:t>
            </w:r>
          </w:p>
        </w:tc>
        <w:tc>
          <w:tcPr>
            <w:tcW w:w="4800" w:type="dxa"/>
            <w:shd w:val="clear" w:color="auto" w:fill="FFFFFF"/>
            <w:tcMar>
              <w:top w:w="100" w:type="dxa"/>
              <w:left w:w="140" w:type="dxa"/>
              <w:bottom w:w="100" w:type="dxa"/>
              <w:right w:w="140" w:type="dxa"/>
            </w:tcMar>
            <w:vAlign w:val="center"/>
          </w:tcPr>
          <w:p w14:paraId="3569C806" w14:textId="77777777" w:rsidR="002909B6" w:rsidRDefault="00000000">
            <w:r>
              <w:rPr>
                <w:sz w:val="20"/>
                <w:szCs w:val="20"/>
              </w:rPr>
              <w:t xml:space="preserve">Standalone reference data supporting the model; not directly joined to </w:t>
            </w:r>
            <w:proofErr w:type="spellStart"/>
            <w:r>
              <w:rPr>
                <w:sz w:val="20"/>
                <w:szCs w:val="20"/>
              </w:rPr>
              <w:t>order_items</w:t>
            </w:r>
            <w:proofErr w:type="spellEnd"/>
            <w:r>
              <w:rPr>
                <w:sz w:val="20"/>
                <w:szCs w:val="20"/>
              </w:rPr>
              <w:t>.</w:t>
            </w:r>
          </w:p>
        </w:tc>
      </w:tr>
    </w:tbl>
    <w:p w14:paraId="3AD7D2C4" w14:textId="77777777" w:rsidR="002909B6" w:rsidRDefault="002909B6">
      <w:pPr>
        <w:spacing w:before="200"/>
      </w:pPr>
    </w:p>
    <w:tbl>
      <w:tblPr>
        <w:tblW w:w="5000" w:type="pct"/>
        <w:tblBorders>
          <w:top w:val="single" w:sz="4" w:space="0" w:color="D7DCE3"/>
          <w:left w:val="single" w:sz="24" w:space="0" w:color="FF6B5B"/>
          <w:bottom w:val="single" w:sz="4" w:space="0" w:color="D7DCE3"/>
          <w:right w:val="single" w:sz="4" w:space="0" w:color="D7DC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5"/>
      </w:tblGrid>
      <w:tr w:rsidR="002909B6" w14:paraId="2469FCF8" w14:textId="77777777">
        <w:tblPrEx>
          <w:tblCellMar>
            <w:top w:w="0" w:type="dxa"/>
            <w:bottom w:w="0" w:type="dxa"/>
          </w:tblCellMar>
        </w:tblPrEx>
        <w:trPr>
          <w:cantSplit/>
        </w:trPr>
        <w:tc>
          <w:tcPr>
            <w:tcW w:w="0" w:type="auto"/>
            <w:shd w:val="clear" w:color="auto" w:fill="F2F4F7"/>
            <w:tcMar>
              <w:top w:w="160" w:type="dxa"/>
              <w:left w:w="220" w:type="dxa"/>
              <w:bottom w:w="160" w:type="dxa"/>
              <w:right w:w="220" w:type="dxa"/>
            </w:tcMar>
          </w:tcPr>
          <w:p w14:paraId="04BD6C1E" w14:textId="77777777" w:rsidR="002909B6" w:rsidRDefault="00000000">
            <w:pPr>
              <w:spacing w:after="60"/>
            </w:pPr>
            <w:r>
              <w:rPr>
                <w:b/>
                <w:bCs/>
                <w:color w:val="1B2A4A"/>
                <w:sz w:val="21"/>
                <w:szCs w:val="21"/>
              </w:rPr>
              <w:t>Note on figures</w:t>
            </w:r>
          </w:p>
          <w:p w14:paraId="71E9763D" w14:textId="77777777" w:rsidR="002909B6" w:rsidRDefault="00000000">
            <w:pPr>
              <w:spacing w:line="280" w:lineRule="auto"/>
            </w:pPr>
            <w:r>
              <w:rPr>
                <w:i/>
                <w:iCs/>
                <w:color w:val="5B6472"/>
                <w:sz w:val="21"/>
                <w:szCs w:val="21"/>
              </w:rPr>
              <w:t>This report describes the structure and purpose of the data and dashboard rather than reproducing live totals. For current sales, profit, or quantity figures, refer to the dashboard itself.</w:t>
            </w:r>
          </w:p>
        </w:tc>
      </w:tr>
    </w:tbl>
    <w:p w14:paraId="111A84D9" w14:textId="77777777" w:rsidR="002909B6" w:rsidRDefault="00000000">
      <w:pPr>
        <w:pStyle w:val="Heading1"/>
        <w:pBdr>
          <w:bottom w:val="single" w:sz="6" w:space="6" w:color="D7DCE3"/>
        </w:pBdr>
        <w:spacing w:before="380" w:after="200"/>
      </w:pPr>
      <w:r>
        <w:rPr>
          <w:rFonts w:ascii="Cambria" w:eastAsia="Cambria" w:hAnsi="Cambria" w:cs="Cambria"/>
          <w:b/>
          <w:bCs/>
          <w:color w:val="1B2A4A"/>
        </w:rPr>
        <w:lastRenderedPageBreak/>
        <w:t>3. The Data Model</w:t>
      </w:r>
    </w:p>
    <w:p w14:paraId="416728A3" w14:textId="77777777" w:rsidR="002909B6" w:rsidRDefault="00000000">
      <w:pPr>
        <w:spacing w:after="160" w:line="300" w:lineRule="auto"/>
      </w:pPr>
      <w:proofErr w:type="spellStart"/>
      <w:r>
        <w:t>order_items</w:t>
      </w:r>
      <w:proofErr w:type="spellEnd"/>
      <w:r>
        <w:t xml:space="preserve"> sits at the </w:t>
      </w:r>
      <w:proofErr w:type="spellStart"/>
      <w:r>
        <w:t>center</w:t>
      </w:r>
      <w:proofErr w:type="spellEnd"/>
      <w:r>
        <w:t xml:space="preserve"> of the model. It is linked to </w:t>
      </w:r>
      <w:proofErr w:type="spellStart"/>
      <w:r>
        <w:t>customer_master</w:t>
      </w:r>
      <w:proofErr w:type="spellEnd"/>
      <w:r>
        <w:t xml:space="preserve">, </w:t>
      </w:r>
      <w:proofErr w:type="spellStart"/>
      <w:r>
        <w:t>product_catalog</w:t>
      </w:r>
      <w:proofErr w:type="spellEnd"/>
      <w:r>
        <w:t xml:space="preserve">, and a consolidated analytics table used for reporting — the same relationship </w:t>
      </w:r>
      <w:proofErr w:type="gramStart"/>
      <w:r>
        <w:t>pattern</w:t>
      </w:r>
      <w:proofErr w:type="gramEnd"/>
      <w:r>
        <w:t xml:space="preserve"> the dashboard's charts query directly to break profit and sales down by country and by category. Dataset statistics sits apart from these joins as a standalone supporting table.</w:t>
      </w:r>
    </w:p>
    <w:p w14:paraId="2D8ECAB6" w14:textId="77777777" w:rsidR="002909B6" w:rsidRDefault="00000000">
      <w:pPr>
        <w:pStyle w:val="Heading2"/>
        <w:spacing w:before="260" w:after="140"/>
      </w:pPr>
      <w:r>
        <w:rPr>
          <w:rFonts w:ascii="Cambria" w:eastAsia="Cambria" w:hAnsi="Cambria" w:cs="Cambria"/>
          <w:b/>
          <w:bCs/>
          <w:color w:val="1B2A4A"/>
          <w:sz w:val="25"/>
          <w:szCs w:val="25"/>
        </w:rPr>
        <w:t>3.1 How the Tables Connect</w:t>
      </w:r>
    </w:p>
    <w:p w14:paraId="5A036542" w14:textId="77777777" w:rsidR="002909B6" w:rsidRDefault="00000000">
      <w:pPr>
        <w:pStyle w:val="ListParagraph"/>
        <w:numPr>
          <w:ilvl w:val="0"/>
          <w:numId w:val="2"/>
        </w:numPr>
        <w:spacing w:after="100" w:line="290" w:lineRule="auto"/>
      </w:pPr>
      <w:proofErr w:type="spellStart"/>
      <w:r>
        <w:t>order_items</w:t>
      </w:r>
      <w:proofErr w:type="spellEnd"/>
      <w:r>
        <w:t xml:space="preserve"> ↔ </w:t>
      </w:r>
      <w:proofErr w:type="spellStart"/>
      <w:r>
        <w:t>customer_master</w:t>
      </w:r>
      <w:proofErr w:type="spellEnd"/>
      <w:r>
        <w:t xml:space="preserve"> — joins each order line to the customer who placed it, enabling country-level analysis.</w:t>
      </w:r>
    </w:p>
    <w:p w14:paraId="4F507735" w14:textId="77777777" w:rsidR="002909B6" w:rsidRDefault="00000000">
      <w:pPr>
        <w:pStyle w:val="ListParagraph"/>
        <w:numPr>
          <w:ilvl w:val="0"/>
          <w:numId w:val="2"/>
        </w:numPr>
        <w:spacing w:after="100" w:line="290" w:lineRule="auto"/>
      </w:pPr>
      <w:proofErr w:type="spellStart"/>
      <w:r>
        <w:t>order_items</w:t>
      </w:r>
      <w:proofErr w:type="spellEnd"/>
      <w:r>
        <w:t xml:space="preserve"> ↔ </w:t>
      </w:r>
      <w:proofErr w:type="spellStart"/>
      <w:r>
        <w:t>product_catalog</w:t>
      </w:r>
      <w:proofErr w:type="spellEnd"/>
      <w:r>
        <w:t xml:space="preserve"> — joins each order line to the product sold, enabling category-level analysis.</w:t>
      </w:r>
    </w:p>
    <w:p w14:paraId="5CFA0B1D" w14:textId="77777777" w:rsidR="002909B6" w:rsidRDefault="00000000">
      <w:pPr>
        <w:pStyle w:val="ListParagraph"/>
        <w:numPr>
          <w:ilvl w:val="0"/>
          <w:numId w:val="2"/>
        </w:numPr>
        <w:spacing w:after="100" w:line="290" w:lineRule="auto"/>
      </w:pPr>
      <w:proofErr w:type="spellStart"/>
      <w:r>
        <w:t>order_items</w:t>
      </w:r>
      <w:proofErr w:type="spellEnd"/>
      <w:r>
        <w:t xml:space="preserve"> ↔ Consolidated analytics table — joins to the pre-joined, order-level view used for streamlined reporting.</w:t>
      </w:r>
    </w:p>
    <w:p w14:paraId="7F892FB9" w14:textId="77777777" w:rsidR="002909B6" w:rsidRDefault="00000000">
      <w:pPr>
        <w:pStyle w:val="ListParagraph"/>
        <w:numPr>
          <w:ilvl w:val="0"/>
          <w:numId w:val="2"/>
        </w:numPr>
        <w:spacing w:after="100" w:line="290" w:lineRule="auto"/>
      </w:pPr>
      <w:r>
        <w:t xml:space="preserve">Dataset statistics sits alongside the core model as a standalone supporting table, not directly joined to </w:t>
      </w:r>
      <w:proofErr w:type="spellStart"/>
      <w:r>
        <w:t>order_items</w:t>
      </w:r>
      <w:proofErr w:type="spellEnd"/>
      <w:r>
        <w:t>.</w:t>
      </w:r>
    </w:p>
    <w:p w14:paraId="4CF8C464" w14:textId="77777777" w:rsidR="002909B6" w:rsidRDefault="00000000">
      <w:pPr>
        <w:pStyle w:val="Heading1"/>
        <w:pBdr>
          <w:bottom w:val="single" w:sz="6" w:space="6" w:color="D7DCE3"/>
        </w:pBdr>
        <w:spacing w:before="380" w:after="200"/>
      </w:pPr>
      <w:r>
        <w:rPr>
          <w:rFonts w:ascii="Cambria" w:eastAsia="Cambria" w:hAnsi="Cambria" w:cs="Cambria"/>
          <w:b/>
          <w:bCs/>
          <w:color w:val="1B2A4A"/>
        </w:rPr>
        <w:t>4. Key Metrics Tracked</w:t>
      </w:r>
    </w:p>
    <w:p w14:paraId="7E9317A7" w14:textId="77777777" w:rsidR="002909B6" w:rsidRDefault="00000000">
      <w:pPr>
        <w:spacing w:after="160" w:line="300" w:lineRule="auto"/>
      </w:pPr>
      <w:r>
        <w:t xml:space="preserve">Four measures, all derived from </w:t>
      </w:r>
      <w:proofErr w:type="spellStart"/>
      <w:r>
        <w:t>order_items</w:t>
      </w:r>
      <w:proofErr w:type="spellEnd"/>
      <w:r>
        <w:t>, underpin every chart and card in the dashboard:</w:t>
      </w:r>
    </w:p>
    <w:tbl>
      <w:tblPr>
        <w:tblW w:w="8800" w:type="dxa"/>
        <w:tblBorders>
          <w:top w:val="single" w:sz="4" w:space="0" w:color="D7DCE3"/>
          <w:left w:val="single" w:sz="4" w:space="0" w:color="D7DCE3"/>
          <w:bottom w:val="single" w:sz="4" w:space="0" w:color="D7DCE3"/>
          <w:right w:val="single" w:sz="4" w:space="0" w:color="D7DCE3"/>
          <w:insideH w:val="single" w:sz="4" w:space="0" w:color="D7DCE3"/>
          <w:insideV w:val="single" w:sz="4" w:space="0" w:color="D7DCE3"/>
        </w:tblBorders>
        <w:tblCellMar>
          <w:left w:w="10" w:type="dxa"/>
          <w:right w:w="10" w:type="dxa"/>
        </w:tblCellMar>
        <w:tblLook w:val="04A0" w:firstRow="1" w:lastRow="0" w:firstColumn="1" w:lastColumn="0" w:noHBand="0" w:noVBand="1"/>
      </w:tblPr>
      <w:tblGrid>
        <w:gridCol w:w="2400"/>
        <w:gridCol w:w="6400"/>
      </w:tblGrid>
      <w:tr w:rsidR="002909B6" w14:paraId="661D2AC1" w14:textId="77777777">
        <w:tblPrEx>
          <w:tblCellMar>
            <w:top w:w="0" w:type="dxa"/>
            <w:bottom w:w="0" w:type="dxa"/>
          </w:tblCellMar>
        </w:tblPrEx>
        <w:trPr>
          <w:cantSplit/>
          <w:tblHeader/>
        </w:trPr>
        <w:tc>
          <w:tcPr>
            <w:tcW w:w="0" w:type="auto"/>
            <w:shd w:val="clear" w:color="auto" w:fill="1B2A4A"/>
            <w:tcMar>
              <w:top w:w="100" w:type="dxa"/>
              <w:left w:w="140" w:type="dxa"/>
              <w:bottom w:w="100" w:type="dxa"/>
              <w:right w:w="140" w:type="dxa"/>
            </w:tcMar>
            <w:vAlign w:val="center"/>
          </w:tcPr>
          <w:p w14:paraId="6BFF4E03" w14:textId="77777777" w:rsidR="002909B6" w:rsidRDefault="00000000">
            <w:r>
              <w:rPr>
                <w:b/>
                <w:bCs/>
                <w:color w:val="FFFFFF"/>
                <w:sz w:val="21"/>
                <w:szCs w:val="21"/>
              </w:rPr>
              <w:t>Metric</w:t>
            </w:r>
          </w:p>
        </w:tc>
        <w:tc>
          <w:tcPr>
            <w:tcW w:w="0" w:type="auto"/>
            <w:shd w:val="clear" w:color="auto" w:fill="1B2A4A"/>
            <w:tcMar>
              <w:top w:w="100" w:type="dxa"/>
              <w:left w:w="140" w:type="dxa"/>
              <w:bottom w:w="100" w:type="dxa"/>
              <w:right w:w="140" w:type="dxa"/>
            </w:tcMar>
            <w:vAlign w:val="center"/>
          </w:tcPr>
          <w:p w14:paraId="3C60BC1B" w14:textId="77777777" w:rsidR="002909B6" w:rsidRDefault="00000000">
            <w:r>
              <w:rPr>
                <w:b/>
                <w:bCs/>
                <w:color w:val="FFFFFF"/>
                <w:sz w:val="21"/>
                <w:szCs w:val="21"/>
              </w:rPr>
              <w:t>Definition</w:t>
            </w:r>
          </w:p>
        </w:tc>
      </w:tr>
      <w:tr w:rsidR="002909B6" w14:paraId="27EE1131" w14:textId="77777777">
        <w:tblPrEx>
          <w:tblCellMar>
            <w:top w:w="0" w:type="dxa"/>
            <w:bottom w:w="0" w:type="dxa"/>
          </w:tblCellMar>
        </w:tblPrEx>
        <w:trPr>
          <w:cantSplit/>
        </w:trPr>
        <w:tc>
          <w:tcPr>
            <w:tcW w:w="2400" w:type="dxa"/>
            <w:shd w:val="clear" w:color="auto" w:fill="FFFFFF"/>
            <w:tcMar>
              <w:top w:w="100" w:type="dxa"/>
              <w:left w:w="140" w:type="dxa"/>
              <w:bottom w:w="100" w:type="dxa"/>
              <w:right w:w="140" w:type="dxa"/>
            </w:tcMar>
            <w:vAlign w:val="center"/>
          </w:tcPr>
          <w:p w14:paraId="07FE0AE1" w14:textId="77777777" w:rsidR="002909B6" w:rsidRDefault="00000000">
            <w:r>
              <w:rPr>
                <w:b/>
                <w:bCs/>
                <w:color w:val="1B2A4A"/>
                <w:sz w:val="21"/>
                <w:szCs w:val="21"/>
              </w:rPr>
              <w:t>Gross Sales</w:t>
            </w:r>
          </w:p>
        </w:tc>
        <w:tc>
          <w:tcPr>
            <w:tcW w:w="6400" w:type="dxa"/>
            <w:shd w:val="clear" w:color="auto" w:fill="FFFFFF"/>
            <w:tcMar>
              <w:top w:w="100" w:type="dxa"/>
              <w:left w:w="140" w:type="dxa"/>
              <w:bottom w:w="100" w:type="dxa"/>
              <w:right w:w="140" w:type="dxa"/>
            </w:tcMar>
            <w:vAlign w:val="center"/>
          </w:tcPr>
          <w:p w14:paraId="37F40845" w14:textId="77777777" w:rsidR="002909B6" w:rsidRDefault="00000000">
            <w:r>
              <w:rPr>
                <w:sz w:val="21"/>
                <w:szCs w:val="21"/>
              </w:rPr>
              <w:t>Total revenue generated before any discounts, returns, or deductions.</w:t>
            </w:r>
          </w:p>
        </w:tc>
      </w:tr>
      <w:tr w:rsidR="002909B6" w14:paraId="34CCB366" w14:textId="77777777">
        <w:tblPrEx>
          <w:tblCellMar>
            <w:top w:w="0" w:type="dxa"/>
            <w:bottom w:w="0" w:type="dxa"/>
          </w:tblCellMar>
        </w:tblPrEx>
        <w:trPr>
          <w:cantSplit/>
        </w:trPr>
        <w:tc>
          <w:tcPr>
            <w:tcW w:w="2400" w:type="dxa"/>
            <w:shd w:val="clear" w:color="auto" w:fill="F2F4F7"/>
            <w:tcMar>
              <w:top w:w="100" w:type="dxa"/>
              <w:left w:w="140" w:type="dxa"/>
              <w:bottom w:w="100" w:type="dxa"/>
              <w:right w:w="140" w:type="dxa"/>
            </w:tcMar>
            <w:vAlign w:val="center"/>
          </w:tcPr>
          <w:p w14:paraId="73163B45" w14:textId="77777777" w:rsidR="002909B6" w:rsidRDefault="00000000">
            <w:r>
              <w:rPr>
                <w:b/>
                <w:bCs/>
                <w:color w:val="1B2A4A"/>
                <w:sz w:val="21"/>
                <w:szCs w:val="21"/>
              </w:rPr>
              <w:t>Net Sales</w:t>
            </w:r>
          </w:p>
        </w:tc>
        <w:tc>
          <w:tcPr>
            <w:tcW w:w="6400" w:type="dxa"/>
            <w:shd w:val="clear" w:color="auto" w:fill="F2F4F7"/>
            <w:tcMar>
              <w:top w:w="100" w:type="dxa"/>
              <w:left w:w="140" w:type="dxa"/>
              <w:bottom w:w="100" w:type="dxa"/>
              <w:right w:w="140" w:type="dxa"/>
            </w:tcMar>
            <w:vAlign w:val="center"/>
          </w:tcPr>
          <w:p w14:paraId="36ECC84B" w14:textId="77777777" w:rsidR="002909B6" w:rsidRDefault="00000000">
            <w:r>
              <w:rPr>
                <w:sz w:val="21"/>
                <w:szCs w:val="21"/>
              </w:rPr>
              <w:t>Revenue after discounts and returns — a truer view of realized sales.</w:t>
            </w:r>
          </w:p>
        </w:tc>
      </w:tr>
      <w:tr w:rsidR="002909B6" w14:paraId="58174766" w14:textId="77777777">
        <w:tblPrEx>
          <w:tblCellMar>
            <w:top w:w="0" w:type="dxa"/>
            <w:bottom w:w="0" w:type="dxa"/>
          </w:tblCellMar>
        </w:tblPrEx>
        <w:trPr>
          <w:cantSplit/>
        </w:trPr>
        <w:tc>
          <w:tcPr>
            <w:tcW w:w="2400" w:type="dxa"/>
            <w:shd w:val="clear" w:color="auto" w:fill="FFFFFF"/>
            <w:tcMar>
              <w:top w:w="100" w:type="dxa"/>
              <w:left w:w="140" w:type="dxa"/>
              <w:bottom w:w="100" w:type="dxa"/>
              <w:right w:w="140" w:type="dxa"/>
            </w:tcMar>
            <w:vAlign w:val="center"/>
          </w:tcPr>
          <w:p w14:paraId="2C0B14D7" w14:textId="77777777" w:rsidR="002909B6" w:rsidRDefault="00000000">
            <w:r>
              <w:rPr>
                <w:b/>
                <w:bCs/>
                <w:color w:val="1B2A4A"/>
                <w:sz w:val="21"/>
                <w:szCs w:val="21"/>
              </w:rPr>
              <w:t>Profit</w:t>
            </w:r>
          </w:p>
        </w:tc>
        <w:tc>
          <w:tcPr>
            <w:tcW w:w="6400" w:type="dxa"/>
            <w:shd w:val="clear" w:color="auto" w:fill="FFFFFF"/>
            <w:tcMar>
              <w:top w:w="100" w:type="dxa"/>
              <w:left w:w="140" w:type="dxa"/>
              <w:bottom w:w="100" w:type="dxa"/>
              <w:right w:w="140" w:type="dxa"/>
            </w:tcMar>
            <w:vAlign w:val="center"/>
          </w:tcPr>
          <w:p w14:paraId="402B4C34" w14:textId="77777777" w:rsidR="002909B6" w:rsidRDefault="00000000">
            <w:r>
              <w:rPr>
                <w:sz w:val="21"/>
                <w:szCs w:val="21"/>
              </w:rPr>
              <w:t>What remains after costs are subtracted from sales; the dashboard's headline measure.</w:t>
            </w:r>
          </w:p>
        </w:tc>
      </w:tr>
      <w:tr w:rsidR="002909B6" w14:paraId="7CDC794C" w14:textId="77777777">
        <w:tblPrEx>
          <w:tblCellMar>
            <w:top w:w="0" w:type="dxa"/>
            <w:bottom w:w="0" w:type="dxa"/>
          </w:tblCellMar>
        </w:tblPrEx>
        <w:trPr>
          <w:cantSplit/>
        </w:trPr>
        <w:tc>
          <w:tcPr>
            <w:tcW w:w="2400" w:type="dxa"/>
            <w:shd w:val="clear" w:color="auto" w:fill="F2F4F7"/>
            <w:tcMar>
              <w:top w:w="100" w:type="dxa"/>
              <w:left w:w="140" w:type="dxa"/>
              <w:bottom w:w="100" w:type="dxa"/>
              <w:right w:w="140" w:type="dxa"/>
            </w:tcMar>
            <w:vAlign w:val="center"/>
          </w:tcPr>
          <w:p w14:paraId="101AEC19" w14:textId="77777777" w:rsidR="002909B6" w:rsidRDefault="00000000">
            <w:r>
              <w:rPr>
                <w:b/>
                <w:bCs/>
                <w:color w:val="1B2A4A"/>
                <w:sz w:val="21"/>
                <w:szCs w:val="21"/>
              </w:rPr>
              <w:t>Quantity</w:t>
            </w:r>
          </w:p>
        </w:tc>
        <w:tc>
          <w:tcPr>
            <w:tcW w:w="6400" w:type="dxa"/>
            <w:shd w:val="clear" w:color="auto" w:fill="F2F4F7"/>
            <w:tcMar>
              <w:top w:w="100" w:type="dxa"/>
              <w:left w:w="140" w:type="dxa"/>
              <w:bottom w:w="100" w:type="dxa"/>
              <w:right w:w="140" w:type="dxa"/>
            </w:tcMar>
            <w:vAlign w:val="center"/>
          </w:tcPr>
          <w:p w14:paraId="73E03EF7" w14:textId="77777777" w:rsidR="002909B6" w:rsidRDefault="00000000">
            <w:r>
              <w:rPr>
                <w:sz w:val="21"/>
                <w:szCs w:val="21"/>
              </w:rPr>
              <w:t>Total units sold across all order line items.</w:t>
            </w:r>
          </w:p>
        </w:tc>
      </w:tr>
    </w:tbl>
    <w:p w14:paraId="31264448" w14:textId="77777777" w:rsidR="002909B6" w:rsidRDefault="00000000">
      <w:pPr>
        <w:pStyle w:val="Heading1"/>
        <w:pBdr>
          <w:bottom w:val="single" w:sz="6" w:space="6" w:color="D7DCE3"/>
        </w:pBdr>
        <w:spacing w:before="380" w:after="200"/>
      </w:pPr>
      <w:r>
        <w:rPr>
          <w:rFonts w:ascii="Cambria" w:eastAsia="Cambria" w:hAnsi="Cambria" w:cs="Cambria"/>
          <w:b/>
          <w:bCs/>
          <w:color w:val="1B2A4A"/>
        </w:rPr>
        <w:t>5. Dashboard Overview</w:t>
      </w:r>
    </w:p>
    <w:p w14:paraId="241658BF" w14:textId="77777777" w:rsidR="002909B6" w:rsidRDefault="00000000">
      <w:pPr>
        <w:spacing w:after="160" w:line="300" w:lineRule="auto"/>
      </w:pPr>
      <w:r>
        <w:t>The report is a single, interactive page designed for at-a-glance monitoring rather than multi-tab navigation. Every visual on the page responds to the same country filter, so KPI cards and charts always stay in sync.</w:t>
      </w:r>
    </w:p>
    <w:p w14:paraId="73F83CF1" w14:textId="77777777" w:rsidR="00CC1DD0" w:rsidRDefault="00CC1DD0">
      <w:pPr>
        <w:spacing w:after="160" w:line="300" w:lineRule="auto"/>
      </w:pPr>
    </w:p>
    <w:p w14:paraId="5D5CD908" w14:textId="77777777" w:rsidR="00CC1DD0" w:rsidRDefault="00CC1DD0">
      <w:pPr>
        <w:spacing w:after="160" w:line="300" w:lineRule="auto"/>
      </w:pPr>
    </w:p>
    <w:p w14:paraId="462FCDAC" w14:textId="77777777" w:rsidR="00CC1DD0" w:rsidRDefault="00CC1DD0">
      <w:pPr>
        <w:spacing w:after="160" w:line="300" w:lineRule="auto"/>
      </w:pPr>
    </w:p>
    <w:p w14:paraId="08576205" w14:textId="77777777" w:rsidR="002909B6" w:rsidRDefault="00000000">
      <w:pPr>
        <w:pStyle w:val="Heading2"/>
        <w:spacing w:before="260" w:after="140"/>
      </w:pPr>
      <w:r>
        <w:rPr>
          <w:rFonts w:ascii="Cambria" w:eastAsia="Cambria" w:hAnsi="Cambria" w:cs="Cambria"/>
          <w:b/>
          <w:bCs/>
          <w:color w:val="1B2A4A"/>
          <w:sz w:val="25"/>
          <w:szCs w:val="25"/>
        </w:rPr>
        <w:lastRenderedPageBreak/>
        <w:t>5.1 Layout</w:t>
      </w:r>
    </w:p>
    <w:tbl>
      <w:tblPr>
        <w:tblW w:w="8800" w:type="dxa"/>
        <w:tblBorders>
          <w:top w:val="single" w:sz="4" w:space="0" w:color="D7DCE3"/>
          <w:left w:val="single" w:sz="4" w:space="0" w:color="D7DCE3"/>
          <w:bottom w:val="single" w:sz="4" w:space="0" w:color="D7DCE3"/>
          <w:right w:val="single" w:sz="4" w:space="0" w:color="D7DCE3"/>
          <w:insideH w:val="single" w:sz="4" w:space="0" w:color="D7DCE3"/>
          <w:insideV w:val="single" w:sz="4" w:space="0" w:color="D7DCE3"/>
        </w:tblBorders>
        <w:tblCellMar>
          <w:left w:w="10" w:type="dxa"/>
          <w:right w:w="10" w:type="dxa"/>
        </w:tblCellMar>
        <w:tblLook w:val="04A0" w:firstRow="1" w:lastRow="0" w:firstColumn="1" w:lastColumn="0" w:noHBand="0" w:noVBand="1"/>
      </w:tblPr>
      <w:tblGrid>
        <w:gridCol w:w="2200"/>
        <w:gridCol w:w="1800"/>
        <w:gridCol w:w="4800"/>
      </w:tblGrid>
      <w:tr w:rsidR="002909B6" w14:paraId="10FB4D25" w14:textId="77777777">
        <w:tblPrEx>
          <w:tblCellMar>
            <w:top w:w="0" w:type="dxa"/>
            <w:bottom w:w="0" w:type="dxa"/>
          </w:tblCellMar>
        </w:tblPrEx>
        <w:trPr>
          <w:cantSplit/>
          <w:tblHeader/>
        </w:trPr>
        <w:tc>
          <w:tcPr>
            <w:tcW w:w="2200" w:type="dxa"/>
            <w:shd w:val="clear" w:color="auto" w:fill="1B2A4A"/>
            <w:tcMar>
              <w:top w:w="100" w:type="dxa"/>
              <w:left w:w="140" w:type="dxa"/>
              <w:bottom w:w="100" w:type="dxa"/>
              <w:right w:w="140" w:type="dxa"/>
            </w:tcMar>
            <w:vAlign w:val="center"/>
          </w:tcPr>
          <w:p w14:paraId="1B5809FF" w14:textId="77777777" w:rsidR="002909B6" w:rsidRDefault="00000000">
            <w:r>
              <w:rPr>
                <w:b/>
                <w:bCs/>
                <w:color w:val="FFFFFF"/>
                <w:sz w:val="20"/>
                <w:szCs w:val="20"/>
              </w:rPr>
              <w:t>Dashboard Area</w:t>
            </w:r>
          </w:p>
        </w:tc>
        <w:tc>
          <w:tcPr>
            <w:tcW w:w="1800" w:type="dxa"/>
            <w:shd w:val="clear" w:color="auto" w:fill="1B2A4A"/>
            <w:tcMar>
              <w:top w:w="100" w:type="dxa"/>
              <w:left w:w="140" w:type="dxa"/>
              <w:bottom w:w="100" w:type="dxa"/>
              <w:right w:w="140" w:type="dxa"/>
            </w:tcMar>
            <w:vAlign w:val="center"/>
          </w:tcPr>
          <w:p w14:paraId="1B844D9C" w14:textId="77777777" w:rsidR="002909B6" w:rsidRDefault="00000000">
            <w:r>
              <w:rPr>
                <w:b/>
                <w:bCs/>
                <w:color w:val="FFFFFF"/>
                <w:sz w:val="20"/>
                <w:szCs w:val="20"/>
              </w:rPr>
              <w:t>Visual Type</w:t>
            </w:r>
          </w:p>
        </w:tc>
        <w:tc>
          <w:tcPr>
            <w:tcW w:w="4800" w:type="dxa"/>
            <w:shd w:val="clear" w:color="auto" w:fill="1B2A4A"/>
            <w:tcMar>
              <w:top w:w="100" w:type="dxa"/>
              <w:left w:w="140" w:type="dxa"/>
              <w:bottom w:w="100" w:type="dxa"/>
              <w:right w:w="140" w:type="dxa"/>
            </w:tcMar>
            <w:vAlign w:val="center"/>
          </w:tcPr>
          <w:p w14:paraId="3DA22892" w14:textId="77777777" w:rsidR="002909B6" w:rsidRDefault="00000000">
            <w:r>
              <w:rPr>
                <w:b/>
                <w:bCs/>
                <w:color w:val="FFFFFF"/>
                <w:sz w:val="20"/>
                <w:szCs w:val="20"/>
              </w:rPr>
              <w:t>Purpose</w:t>
            </w:r>
          </w:p>
        </w:tc>
      </w:tr>
      <w:tr w:rsidR="002909B6" w14:paraId="0611B105" w14:textId="77777777">
        <w:tblPrEx>
          <w:tblCellMar>
            <w:top w:w="0" w:type="dxa"/>
            <w:bottom w:w="0" w:type="dxa"/>
          </w:tblCellMar>
        </w:tblPrEx>
        <w:trPr>
          <w:cantSplit/>
        </w:trPr>
        <w:tc>
          <w:tcPr>
            <w:tcW w:w="2200" w:type="dxa"/>
            <w:shd w:val="clear" w:color="auto" w:fill="FFFFFF"/>
            <w:tcMar>
              <w:top w:w="100" w:type="dxa"/>
              <w:left w:w="140" w:type="dxa"/>
              <w:bottom w:w="100" w:type="dxa"/>
              <w:right w:w="140" w:type="dxa"/>
            </w:tcMar>
            <w:vAlign w:val="center"/>
          </w:tcPr>
          <w:p w14:paraId="13CB51B2" w14:textId="77777777" w:rsidR="002909B6" w:rsidRDefault="00000000">
            <w:r>
              <w:rPr>
                <w:b/>
                <w:bCs/>
                <w:color w:val="1B2A4A"/>
                <w:sz w:val="20"/>
                <w:szCs w:val="20"/>
              </w:rPr>
              <w:t>Title banner</w:t>
            </w:r>
          </w:p>
        </w:tc>
        <w:tc>
          <w:tcPr>
            <w:tcW w:w="1800" w:type="dxa"/>
            <w:shd w:val="clear" w:color="auto" w:fill="FFFFFF"/>
            <w:tcMar>
              <w:top w:w="100" w:type="dxa"/>
              <w:left w:w="140" w:type="dxa"/>
              <w:bottom w:w="100" w:type="dxa"/>
              <w:right w:w="140" w:type="dxa"/>
            </w:tcMar>
            <w:vAlign w:val="center"/>
          </w:tcPr>
          <w:p w14:paraId="7A09D78D" w14:textId="77777777" w:rsidR="002909B6" w:rsidRDefault="00000000">
            <w:r>
              <w:rPr>
                <w:sz w:val="20"/>
                <w:szCs w:val="20"/>
              </w:rPr>
              <w:t>Text box</w:t>
            </w:r>
          </w:p>
        </w:tc>
        <w:tc>
          <w:tcPr>
            <w:tcW w:w="4800" w:type="dxa"/>
            <w:shd w:val="clear" w:color="auto" w:fill="FFFFFF"/>
            <w:tcMar>
              <w:top w:w="100" w:type="dxa"/>
              <w:left w:w="140" w:type="dxa"/>
              <w:bottom w:w="100" w:type="dxa"/>
              <w:right w:w="140" w:type="dxa"/>
            </w:tcMar>
            <w:vAlign w:val="center"/>
          </w:tcPr>
          <w:p w14:paraId="669F3DC6" w14:textId="77777777" w:rsidR="002909B6" w:rsidRDefault="00000000">
            <w:r>
              <w:rPr>
                <w:sz w:val="20"/>
                <w:szCs w:val="20"/>
              </w:rPr>
              <w:t xml:space="preserve">Identifies the report as “E-commerce Sales Analytics” across the </w:t>
            </w:r>
            <w:proofErr w:type="gramStart"/>
            <w:r>
              <w:rPr>
                <w:sz w:val="20"/>
                <w:szCs w:val="20"/>
              </w:rPr>
              <w:t>full page</w:t>
            </w:r>
            <w:proofErr w:type="gramEnd"/>
            <w:r>
              <w:rPr>
                <w:sz w:val="20"/>
                <w:szCs w:val="20"/>
              </w:rPr>
              <w:t xml:space="preserve"> width.</w:t>
            </w:r>
          </w:p>
        </w:tc>
      </w:tr>
      <w:tr w:rsidR="002909B6" w14:paraId="2C115D79" w14:textId="77777777">
        <w:tblPrEx>
          <w:tblCellMar>
            <w:top w:w="0" w:type="dxa"/>
            <w:bottom w:w="0" w:type="dxa"/>
          </w:tblCellMar>
        </w:tblPrEx>
        <w:trPr>
          <w:cantSplit/>
        </w:trPr>
        <w:tc>
          <w:tcPr>
            <w:tcW w:w="2200" w:type="dxa"/>
            <w:shd w:val="clear" w:color="auto" w:fill="F2F4F7"/>
            <w:tcMar>
              <w:top w:w="100" w:type="dxa"/>
              <w:left w:w="140" w:type="dxa"/>
              <w:bottom w:w="100" w:type="dxa"/>
              <w:right w:w="140" w:type="dxa"/>
            </w:tcMar>
            <w:vAlign w:val="center"/>
          </w:tcPr>
          <w:p w14:paraId="6FC0C95B" w14:textId="77777777" w:rsidR="002909B6" w:rsidRDefault="00000000">
            <w:r>
              <w:rPr>
                <w:b/>
                <w:bCs/>
                <w:color w:val="1B2A4A"/>
                <w:sz w:val="20"/>
                <w:szCs w:val="20"/>
              </w:rPr>
              <w:t>Left panel</w:t>
            </w:r>
          </w:p>
        </w:tc>
        <w:tc>
          <w:tcPr>
            <w:tcW w:w="1800" w:type="dxa"/>
            <w:shd w:val="clear" w:color="auto" w:fill="F2F4F7"/>
            <w:tcMar>
              <w:top w:w="100" w:type="dxa"/>
              <w:left w:w="140" w:type="dxa"/>
              <w:bottom w:w="100" w:type="dxa"/>
              <w:right w:w="140" w:type="dxa"/>
            </w:tcMar>
            <w:vAlign w:val="center"/>
          </w:tcPr>
          <w:p w14:paraId="51F99F45" w14:textId="77777777" w:rsidR="002909B6" w:rsidRDefault="00000000">
            <w:r>
              <w:rPr>
                <w:sz w:val="20"/>
                <w:szCs w:val="20"/>
              </w:rPr>
              <w:t>Pie chart</w:t>
            </w:r>
          </w:p>
        </w:tc>
        <w:tc>
          <w:tcPr>
            <w:tcW w:w="4800" w:type="dxa"/>
            <w:shd w:val="clear" w:color="auto" w:fill="F2F4F7"/>
            <w:tcMar>
              <w:top w:w="100" w:type="dxa"/>
              <w:left w:w="140" w:type="dxa"/>
              <w:bottom w:w="100" w:type="dxa"/>
              <w:right w:w="140" w:type="dxa"/>
            </w:tcMar>
            <w:vAlign w:val="center"/>
          </w:tcPr>
          <w:p w14:paraId="705FF39A" w14:textId="77777777" w:rsidR="002909B6" w:rsidRDefault="00000000">
            <w:r>
              <w:rPr>
                <w:sz w:val="20"/>
                <w:szCs w:val="20"/>
              </w:rPr>
              <w:t>Shows profit share by customer country.</w:t>
            </w:r>
          </w:p>
        </w:tc>
      </w:tr>
      <w:tr w:rsidR="002909B6" w14:paraId="71FEB790" w14:textId="77777777">
        <w:tblPrEx>
          <w:tblCellMar>
            <w:top w:w="0" w:type="dxa"/>
            <w:bottom w:w="0" w:type="dxa"/>
          </w:tblCellMar>
        </w:tblPrEx>
        <w:trPr>
          <w:cantSplit/>
        </w:trPr>
        <w:tc>
          <w:tcPr>
            <w:tcW w:w="2200" w:type="dxa"/>
            <w:shd w:val="clear" w:color="auto" w:fill="FFFFFF"/>
            <w:tcMar>
              <w:top w:w="100" w:type="dxa"/>
              <w:left w:w="140" w:type="dxa"/>
              <w:bottom w:w="100" w:type="dxa"/>
              <w:right w:w="140" w:type="dxa"/>
            </w:tcMar>
            <w:vAlign w:val="center"/>
          </w:tcPr>
          <w:p w14:paraId="313BAE9E" w14:textId="77777777" w:rsidR="002909B6" w:rsidRDefault="00000000">
            <w:r>
              <w:rPr>
                <w:b/>
                <w:bCs/>
                <w:color w:val="1B2A4A"/>
                <w:sz w:val="20"/>
                <w:szCs w:val="20"/>
              </w:rPr>
              <w:t>Right panel</w:t>
            </w:r>
          </w:p>
        </w:tc>
        <w:tc>
          <w:tcPr>
            <w:tcW w:w="1800" w:type="dxa"/>
            <w:shd w:val="clear" w:color="auto" w:fill="FFFFFF"/>
            <w:tcMar>
              <w:top w:w="100" w:type="dxa"/>
              <w:left w:w="140" w:type="dxa"/>
              <w:bottom w:w="100" w:type="dxa"/>
              <w:right w:w="140" w:type="dxa"/>
            </w:tcMar>
            <w:vAlign w:val="center"/>
          </w:tcPr>
          <w:p w14:paraId="59A6BE0F" w14:textId="77777777" w:rsidR="002909B6" w:rsidRDefault="00000000">
            <w:r>
              <w:rPr>
                <w:sz w:val="20"/>
                <w:szCs w:val="20"/>
              </w:rPr>
              <w:t>Bar chart</w:t>
            </w:r>
          </w:p>
        </w:tc>
        <w:tc>
          <w:tcPr>
            <w:tcW w:w="4800" w:type="dxa"/>
            <w:shd w:val="clear" w:color="auto" w:fill="FFFFFF"/>
            <w:tcMar>
              <w:top w:w="100" w:type="dxa"/>
              <w:left w:w="140" w:type="dxa"/>
              <w:bottom w:w="100" w:type="dxa"/>
              <w:right w:w="140" w:type="dxa"/>
            </w:tcMar>
            <w:vAlign w:val="center"/>
          </w:tcPr>
          <w:p w14:paraId="6CD63D68" w14:textId="77777777" w:rsidR="002909B6" w:rsidRDefault="00000000">
            <w:r>
              <w:rPr>
                <w:sz w:val="20"/>
                <w:szCs w:val="20"/>
              </w:rPr>
              <w:t>Ranks profit by product category.</w:t>
            </w:r>
          </w:p>
        </w:tc>
      </w:tr>
      <w:tr w:rsidR="002909B6" w14:paraId="0BB8BECC" w14:textId="77777777">
        <w:tblPrEx>
          <w:tblCellMar>
            <w:top w:w="0" w:type="dxa"/>
            <w:bottom w:w="0" w:type="dxa"/>
          </w:tblCellMar>
        </w:tblPrEx>
        <w:trPr>
          <w:cantSplit/>
        </w:trPr>
        <w:tc>
          <w:tcPr>
            <w:tcW w:w="2200" w:type="dxa"/>
            <w:shd w:val="clear" w:color="auto" w:fill="F2F4F7"/>
            <w:tcMar>
              <w:top w:w="100" w:type="dxa"/>
              <w:left w:w="140" w:type="dxa"/>
              <w:bottom w:w="100" w:type="dxa"/>
              <w:right w:w="140" w:type="dxa"/>
            </w:tcMar>
            <w:vAlign w:val="center"/>
          </w:tcPr>
          <w:p w14:paraId="53D50805" w14:textId="77777777" w:rsidR="002909B6" w:rsidRDefault="00000000">
            <w:r>
              <w:rPr>
                <w:b/>
                <w:bCs/>
                <w:color w:val="1B2A4A"/>
                <w:sz w:val="20"/>
                <w:szCs w:val="20"/>
              </w:rPr>
              <w:t>Bottom-left strip</w:t>
            </w:r>
          </w:p>
        </w:tc>
        <w:tc>
          <w:tcPr>
            <w:tcW w:w="1800" w:type="dxa"/>
            <w:shd w:val="clear" w:color="auto" w:fill="F2F4F7"/>
            <w:tcMar>
              <w:top w:w="100" w:type="dxa"/>
              <w:left w:w="140" w:type="dxa"/>
              <w:bottom w:w="100" w:type="dxa"/>
              <w:right w:w="140" w:type="dxa"/>
            </w:tcMar>
            <w:vAlign w:val="center"/>
          </w:tcPr>
          <w:p w14:paraId="2EA199A2" w14:textId="77777777" w:rsidR="002909B6" w:rsidRDefault="00000000">
            <w:r>
              <w:rPr>
                <w:sz w:val="20"/>
                <w:szCs w:val="20"/>
              </w:rPr>
              <w:t>KPI cards</w:t>
            </w:r>
          </w:p>
        </w:tc>
        <w:tc>
          <w:tcPr>
            <w:tcW w:w="4800" w:type="dxa"/>
            <w:shd w:val="clear" w:color="auto" w:fill="F2F4F7"/>
            <w:tcMar>
              <w:top w:w="100" w:type="dxa"/>
              <w:left w:w="140" w:type="dxa"/>
              <w:bottom w:w="100" w:type="dxa"/>
              <w:right w:w="140" w:type="dxa"/>
            </w:tcMar>
            <w:vAlign w:val="center"/>
          </w:tcPr>
          <w:p w14:paraId="088FB253" w14:textId="77777777" w:rsidR="002909B6" w:rsidRDefault="00000000">
            <w:r>
              <w:rPr>
                <w:sz w:val="20"/>
                <w:szCs w:val="20"/>
              </w:rPr>
              <w:t>Surfaces total Profit, Quantity, Net Sales, and Gross Sales.</w:t>
            </w:r>
          </w:p>
        </w:tc>
      </w:tr>
      <w:tr w:rsidR="002909B6" w14:paraId="09296315" w14:textId="77777777">
        <w:tblPrEx>
          <w:tblCellMar>
            <w:top w:w="0" w:type="dxa"/>
            <w:bottom w:w="0" w:type="dxa"/>
          </w:tblCellMar>
        </w:tblPrEx>
        <w:trPr>
          <w:cantSplit/>
        </w:trPr>
        <w:tc>
          <w:tcPr>
            <w:tcW w:w="2200" w:type="dxa"/>
            <w:shd w:val="clear" w:color="auto" w:fill="FFFFFF"/>
            <w:tcMar>
              <w:top w:w="100" w:type="dxa"/>
              <w:left w:w="140" w:type="dxa"/>
              <w:bottom w:w="100" w:type="dxa"/>
              <w:right w:w="140" w:type="dxa"/>
            </w:tcMar>
            <w:vAlign w:val="center"/>
          </w:tcPr>
          <w:p w14:paraId="497C44C4" w14:textId="77777777" w:rsidR="002909B6" w:rsidRDefault="00000000">
            <w:r>
              <w:rPr>
                <w:b/>
                <w:bCs/>
                <w:color w:val="1B2A4A"/>
                <w:sz w:val="20"/>
                <w:szCs w:val="20"/>
              </w:rPr>
              <w:t>Bottom-right strip</w:t>
            </w:r>
          </w:p>
        </w:tc>
        <w:tc>
          <w:tcPr>
            <w:tcW w:w="1800" w:type="dxa"/>
            <w:shd w:val="clear" w:color="auto" w:fill="FFFFFF"/>
            <w:tcMar>
              <w:top w:w="100" w:type="dxa"/>
              <w:left w:w="140" w:type="dxa"/>
              <w:bottom w:w="100" w:type="dxa"/>
              <w:right w:w="140" w:type="dxa"/>
            </w:tcMar>
            <w:vAlign w:val="center"/>
          </w:tcPr>
          <w:p w14:paraId="3F66F6EF" w14:textId="77777777" w:rsidR="002909B6" w:rsidRDefault="00000000">
            <w:r>
              <w:rPr>
                <w:sz w:val="20"/>
                <w:szCs w:val="20"/>
              </w:rPr>
              <w:t>Slicer</w:t>
            </w:r>
          </w:p>
        </w:tc>
        <w:tc>
          <w:tcPr>
            <w:tcW w:w="4800" w:type="dxa"/>
            <w:shd w:val="clear" w:color="auto" w:fill="FFFFFF"/>
            <w:tcMar>
              <w:top w:w="100" w:type="dxa"/>
              <w:left w:w="140" w:type="dxa"/>
              <w:bottom w:w="100" w:type="dxa"/>
              <w:right w:w="140" w:type="dxa"/>
            </w:tcMar>
            <w:vAlign w:val="center"/>
          </w:tcPr>
          <w:p w14:paraId="6C1BFF98" w14:textId="77777777" w:rsidR="002909B6" w:rsidRDefault="00000000">
            <w:proofErr w:type="spellStart"/>
            <w:proofErr w:type="gramStart"/>
            <w:r>
              <w:rPr>
                <w:sz w:val="20"/>
                <w:szCs w:val="20"/>
              </w:rPr>
              <w:t>Lets</w:t>
            </w:r>
            <w:proofErr w:type="spellEnd"/>
            <w:proofErr w:type="gramEnd"/>
            <w:r>
              <w:rPr>
                <w:sz w:val="20"/>
                <w:szCs w:val="20"/>
              </w:rPr>
              <w:t xml:space="preserve"> the viewer filter the whole page by country.</w:t>
            </w:r>
          </w:p>
        </w:tc>
      </w:tr>
    </w:tbl>
    <w:p w14:paraId="13CACFA8" w14:textId="77777777" w:rsidR="002909B6" w:rsidRDefault="00000000">
      <w:pPr>
        <w:pStyle w:val="Heading2"/>
        <w:spacing w:before="260" w:after="140"/>
      </w:pPr>
      <w:r>
        <w:rPr>
          <w:rFonts w:ascii="Cambria" w:eastAsia="Cambria" w:hAnsi="Cambria" w:cs="Cambria"/>
          <w:b/>
          <w:bCs/>
          <w:color w:val="1B2A4A"/>
          <w:sz w:val="25"/>
          <w:szCs w:val="25"/>
        </w:rPr>
        <w:t>5.2 Design Principles</w:t>
      </w:r>
    </w:p>
    <w:p w14:paraId="668D2E41" w14:textId="77777777" w:rsidR="002909B6" w:rsidRDefault="00000000">
      <w:pPr>
        <w:pStyle w:val="ListParagraph"/>
        <w:numPr>
          <w:ilvl w:val="0"/>
          <w:numId w:val="2"/>
        </w:numPr>
        <w:spacing w:after="100" w:line="290" w:lineRule="auto"/>
      </w:pPr>
      <w:r>
        <w:t>One page, built for quick scanning — no tabs to click through.</w:t>
      </w:r>
    </w:p>
    <w:p w14:paraId="513465BA" w14:textId="77777777" w:rsidR="002909B6" w:rsidRDefault="00000000">
      <w:pPr>
        <w:pStyle w:val="ListParagraph"/>
        <w:numPr>
          <w:ilvl w:val="0"/>
          <w:numId w:val="2"/>
        </w:numPr>
        <w:spacing w:after="100" w:line="290" w:lineRule="auto"/>
      </w:pPr>
      <w:r>
        <w:t>KPI cards surface totals first, before any chart is read.</w:t>
      </w:r>
    </w:p>
    <w:p w14:paraId="622F82E9" w14:textId="77777777" w:rsidR="002909B6" w:rsidRDefault="00000000">
      <w:pPr>
        <w:pStyle w:val="ListParagraph"/>
        <w:numPr>
          <w:ilvl w:val="0"/>
          <w:numId w:val="2"/>
        </w:numPr>
        <w:spacing w:after="100" w:line="290" w:lineRule="auto"/>
      </w:pPr>
      <w:r>
        <w:t>Two charts break performance down by geography and by category.</w:t>
      </w:r>
    </w:p>
    <w:p w14:paraId="53BE0587" w14:textId="77777777" w:rsidR="002909B6" w:rsidRDefault="00000000">
      <w:pPr>
        <w:pStyle w:val="ListParagraph"/>
        <w:numPr>
          <w:ilvl w:val="0"/>
          <w:numId w:val="2"/>
        </w:numPr>
        <w:spacing w:after="100" w:line="290" w:lineRule="auto"/>
      </w:pPr>
      <w:r>
        <w:t>A single country slicer filters every visual on the page at once.</w:t>
      </w:r>
    </w:p>
    <w:p w14:paraId="335ABFBD" w14:textId="77777777" w:rsidR="00CC1DD0" w:rsidRDefault="00CC1DD0" w:rsidP="00CC1DD0">
      <w:pPr>
        <w:spacing w:after="100" w:line="290" w:lineRule="auto"/>
      </w:pPr>
    </w:p>
    <w:p w14:paraId="792E1678" w14:textId="77777777" w:rsidR="00CC1DD0" w:rsidRDefault="00CC1DD0" w:rsidP="00CC1DD0">
      <w:pPr>
        <w:spacing w:after="100" w:line="290" w:lineRule="auto"/>
      </w:pPr>
    </w:p>
    <w:p w14:paraId="2316448D" w14:textId="77777777" w:rsidR="00CC1DD0" w:rsidRDefault="00CC1DD0" w:rsidP="00CC1DD0">
      <w:pPr>
        <w:spacing w:after="100" w:line="290" w:lineRule="auto"/>
      </w:pPr>
    </w:p>
    <w:p w14:paraId="38FFDA01" w14:textId="77777777" w:rsidR="00CC1DD0" w:rsidRDefault="00CC1DD0" w:rsidP="00CC1DD0">
      <w:pPr>
        <w:spacing w:after="100" w:line="290" w:lineRule="auto"/>
      </w:pPr>
    </w:p>
    <w:p w14:paraId="26EF8E95" w14:textId="77777777" w:rsidR="00CC1DD0" w:rsidRDefault="00CC1DD0" w:rsidP="00CC1DD0">
      <w:pPr>
        <w:spacing w:after="100" w:line="290" w:lineRule="auto"/>
      </w:pPr>
    </w:p>
    <w:p w14:paraId="0D8E6A0C" w14:textId="77777777" w:rsidR="00CC1DD0" w:rsidRDefault="00CC1DD0" w:rsidP="00CC1DD0">
      <w:pPr>
        <w:spacing w:after="100" w:line="290" w:lineRule="auto"/>
      </w:pPr>
    </w:p>
    <w:p w14:paraId="773B6AF1" w14:textId="77777777" w:rsidR="00CC1DD0" w:rsidRDefault="00CC1DD0" w:rsidP="00CC1DD0">
      <w:pPr>
        <w:spacing w:after="100" w:line="290" w:lineRule="auto"/>
      </w:pPr>
    </w:p>
    <w:p w14:paraId="581D7683" w14:textId="77777777" w:rsidR="00CC1DD0" w:rsidRDefault="00CC1DD0" w:rsidP="00CC1DD0">
      <w:pPr>
        <w:spacing w:after="100" w:line="290" w:lineRule="auto"/>
      </w:pPr>
    </w:p>
    <w:p w14:paraId="44BB9C7B" w14:textId="77777777" w:rsidR="00CC1DD0" w:rsidRDefault="00CC1DD0" w:rsidP="00CC1DD0">
      <w:pPr>
        <w:spacing w:after="100" w:line="290" w:lineRule="auto"/>
      </w:pPr>
    </w:p>
    <w:p w14:paraId="7962366F" w14:textId="77777777" w:rsidR="00CC1DD0" w:rsidRDefault="00CC1DD0" w:rsidP="00CC1DD0">
      <w:pPr>
        <w:spacing w:after="100" w:line="290" w:lineRule="auto"/>
      </w:pPr>
    </w:p>
    <w:p w14:paraId="71BAF184" w14:textId="77777777" w:rsidR="00CC1DD0" w:rsidRDefault="00CC1DD0" w:rsidP="00CC1DD0">
      <w:pPr>
        <w:spacing w:after="100" w:line="290" w:lineRule="auto"/>
      </w:pPr>
    </w:p>
    <w:p w14:paraId="708566B0" w14:textId="77777777" w:rsidR="00CC1DD0" w:rsidRDefault="00CC1DD0" w:rsidP="00CC1DD0">
      <w:pPr>
        <w:spacing w:after="100" w:line="290" w:lineRule="auto"/>
      </w:pPr>
    </w:p>
    <w:p w14:paraId="401B47DB" w14:textId="77777777" w:rsidR="00CC1DD0" w:rsidRDefault="00CC1DD0" w:rsidP="00CC1DD0">
      <w:pPr>
        <w:spacing w:after="100" w:line="290" w:lineRule="auto"/>
      </w:pPr>
    </w:p>
    <w:p w14:paraId="34D98DFE" w14:textId="77777777" w:rsidR="00CC1DD0" w:rsidRDefault="00CC1DD0" w:rsidP="00CC1DD0">
      <w:pPr>
        <w:spacing w:after="100" w:line="290" w:lineRule="auto"/>
      </w:pPr>
    </w:p>
    <w:p w14:paraId="5AA21C4B" w14:textId="77777777" w:rsidR="00CC1DD0" w:rsidRDefault="00CC1DD0" w:rsidP="00CC1DD0">
      <w:pPr>
        <w:spacing w:after="100" w:line="290" w:lineRule="auto"/>
      </w:pPr>
    </w:p>
    <w:p w14:paraId="41A47ADF" w14:textId="77777777" w:rsidR="00CC1DD0" w:rsidRDefault="00CC1DD0" w:rsidP="00CC1DD0">
      <w:pPr>
        <w:spacing w:after="100" w:line="290" w:lineRule="auto"/>
      </w:pPr>
    </w:p>
    <w:p w14:paraId="581EB14C" w14:textId="77777777" w:rsidR="00CC1DD0" w:rsidRDefault="00CC1DD0" w:rsidP="00CC1DD0">
      <w:pPr>
        <w:spacing w:after="100" w:line="290" w:lineRule="auto"/>
      </w:pPr>
    </w:p>
    <w:p w14:paraId="3BE6E090" w14:textId="77777777" w:rsidR="002909B6" w:rsidRDefault="00000000">
      <w:pPr>
        <w:pStyle w:val="Heading1"/>
        <w:pBdr>
          <w:bottom w:val="single" w:sz="6" w:space="6" w:color="D7DCE3"/>
        </w:pBdr>
        <w:spacing w:before="380" w:after="200"/>
      </w:pPr>
      <w:r>
        <w:rPr>
          <w:rFonts w:ascii="Cambria" w:eastAsia="Cambria" w:hAnsi="Cambria" w:cs="Cambria"/>
          <w:b/>
          <w:bCs/>
          <w:color w:val="1B2A4A"/>
        </w:rPr>
        <w:lastRenderedPageBreak/>
        <w:t>6. Visual Deep-Dive: Profit by Country</w:t>
      </w:r>
    </w:p>
    <w:p w14:paraId="2341C9F5" w14:textId="77777777" w:rsidR="002909B6" w:rsidRDefault="00000000">
      <w:pPr>
        <w:spacing w:after="160" w:line="300" w:lineRule="auto"/>
      </w:pPr>
      <w:r>
        <w:rPr>
          <w:b/>
          <w:bCs/>
          <w:color w:val="1B2A4A"/>
        </w:rPr>
        <w:t>Visual types: Pie Chart + Country Slicer</w:t>
      </w:r>
    </w:p>
    <w:p w14:paraId="2DED8715" w14:textId="77777777" w:rsidR="002909B6" w:rsidRDefault="00000000">
      <w:pPr>
        <w:spacing w:after="160" w:line="300" w:lineRule="auto"/>
      </w:pPr>
      <w:r>
        <w:t xml:space="preserve">The pie chart splits total profit by </w:t>
      </w:r>
      <w:proofErr w:type="spellStart"/>
      <w:r>
        <w:t>customer_country</w:t>
      </w:r>
      <w:proofErr w:type="spellEnd"/>
      <w:r>
        <w:t xml:space="preserve">, with each slice </w:t>
      </w:r>
      <w:proofErr w:type="spellStart"/>
      <w:r>
        <w:t>labeled</w:t>
      </w:r>
      <w:proofErr w:type="spellEnd"/>
      <w:r>
        <w:t xml:space="preserve"> by its percent of the whole — an immediate read on which markets contribute the most profit.</w:t>
      </w:r>
    </w:p>
    <w:p w14:paraId="0C640A9F" w14:textId="77777777" w:rsidR="002909B6" w:rsidRDefault="00000000">
      <w:pPr>
        <w:spacing w:after="160" w:line="300" w:lineRule="auto"/>
      </w:pPr>
      <w:r>
        <w:t>The country slicer beside it lets a viewer click one or more countries and instantly filter every other visual on the page — the pie chart, the bar chart, and the KPI cards — to that selection.</w:t>
      </w:r>
    </w:p>
    <w:p w14:paraId="0AD6CCF1" w14:textId="31C3A7D1" w:rsidR="00CC1DD0" w:rsidRDefault="00CC1DD0">
      <w:pPr>
        <w:spacing w:after="160" w:line="300" w:lineRule="auto"/>
      </w:pPr>
      <w:r w:rsidRPr="00CC1DD0">
        <w:drawing>
          <wp:inline distT="0" distB="0" distL="0" distR="0" wp14:anchorId="3A09C2FC" wp14:editId="238A1105">
            <wp:extent cx="5108851" cy="3001221"/>
            <wp:effectExtent l="0" t="0" r="0" b="8890"/>
            <wp:docPr id="16" name="Picture 15">
              <a:extLst xmlns:a="http://schemas.openxmlformats.org/drawingml/2006/main">
                <a:ext uri="{FF2B5EF4-FFF2-40B4-BE49-F238E27FC236}">
                  <a16:creationId xmlns:a16="http://schemas.microsoft.com/office/drawing/2014/main" id="{3FC11B3A-64F5-685C-DD0C-A2BD5FD5D7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3FC11B3A-64F5-685C-DD0C-A2BD5FD5D70E}"/>
                        </a:ext>
                      </a:extLst>
                    </pic:cNvPr>
                    <pic:cNvPicPr>
                      <a:picLocks noChangeAspect="1"/>
                    </pic:cNvPicPr>
                  </pic:nvPicPr>
                  <pic:blipFill>
                    <a:blip r:embed="rId7"/>
                    <a:stretch>
                      <a:fillRect/>
                    </a:stretch>
                  </pic:blipFill>
                  <pic:spPr>
                    <a:xfrm>
                      <a:off x="0" y="0"/>
                      <a:ext cx="5108851" cy="3001221"/>
                    </a:xfrm>
                    <a:prstGeom prst="rect">
                      <a:avLst/>
                    </a:prstGeom>
                  </pic:spPr>
                </pic:pic>
              </a:graphicData>
            </a:graphic>
          </wp:inline>
        </w:drawing>
      </w:r>
    </w:p>
    <w:p w14:paraId="0EE5B8D2" w14:textId="72090E12" w:rsidR="00CC1DD0" w:rsidRDefault="00CC1DD0">
      <w:pPr>
        <w:spacing w:after="160" w:line="300" w:lineRule="auto"/>
      </w:pPr>
      <w:r w:rsidRPr="00CC1DD0">
        <w:drawing>
          <wp:inline distT="0" distB="0" distL="0" distR="0" wp14:anchorId="606DB136" wp14:editId="6B345B60">
            <wp:extent cx="2844424" cy="2421799"/>
            <wp:effectExtent l="0" t="0" r="0" b="0"/>
            <wp:docPr id="18" name="Picture 17">
              <a:extLst xmlns:a="http://schemas.openxmlformats.org/drawingml/2006/main">
                <a:ext uri="{FF2B5EF4-FFF2-40B4-BE49-F238E27FC236}">
                  <a16:creationId xmlns:a16="http://schemas.microsoft.com/office/drawing/2014/main" id="{A23BA52E-D2BD-BDD6-17D6-F8CBF528D5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A23BA52E-D2BD-BDD6-17D6-F8CBF528D59D}"/>
                        </a:ext>
                      </a:extLst>
                    </pic:cNvPr>
                    <pic:cNvPicPr>
                      <a:picLocks noChangeAspect="1"/>
                    </pic:cNvPicPr>
                  </pic:nvPicPr>
                  <pic:blipFill>
                    <a:blip r:embed="rId8"/>
                    <a:stretch>
                      <a:fillRect/>
                    </a:stretch>
                  </pic:blipFill>
                  <pic:spPr>
                    <a:xfrm>
                      <a:off x="0" y="0"/>
                      <a:ext cx="2844424" cy="2421799"/>
                    </a:xfrm>
                    <a:prstGeom prst="rect">
                      <a:avLst/>
                    </a:prstGeom>
                  </pic:spPr>
                </pic:pic>
              </a:graphicData>
            </a:graphic>
          </wp:inline>
        </w:drawing>
      </w:r>
    </w:p>
    <w:tbl>
      <w:tblPr>
        <w:tblW w:w="5000" w:type="pct"/>
        <w:tblBorders>
          <w:top w:val="single" w:sz="4" w:space="0" w:color="D7DCE3"/>
          <w:left w:val="single" w:sz="24" w:space="0" w:color="FF6B5B"/>
          <w:bottom w:val="single" w:sz="4" w:space="0" w:color="D7DCE3"/>
          <w:right w:val="single" w:sz="4" w:space="0" w:color="D7DC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5"/>
      </w:tblGrid>
      <w:tr w:rsidR="002909B6" w14:paraId="03CFD06E" w14:textId="77777777">
        <w:tblPrEx>
          <w:tblCellMar>
            <w:top w:w="0" w:type="dxa"/>
            <w:bottom w:w="0" w:type="dxa"/>
          </w:tblCellMar>
        </w:tblPrEx>
        <w:trPr>
          <w:cantSplit/>
        </w:trPr>
        <w:tc>
          <w:tcPr>
            <w:tcW w:w="0" w:type="auto"/>
            <w:shd w:val="clear" w:color="auto" w:fill="F2F4F7"/>
            <w:tcMar>
              <w:top w:w="160" w:type="dxa"/>
              <w:left w:w="220" w:type="dxa"/>
              <w:bottom w:w="160" w:type="dxa"/>
              <w:right w:w="220" w:type="dxa"/>
            </w:tcMar>
          </w:tcPr>
          <w:p w14:paraId="74F82F01" w14:textId="77777777" w:rsidR="002909B6" w:rsidRDefault="00000000">
            <w:pPr>
              <w:spacing w:after="60"/>
            </w:pPr>
            <w:r>
              <w:rPr>
                <w:b/>
                <w:bCs/>
                <w:color w:val="1B2A4A"/>
                <w:sz w:val="21"/>
                <w:szCs w:val="21"/>
              </w:rPr>
              <w:t>Why it matters</w:t>
            </w:r>
          </w:p>
          <w:p w14:paraId="703030DF" w14:textId="77777777" w:rsidR="002909B6" w:rsidRDefault="00000000">
            <w:pPr>
              <w:spacing w:line="280" w:lineRule="auto"/>
            </w:pPr>
            <w:r>
              <w:rPr>
                <w:i/>
                <w:iCs/>
                <w:color w:val="5B6472"/>
                <w:sz w:val="21"/>
                <w:szCs w:val="21"/>
              </w:rPr>
              <w:t>Regional profit concentration is often uneven. This pairing lets a reviewer isolate a single country and see its full performance story on the same page.</w:t>
            </w:r>
          </w:p>
        </w:tc>
      </w:tr>
    </w:tbl>
    <w:p w14:paraId="567BB159" w14:textId="77777777" w:rsidR="002909B6" w:rsidRDefault="00000000">
      <w:pPr>
        <w:pStyle w:val="Heading1"/>
        <w:pBdr>
          <w:bottom w:val="single" w:sz="6" w:space="6" w:color="D7DCE3"/>
        </w:pBdr>
        <w:spacing w:before="380" w:after="200"/>
      </w:pPr>
      <w:r>
        <w:rPr>
          <w:rFonts w:ascii="Cambria" w:eastAsia="Cambria" w:hAnsi="Cambria" w:cs="Cambria"/>
          <w:b/>
          <w:bCs/>
          <w:color w:val="1B2A4A"/>
        </w:rPr>
        <w:lastRenderedPageBreak/>
        <w:t>7. Visual Deep-Dive: Profit by Product Category</w:t>
      </w:r>
    </w:p>
    <w:p w14:paraId="624F95AC" w14:textId="77777777" w:rsidR="002909B6" w:rsidRDefault="00000000">
      <w:pPr>
        <w:spacing w:after="160" w:line="300" w:lineRule="auto"/>
      </w:pPr>
      <w:r>
        <w:rPr>
          <w:b/>
          <w:bCs/>
          <w:color w:val="1B2A4A"/>
        </w:rPr>
        <w:t>Visual types: Bar Chart + KPI Summary Cards</w:t>
      </w:r>
    </w:p>
    <w:p w14:paraId="222DC85E" w14:textId="77777777" w:rsidR="002909B6" w:rsidRDefault="00000000">
      <w:pPr>
        <w:spacing w:after="160" w:line="300" w:lineRule="auto"/>
      </w:pPr>
      <w:r>
        <w:t xml:space="preserve">The bar chart ranks every </w:t>
      </w:r>
      <w:proofErr w:type="spellStart"/>
      <w:r>
        <w:t>product_category</w:t>
      </w:r>
      <w:proofErr w:type="spellEnd"/>
      <w:r>
        <w:t xml:space="preserve"> by total profit, sorted highest to lowest — making it easy to spot which categories drive the business and which </w:t>
      </w:r>
      <w:proofErr w:type="gramStart"/>
      <w:r>
        <w:t>lag behind</w:t>
      </w:r>
      <w:proofErr w:type="gramEnd"/>
      <w:r>
        <w:t>.</w:t>
      </w:r>
    </w:p>
    <w:p w14:paraId="516C92AB" w14:textId="77777777" w:rsidR="002909B6" w:rsidRDefault="00000000">
      <w:pPr>
        <w:spacing w:after="160" w:line="300" w:lineRule="auto"/>
      </w:pPr>
      <w:r>
        <w:t>Four KPI cards along the bottom surface the headline totals — Profit, Quantity, Net Sales, and Gross Sales — so the top-line numbers are visible before drilling into any chart.</w:t>
      </w:r>
    </w:p>
    <w:p w14:paraId="45F927D1" w14:textId="6A6A5F94" w:rsidR="00CC1DD0" w:rsidRDefault="00CC1DD0">
      <w:pPr>
        <w:spacing w:after="160" w:line="300" w:lineRule="auto"/>
      </w:pPr>
      <w:r w:rsidRPr="00CC1DD0">
        <w:drawing>
          <wp:inline distT="0" distB="0" distL="0" distR="0" wp14:anchorId="0DE1B2D8" wp14:editId="2696C889">
            <wp:extent cx="5834332" cy="2487168"/>
            <wp:effectExtent l="0" t="0" r="0" b="8890"/>
            <wp:docPr id="2141004240" name="Picture 15">
              <a:extLst xmlns:a="http://schemas.openxmlformats.org/drawingml/2006/main">
                <a:ext uri="{FF2B5EF4-FFF2-40B4-BE49-F238E27FC236}">
                  <a16:creationId xmlns:a16="http://schemas.microsoft.com/office/drawing/2014/main" id="{EBD72BE6-7947-99B8-6F3F-BED7D1397C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EBD72BE6-7947-99B8-6F3F-BED7D1397CD7}"/>
                        </a:ext>
                      </a:extLst>
                    </pic:cNvPr>
                    <pic:cNvPicPr>
                      <a:picLocks noChangeAspect="1"/>
                    </pic:cNvPicPr>
                  </pic:nvPicPr>
                  <pic:blipFill>
                    <a:blip r:embed="rId9"/>
                    <a:stretch>
                      <a:fillRect/>
                    </a:stretch>
                  </pic:blipFill>
                  <pic:spPr>
                    <a:xfrm>
                      <a:off x="0" y="0"/>
                      <a:ext cx="5834332" cy="2487168"/>
                    </a:xfrm>
                    <a:prstGeom prst="rect">
                      <a:avLst/>
                    </a:prstGeom>
                  </pic:spPr>
                </pic:pic>
              </a:graphicData>
            </a:graphic>
          </wp:inline>
        </w:drawing>
      </w:r>
    </w:p>
    <w:p w14:paraId="311DC2A6" w14:textId="12851F01" w:rsidR="00CC1DD0" w:rsidRDefault="00CC1DD0">
      <w:pPr>
        <w:spacing w:after="160" w:line="300" w:lineRule="auto"/>
      </w:pPr>
      <w:r w:rsidRPr="00CC1DD0">
        <w:drawing>
          <wp:inline distT="0" distB="0" distL="0" distR="0" wp14:anchorId="18033737" wp14:editId="4E6A0841">
            <wp:extent cx="5834332" cy="1673353"/>
            <wp:effectExtent l="0" t="0" r="0" b="3175"/>
            <wp:docPr id="438406805" name="Picture 17">
              <a:extLst xmlns:a="http://schemas.openxmlformats.org/drawingml/2006/main">
                <a:ext uri="{FF2B5EF4-FFF2-40B4-BE49-F238E27FC236}">
                  <a16:creationId xmlns:a16="http://schemas.microsoft.com/office/drawing/2014/main" id="{5FA0369C-95FC-399E-5BF8-46A171D5C7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5FA0369C-95FC-399E-5BF8-46A171D5C7AF}"/>
                        </a:ext>
                      </a:extLst>
                    </pic:cNvPr>
                    <pic:cNvPicPr>
                      <a:picLocks noChangeAspect="1"/>
                    </pic:cNvPicPr>
                  </pic:nvPicPr>
                  <pic:blipFill>
                    <a:blip r:embed="rId10"/>
                    <a:stretch>
                      <a:fillRect/>
                    </a:stretch>
                  </pic:blipFill>
                  <pic:spPr>
                    <a:xfrm>
                      <a:off x="0" y="0"/>
                      <a:ext cx="5834332" cy="1673353"/>
                    </a:xfrm>
                    <a:prstGeom prst="rect">
                      <a:avLst/>
                    </a:prstGeom>
                  </pic:spPr>
                </pic:pic>
              </a:graphicData>
            </a:graphic>
          </wp:inline>
        </w:drawing>
      </w:r>
    </w:p>
    <w:tbl>
      <w:tblPr>
        <w:tblW w:w="5000" w:type="pct"/>
        <w:tblBorders>
          <w:top w:val="single" w:sz="4" w:space="0" w:color="D7DCE3"/>
          <w:left w:val="single" w:sz="24" w:space="0" w:color="FF6B5B"/>
          <w:bottom w:val="single" w:sz="4" w:space="0" w:color="D7DCE3"/>
          <w:right w:val="single" w:sz="4" w:space="0" w:color="D7DCE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5"/>
      </w:tblGrid>
      <w:tr w:rsidR="002909B6" w14:paraId="7B669D24" w14:textId="77777777">
        <w:tblPrEx>
          <w:tblCellMar>
            <w:top w:w="0" w:type="dxa"/>
            <w:bottom w:w="0" w:type="dxa"/>
          </w:tblCellMar>
        </w:tblPrEx>
        <w:trPr>
          <w:cantSplit/>
        </w:trPr>
        <w:tc>
          <w:tcPr>
            <w:tcW w:w="0" w:type="auto"/>
            <w:shd w:val="clear" w:color="auto" w:fill="F2F4F7"/>
            <w:tcMar>
              <w:top w:w="160" w:type="dxa"/>
              <w:left w:w="220" w:type="dxa"/>
              <w:bottom w:w="160" w:type="dxa"/>
              <w:right w:w="220" w:type="dxa"/>
            </w:tcMar>
          </w:tcPr>
          <w:p w14:paraId="4D437FC3" w14:textId="77777777" w:rsidR="002909B6" w:rsidRDefault="00000000">
            <w:pPr>
              <w:spacing w:after="60"/>
            </w:pPr>
            <w:r>
              <w:rPr>
                <w:b/>
                <w:bCs/>
                <w:color w:val="1B2A4A"/>
                <w:sz w:val="21"/>
                <w:szCs w:val="21"/>
              </w:rPr>
              <w:t>Why it matters</w:t>
            </w:r>
          </w:p>
          <w:p w14:paraId="31894D48" w14:textId="77777777" w:rsidR="002909B6" w:rsidRDefault="00000000">
            <w:pPr>
              <w:spacing w:line="280" w:lineRule="auto"/>
            </w:pPr>
            <w:r>
              <w:rPr>
                <w:i/>
                <w:iCs/>
                <w:color w:val="5B6472"/>
                <w:sz w:val="21"/>
                <w:szCs w:val="21"/>
              </w:rPr>
              <w:t>Because every card and chart shares the same slicer, the totals update together — there is never a mismatch between the headline numbers and the chart detail.</w:t>
            </w:r>
          </w:p>
        </w:tc>
      </w:tr>
    </w:tbl>
    <w:p w14:paraId="78BC5DFA" w14:textId="77777777" w:rsidR="00CC1DD0" w:rsidRDefault="00CC1DD0">
      <w:pPr>
        <w:pStyle w:val="Heading1"/>
        <w:pBdr>
          <w:bottom w:val="single" w:sz="6" w:space="6" w:color="D7DCE3"/>
        </w:pBdr>
        <w:spacing w:before="380" w:after="200"/>
        <w:rPr>
          <w:rFonts w:ascii="Cambria" w:eastAsia="Cambria" w:hAnsi="Cambria" w:cs="Cambria"/>
          <w:b/>
          <w:bCs/>
          <w:color w:val="1B2A4A"/>
        </w:rPr>
      </w:pPr>
    </w:p>
    <w:p w14:paraId="37E60B96" w14:textId="77777777" w:rsidR="00CC1DD0" w:rsidRDefault="00CC1DD0">
      <w:pPr>
        <w:pStyle w:val="Heading1"/>
        <w:pBdr>
          <w:bottom w:val="single" w:sz="6" w:space="6" w:color="D7DCE3"/>
        </w:pBdr>
        <w:spacing w:before="380" w:after="200"/>
        <w:rPr>
          <w:rFonts w:ascii="Cambria" w:eastAsia="Cambria" w:hAnsi="Cambria" w:cs="Cambria"/>
          <w:b/>
          <w:bCs/>
          <w:color w:val="1B2A4A"/>
        </w:rPr>
      </w:pPr>
    </w:p>
    <w:p w14:paraId="2144D6A9" w14:textId="77777777" w:rsidR="00CC1DD0" w:rsidRDefault="00CC1DD0">
      <w:pPr>
        <w:pStyle w:val="Heading1"/>
        <w:pBdr>
          <w:bottom w:val="single" w:sz="6" w:space="6" w:color="D7DCE3"/>
        </w:pBdr>
        <w:spacing w:before="380" w:after="200"/>
        <w:rPr>
          <w:rFonts w:ascii="Cambria" w:eastAsia="Cambria" w:hAnsi="Cambria" w:cs="Cambria"/>
          <w:b/>
          <w:bCs/>
          <w:color w:val="1B2A4A"/>
        </w:rPr>
      </w:pPr>
    </w:p>
    <w:p w14:paraId="2AA7740D" w14:textId="0F574027" w:rsidR="002909B6" w:rsidRDefault="00000000">
      <w:pPr>
        <w:pStyle w:val="Heading1"/>
        <w:pBdr>
          <w:bottom w:val="single" w:sz="6" w:space="6" w:color="D7DCE3"/>
        </w:pBdr>
        <w:spacing w:before="380" w:after="200"/>
      </w:pPr>
      <w:r>
        <w:rPr>
          <w:rFonts w:ascii="Cambria" w:eastAsia="Cambria" w:hAnsi="Cambria" w:cs="Cambria"/>
          <w:b/>
          <w:bCs/>
          <w:color w:val="1B2A4A"/>
        </w:rPr>
        <w:lastRenderedPageBreak/>
        <w:t xml:space="preserve">8. Getting the Most </w:t>
      </w:r>
      <w:proofErr w:type="gramStart"/>
      <w:r>
        <w:rPr>
          <w:rFonts w:ascii="Cambria" w:eastAsia="Cambria" w:hAnsi="Cambria" w:cs="Cambria"/>
          <w:b/>
          <w:bCs/>
          <w:color w:val="1B2A4A"/>
        </w:rPr>
        <w:t>From</w:t>
      </w:r>
      <w:proofErr w:type="gramEnd"/>
      <w:r>
        <w:rPr>
          <w:rFonts w:ascii="Cambria" w:eastAsia="Cambria" w:hAnsi="Cambria" w:cs="Cambria"/>
          <w:b/>
          <w:bCs/>
          <w:color w:val="1B2A4A"/>
        </w:rPr>
        <w:t xml:space="preserve"> the Dashboard</w:t>
      </w:r>
    </w:p>
    <w:p w14:paraId="751BE7DE" w14:textId="77777777" w:rsidR="002909B6" w:rsidRDefault="00000000">
      <w:pPr>
        <w:pStyle w:val="Heading2"/>
        <w:spacing w:before="260" w:after="140"/>
      </w:pPr>
      <w:r>
        <w:rPr>
          <w:rFonts w:ascii="Cambria" w:eastAsia="Cambria" w:hAnsi="Cambria" w:cs="Cambria"/>
          <w:b/>
          <w:bCs/>
          <w:color w:val="1B2A4A"/>
          <w:sz w:val="25"/>
          <w:szCs w:val="25"/>
        </w:rPr>
        <w:t>8.1 Spot Top Markets Fast</w:t>
      </w:r>
    </w:p>
    <w:p w14:paraId="4A9B24FC" w14:textId="77777777" w:rsidR="002909B6" w:rsidRDefault="00000000">
      <w:pPr>
        <w:spacing w:after="160" w:line="300" w:lineRule="auto"/>
      </w:pPr>
      <w:r>
        <w:t>Use the country pie chart to find where profit is concentrated before planning regional campaigns.</w:t>
      </w:r>
    </w:p>
    <w:p w14:paraId="3CE6C2C5" w14:textId="77777777" w:rsidR="002909B6" w:rsidRDefault="00000000">
      <w:pPr>
        <w:pStyle w:val="Heading2"/>
        <w:spacing w:before="260" w:after="140"/>
      </w:pPr>
      <w:r>
        <w:rPr>
          <w:rFonts w:ascii="Cambria" w:eastAsia="Cambria" w:hAnsi="Cambria" w:cs="Cambria"/>
          <w:b/>
          <w:bCs/>
          <w:color w:val="1B2A4A"/>
          <w:sz w:val="25"/>
          <w:szCs w:val="25"/>
        </w:rPr>
        <w:t>8.2 Filter, Don't Guess</w:t>
      </w:r>
    </w:p>
    <w:p w14:paraId="7BCAD6A1" w14:textId="77777777" w:rsidR="002909B6" w:rsidRDefault="00000000">
      <w:pPr>
        <w:spacing w:after="160" w:line="300" w:lineRule="auto"/>
      </w:pPr>
      <w:r>
        <w:t>Click the country slicer to see one market's full picture — profit, sales, and category mix together.</w:t>
      </w:r>
    </w:p>
    <w:p w14:paraId="2F98E13D" w14:textId="77777777" w:rsidR="002909B6" w:rsidRDefault="00000000">
      <w:pPr>
        <w:pStyle w:val="Heading2"/>
        <w:spacing w:before="260" w:after="140"/>
      </w:pPr>
      <w:r>
        <w:rPr>
          <w:rFonts w:ascii="Cambria" w:eastAsia="Cambria" w:hAnsi="Cambria" w:cs="Cambria"/>
          <w:b/>
          <w:bCs/>
          <w:color w:val="1B2A4A"/>
          <w:sz w:val="25"/>
          <w:szCs w:val="25"/>
        </w:rPr>
        <w:t>8.3 Compare Categories</w:t>
      </w:r>
    </w:p>
    <w:p w14:paraId="1705B9A7" w14:textId="77777777" w:rsidR="002909B6" w:rsidRDefault="00000000">
      <w:pPr>
        <w:spacing w:after="160" w:line="300" w:lineRule="auto"/>
      </w:pPr>
      <w:r>
        <w:t>The bar chart's ranking highlights which product categories to double down on, and which to review.</w:t>
      </w:r>
    </w:p>
    <w:p w14:paraId="51B00300" w14:textId="77777777" w:rsidR="002909B6" w:rsidRDefault="00000000">
      <w:pPr>
        <w:pStyle w:val="Heading2"/>
        <w:spacing w:before="260" w:after="140"/>
      </w:pPr>
      <w:r>
        <w:rPr>
          <w:rFonts w:ascii="Cambria" w:eastAsia="Cambria" w:hAnsi="Cambria" w:cs="Cambria"/>
          <w:b/>
          <w:bCs/>
          <w:color w:val="1B2A4A"/>
          <w:sz w:val="25"/>
          <w:szCs w:val="25"/>
        </w:rPr>
        <w:t>8.4 Trust the Totals</w:t>
      </w:r>
    </w:p>
    <w:p w14:paraId="686FEDD7" w14:textId="77777777" w:rsidR="002909B6" w:rsidRDefault="00000000">
      <w:pPr>
        <w:spacing w:after="160" w:line="300" w:lineRule="auto"/>
      </w:pPr>
      <w:r>
        <w:t>Because everything shares one filter, the KPI cards and charts always tell a consistent story.</w:t>
      </w:r>
    </w:p>
    <w:p w14:paraId="29043EF4" w14:textId="77777777" w:rsidR="002909B6" w:rsidRDefault="00000000">
      <w:pPr>
        <w:pStyle w:val="Heading1"/>
        <w:pBdr>
          <w:bottom w:val="single" w:sz="6" w:space="6" w:color="D7DCE3"/>
        </w:pBdr>
        <w:spacing w:before="380" w:after="200"/>
      </w:pPr>
      <w:r>
        <w:rPr>
          <w:rFonts w:ascii="Cambria" w:eastAsia="Cambria" w:hAnsi="Cambria" w:cs="Cambria"/>
          <w:b/>
          <w:bCs/>
          <w:color w:val="1B2A4A"/>
        </w:rPr>
        <w:t>9. Conclusion</w:t>
      </w:r>
    </w:p>
    <w:p w14:paraId="22EFD50F" w14:textId="77777777" w:rsidR="002909B6" w:rsidRDefault="00000000">
      <w:pPr>
        <w:spacing w:after="160" w:line="300" w:lineRule="auto"/>
      </w:pPr>
      <w:r>
        <w:t>The E-commerce Sales Analytics dashboard combines a compact, well-joined data model with a focused, single-page layout. The data model keeps every order line traceable to its customer and product, while the dashboard's shared filtering ensures that whatever story the KPI cards tell, the charts tell the same story in more detail.</w:t>
      </w:r>
    </w:p>
    <w:p w14:paraId="65CD5FB0" w14:textId="77777777" w:rsidR="002909B6" w:rsidRDefault="00000000">
      <w:pPr>
        <w:spacing w:after="160" w:line="300" w:lineRule="auto"/>
      </w:pPr>
      <w:r>
        <w:t>Used together — the country view, the category view, and the KPI totals — the dashboard gives a fast, reliable read on where profit is coming from and where it is going.</w:t>
      </w:r>
    </w:p>
    <w:sectPr w:rsidR="002909B6">
      <w:headerReference w:type="default" r:id="rId11"/>
      <w:footerReference w:type="default" r:id="rId12"/>
      <w:pgSz w:w="12240" w:h="15840"/>
      <w:pgMar w:top="1080" w:right="1350" w:bottom="108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623B8" w14:textId="77777777" w:rsidR="00F07AE9" w:rsidRDefault="00F07AE9">
      <w:r>
        <w:separator/>
      </w:r>
    </w:p>
  </w:endnote>
  <w:endnote w:type="continuationSeparator" w:id="0">
    <w:p w14:paraId="30E08A74" w14:textId="77777777" w:rsidR="00F07AE9" w:rsidRDefault="00F07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FE9A" w14:textId="77777777" w:rsidR="002909B6" w:rsidRDefault="00000000">
    <w:pPr>
      <w:jc w:val="center"/>
    </w:pPr>
    <w:r>
      <w:rPr>
        <w:color w:val="5B6472"/>
        <w:sz w:val="16"/>
        <w:szCs w:val="16"/>
      </w:rPr>
      <w:t xml:space="preserve">Page </w:t>
    </w:r>
    <w:r>
      <w:rPr>
        <w:color w:val="5B6472"/>
        <w:sz w:val="16"/>
        <w:szCs w:val="16"/>
      </w:rPr>
      <w:fldChar w:fldCharType="begin"/>
    </w:r>
    <w:r>
      <w:rPr>
        <w:color w:val="5B6472"/>
        <w:sz w:val="16"/>
        <w:szCs w:val="16"/>
      </w:rPr>
      <w:instrText>PAGE</w:instrText>
    </w:r>
    <w:r>
      <w:rPr>
        <w:color w:val="5B6472"/>
        <w:sz w:val="16"/>
        <w:szCs w:val="16"/>
      </w:rPr>
      <w:fldChar w:fldCharType="separate"/>
    </w:r>
    <w:r w:rsidR="00CC1DD0">
      <w:rPr>
        <w:noProof/>
        <w:color w:val="5B6472"/>
        <w:sz w:val="16"/>
        <w:szCs w:val="16"/>
      </w:rPr>
      <w:t>2</w:t>
    </w:r>
    <w:r>
      <w:rPr>
        <w:color w:val="5B6472"/>
        <w:sz w:val="16"/>
        <w:szCs w:val="16"/>
      </w:rPr>
      <w:fldChar w:fldCharType="end"/>
    </w:r>
    <w:r>
      <w:rPr>
        <w:color w:val="5B6472"/>
        <w:sz w:val="16"/>
        <w:szCs w:val="16"/>
      </w:rPr>
      <w:t xml:space="preserve"> of </w:t>
    </w:r>
    <w:r>
      <w:rPr>
        <w:color w:val="5B6472"/>
        <w:sz w:val="16"/>
        <w:szCs w:val="16"/>
      </w:rPr>
      <w:fldChar w:fldCharType="begin"/>
    </w:r>
    <w:r>
      <w:rPr>
        <w:color w:val="5B6472"/>
        <w:sz w:val="16"/>
        <w:szCs w:val="16"/>
      </w:rPr>
      <w:instrText>NUMPAGES</w:instrText>
    </w:r>
    <w:r>
      <w:rPr>
        <w:color w:val="5B6472"/>
        <w:sz w:val="16"/>
        <w:szCs w:val="16"/>
      </w:rPr>
      <w:fldChar w:fldCharType="separate"/>
    </w:r>
    <w:r w:rsidR="00CC1DD0">
      <w:rPr>
        <w:noProof/>
        <w:color w:val="5B6472"/>
        <w:sz w:val="16"/>
        <w:szCs w:val="16"/>
      </w:rPr>
      <w:t>3</w:t>
    </w:r>
    <w:r>
      <w:rPr>
        <w:color w:val="5B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7DA4D" w14:textId="77777777" w:rsidR="00F07AE9" w:rsidRDefault="00F07AE9">
      <w:r>
        <w:separator/>
      </w:r>
    </w:p>
  </w:footnote>
  <w:footnote w:type="continuationSeparator" w:id="0">
    <w:p w14:paraId="2034CA35" w14:textId="77777777" w:rsidR="00F07AE9" w:rsidRDefault="00F07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402" w14:textId="77777777" w:rsidR="002909B6" w:rsidRDefault="00000000">
    <w:pPr>
      <w:pBdr>
        <w:bottom w:val="single" w:sz="4" w:space="4" w:color="D7DCE3"/>
      </w:pBdr>
      <w:jc w:val="right"/>
    </w:pPr>
    <w:r>
      <w:rPr>
        <w:color w:val="5B6472"/>
        <w:sz w:val="16"/>
        <w:szCs w:val="16"/>
      </w:rPr>
      <w:t>E-commerce Sales Analytics — Dashboard &amp; Data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324BB"/>
    <w:multiLevelType w:val="hybridMultilevel"/>
    <w:tmpl w:val="F4A86B8E"/>
    <w:lvl w:ilvl="0" w:tplc="A6F6C13E">
      <w:start w:val="1"/>
      <w:numFmt w:val="bullet"/>
      <w:lvlText w:val="●"/>
      <w:lvlJc w:val="left"/>
      <w:pPr>
        <w:ind w:left="720" w:hanging="360"/>
      </w:pPr>
    </w:lvl>
    <w:lvl w:ilvl="1" w:tplc="F7725284">
      <w:start w:val="1"/>
      <w:numFmt w:val="bullet"/>
      <w:lvlText w:val="○"/>
      <w:lvlJc w:val="left"/>
      <w:pPr>
        <w:ind w:left="1440" w:hanging="360"/>
      </w:pPr>
    </w:lvl>
    <w:lvl w:ilvl="2" w:tplc="F8C40650">
      <w:start w:val="1"/>
      <w:numFmt w:val="bullet"/>
      <w:lvlText w:val="■"/>
      <w:lvlJc w:val="left"/>
      <w:pPr>
        <w:ind w:left="2160" w:hanging="360"/>
      </w:pPr>
    </w:lvl>
    <w:lvl w:ilvl="3" w:tplc="63728946">
      <w:start w:val="1"/>
      <w:numFmt w:val="bullet"/>
      <w:lvlText w:val="●"/>
      <w:lvlJc w:val="left"/>
      <w:pPr>
        <w:ind w:left="2880" w:hanging="360"/>
      </w:pPr>
    </w:lvl>
    <w:lvl w:ilvl="4" w:tplc="EDEE8744">
      <w:start w:val="1"/>
      <w:numFmt w:val="bullet"/>
      <w:lvlText w:val="○"/>
      <w:lvlJc w:val="left"/>
      <w:pPr>
        <w:ind w:left="3600" w:hanging="360"/>
      </w:pPr>
    </w:lvl>
    <w:lvl w:ilvl="5" w:tplc="ACC21F66">
      <w:start w:val="1"/>
      <w:numFmt w:val="bullet"/>
      <w:lvlText w:val="■"/>
      <w:lvlJc w:val="left"/>
      <w:pPr>
        <w:ind w:left="4320" w:hanging="360"/>
      </w:pPr>
    </w:lvl>
    <w:lvl w:ilvl="6" w:tplc="F88CD47A">
      <w:start w:val="1"/>
      <w:numFmt w:val="bullet"/>
      <w:lvlText w:val="●"/>
      <w:lvlJc w:val="left"/>
      <w:pPr>
        <w:ind w:left="5040" w:hanging="360"/>
      </w:pPr>
    </w:lvl>
    <w:lvl w:ilvl="7" w:tplc="E9980950">
      <w:start w:val="1"/>
      <w:numFmt w:val="bullet"/>
      <w:lvlText w:val="●"/>
      <w:lvlJc w:val="left"/>
      <w:pPr>
        <w:ind w:left="5760" w:hanging="360"/>
      </w:pPr>
    </w:lvl>
    <w:lvl w:ilvl="8" w:tplc="B5AC0ECA">
      <w:start w:val="1"/>
      <w:numFmt w:val="bullet"/>
      <w:lvlText w:val="●"/>
      <w:lvlJc w:val="left"/>
      <w:pPr>
        <w:ind w:left="6480" w:hanging="360"/>
      </w:pPr>
    </w:lvl>
  </w:abstractNum>
  <w:abstractNum w:abstractNumId="1" w15:restartNumberingAfterBreak="0">
    <w:nsid w:val="75756165"/>
    <w:multiLevelType w:val="hybridMultilevel"/>
    <w:tmpl w:val="4DAC38E8"/>
    <w:lvl w:ilvl="0" w:tplc="7D98A89C">
      <w:start w:val="1"/>
      <w:numFmt w:val="bullet"/>
      <w:lvlText w:val="•"/>
      <w:lvlJc w:val="left"/>
      <w:pPr>
        <w:ind w:left="460" w:hanging="260"/>
      </w:pPr>
      <w:rPr>
        <w:color w:val="FF6B5B"/>
      </w:rPr>
    </w:lvl>
    <w:lvl w:ilvl="1" w:tplc="E3283BCC">
      <w:numFmt w:val="decimal"/>
      <w:lvlText w:val=""/>
      <w:lvlJc w:val="left"/>
    </w:lvl>
    <w:lvl w:ilvl="2" w:tplc="6F6C130A">
      <w:numFmt w:val="decimal"/>
      <w:lvlText w:val=""/>
      <w:lvlJc w:val="left"/>
    </w:lvl>
    <w:lvl w:ilvl="3" w:tplc="C5DC0C48">
      <w:numFmt w:val="decimal"/>
      <w:lvlText w:val=""/>
      <w:lvlJc w:val="left"/>
    </w:lvl>
    <w:lvl w:ilvl="4" w:tplc="8180A3F8">
      <w:numFmt w:val="decimal"/>
      <w:lvlText w:val=""/>
      <w:lvlJc w:val="left"/>
    </w:lvl>
    <w:lvl w:ilvl="5" w:tplc="106EA8B0">
      <w:numFmt w:val="decimal"/>
      <w:lvlText w:val=""/>
      <w:lvlJc w:val="left"/>
    </w:lvl>
    <w:lvl w:ilvl="6" w:tplc="1102B604">
      <w:numFmt w:val="decimal"/>
      <w:lvlText w:val=""/>
      <w:lvlJc w:val="left"/>
    </w:lvl>
    <w:lvl w:ilvl="7" w:tplc="4BA685F4">
      <w:numFmt w:val="decimal"/>
      <w:lvlText w:val=""/>
      <w:lvlJc w:val="left"/>
    </w:lvl>
    <w:lvl w:ilvl="8" w:tplc="5B7E571E">
      <w:numFmt w:val="decimal"/>
      <w:lvlText w:val=""/>
      <w:lvlJc w:val="left"/>
    </w:lvl>
  </w:abstractNum>
  <w:num w:numId="1" w16cid:durableId="1293832226">
    <w:abstractNumId w:val="0"/>
    <w:lvlOverride w:ilvl="0">
      <w:startOverride w:val="1"/>
    </w:lvlOverride>
  </w:num>
  <w:num w:numId="2" w16cid:durableId="6131716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9B6"/>
    <w:rsid w:val="002909B6"/>
    <w:rsid w:val="00CC1DD0"/>
    <w:rsid w:val="00F07AE9"/>
    <w:rsid w:val="00F84D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57D2"/>
  <w15:docId w15:val="{2F460B5F-E17B-403C-BF3B-D5E78D4B0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Hitesh Kodwani</cp:lastModifiedBy>
  <cp:revision>3</cp:revision>
  <dcterms:created xsi:type="dcterms:W3CDTF">2026-09-17T06:53:00Z</dcterms:created>
  <dcterms:modified xsi:type="dcterms:W3CDTF">2026-09-17T06:58:00Z</dcterms:modified>
</cp:coreProperties>
</file>