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288"/>
      </w:pPr>
    </w:p>
    <w:tbl>
      <w:tblPr>
        <w:tblW w:type="auto" w:w="0"/>
        <w:jc w:val="center"/>
        <w:tblLook w:firstColumn="1" w:firstRow="1" w:lastColumn="0" w:lastRow="0" w:noHBand="0" w:noVBand="1" w:val="04A0"/>
      </w:tblPr>
      <w:tblGrid>
        <w:gridCol w:w="8784"/>
      </w:tblGrid>
      <w:tr>
        <w:tc>
          <w:tcPr>
            <w:tcW w:type="dxa" w:w="9792"/>
            <w:shd w:val="clear" w:color="auto" w:fill="0F3D3E"/>
          </w:tcPr>
          <w:p>
            <w:pPr>
              <w:spacing w:before="320" w:after="80"/>
              <w:jc w:val="center"/>
            </w:pPr>
            <w:r>
              <w:rPr>
                <w:rFonts w:ascii="Calibri" w:hAnsi="Calibri"/>
                <w:b/>
                <w:color w:val="FFFFFF"/>
                <w:sz w:val="44"/>
              </w:rPr>
              <w:t>RK Health — Project Report</w:t>
            </w:r>
          </w:p>
          <w:p>
            <w:pPr>
              <w:spacing w:before="0" w:after="320"/>
              <w:jc w:val="center"/>
            </w:pPr>
            <w:r>
              <w:rPr>
                <w:rFonts w:ascii="Calibri" w:hAnsi="Calibri"/>
                <w:color w:val="CFE3DE"/>
                <w:sz w:val="22"/>
              </w:rPr>
              <w:t>Topic 3: Frontend Development — HTML Structure, CSS Layout, and UI Components</w:t>
            </w:r>
          </w:p>
        </w:tc>
      </w:tr>
    </w:tbl>
    <w:p>
      <w:pPr>
        <w:spacing w:after="200"/>
      </w:pPr>
    </w:p>
    <w:p>
      <w:pPr>
        <w:spacing w:before="60" w:after="100" w:lineRule="exact" w:line="300"/>
      </w:pPr>
      <w:r>
        <w:rPr>
          <w:rFonts w:ascii="Calibri" w:hAnsi="Calibri"/>
          <w:color w:val="172321"/>
          <w:sz w:val="21"/>
        </w:rPr>
        <w:t>This report documents the complete frontend development process for the RK Health platform. It covers the base HTML structure, the responsive CSS layout system, and the design and implementation of every UI component module. All frontend code is contained in a single index.html file with embedded styles and scripts, enabling GitHub Pages deployment with zero build configuration.</w:t>
      </w:r>
    </w:p>
    <w:p>
      <w:pPr>
        <w:spacing w:before="400" w:after="40"/>
        <w:pBdr>
          <w:bottom w:val="single" w:sz="6" w:space="4" w:color="0F3D3E"/>
        </w:pBdr>
      </w:pPr>
      <w:r>
        <w:rPr>
          <w:rFonts w:ascii="Calibri" w:hAnsi="Calibri"/>
          <w:b/>
          <w:color w:val="0F3D3E"/>
          <w:sz w:val="30"/>
        </w:rPr>
        <w:t>1. Base HTML Structure</w:t>
      </w:r>
    </w:p>
    <w:p>
      <w:pPr>
        <w:spacing w:before="60" w:after="100" w:lineRule="exact" w:line="300"/>
      </w:pPr>
      <w:r>
        <w:rPr>
          <w:rFonts w:ascii="Calibri" w:hAnsi="Calibri"/>
          <w:color w:val="172321"/>
          <w:sz w:val="21"/>
        </w:rPr>
        <w:t>The application is built as a single-page application (SPA) within one HTML file. All five views (Dashboard, Appointments, Medications, AI Summaries, Report) are rendered as &lt;section&gt; elements inside a shell layout. View switching is handled entirely in JavaScript by toggling CSS display classes — no page navigation or URL routing is required.</w:t>
      </w:r>
    </w:p>
    <w:p>
      <w:pPr>
        <w:spacing w:before="280" w:after="40"/>
      </w:pPr>
      <w:r>
        <w:rPr>
          <w:rFonts w:ascii="Calibri" w:hAnsi="Calibri"/>
          <w:b/>
          <w:color w:val="15524F"/>
          <w:sz w:val="24"/>
        </w:rPr>
        <w:t>Document Outline</w:t>
      </w:r>
    </w:p>
    <w:p>
      <w:pPr>
        <w:spacing w:before="200" w:after="40"/>
      </w:pPr>
      <w:r>
        <w:rPr>
          <w:rFonts w:ascii="Calibri" w:hAnsi="Calibri"/>
          <w:b/>
          <w:color w:val="D98E4A"/>
          <w:sz w:val="22"/>
        </w:rPr>
        <w:t>Lock Screen</w:t>
      </w:r>
    </w:p>
    <w:p>
      <w:pPr>
        <w:spacing w:before="60" w:after="100" w:lineRule="exact" w:line="300"/>
      </w:pPr>
      <w:r>
        <w:rPr>
          <w:rFonts w:ascii="Calibri" w:hAnsi="Calibri"/>
          <w:color w:val="172321"/>
          <w:sz w:val="21"/>
        </w:rPr>
        <w:t>A full-viewport overlay div (#lockScreen) sits above the application shell with a position:fixed, inset:0 style. It contains a centred PIN entry card with the RK Health heading, a password input, and an unlock button. The lock-error span below the button displays authentication failure messages without an alert dialog.</w:t>
      </w:r>
    </w:p>
    <w:p>
      <w:pPr>
        <w:spacing w:before="200" w:after="40"/>
      </w:pPr>
      <w:r>
        <w:rPr>
          <w:rFonts w:ascii="Calibri" w:hAnsi="Calibri"/>
          <w:b/>
          <w:color w:val="D98E4A"/>
          <w:sz w:val="22"/>
        </w:rPr>
        <w:t>Application Shell (#app)</w:t>
      </w:r>
    </w:p>
    <w:p>
      <w:pPr>
        <w:spacing w:before="60" w:after="100" w:lineRule="exact" w:line="300"/>
      </w:pPr>
      <w:r>
        <w:rPr>
          <w:rFonts w:ascii="Calibri" w:hAnsi="Calibri"/>
          <w:color w:val="172321"/>
          <w:sz w:val="21"/>
        </w:rPr>
        <w:t>The app shell uses a Flexbox row containing two children: the sidebar (&lt;aside&gt;) and the main content area (&lt;main&gt;). The shell is hidden (display:none) until successful authentication, at which point lockScreen is hidden and app is made visible.</w:t>
      </w:r>
    </w:p>
    <w:p>
      <w:pPr>
        <w:spacing w:before="200" w:after="40"/>
      </w:pPr>
      <w:r>
        <w:rPr>
          <w:rFonts w:ascii="Calibri" w:hAnsi="Calibri"/>
          <w:b/>
          <w:color w:val="D98E4A"/>
          <w:sz w:val="22"/>
        </w:rPr>
        <w:t>Sidebar Navigation</w:t>
      </w:r>
    </w:p>
    <w:p>
      <w:pPr>
        <w:spacing w:before="60" w:after="100" w:lineRule="exact" w:line="300"/>
      </w:pPr>
      <w:r>
        <w:rPr>
          <w:rFonts w:ascii="Calibri" w:hAnsi="Calibri"/>
          <w:color w:val="172321"/>
          <w:sz w:val="21"/>
        </w:rPr>
        <w:t>The &lt;aside&gt; contains the RK Health brand name, a sub-label, five navigation &lt;button&gt; elements (one per view), and a footer note about backend integrations. Navigation buttons use data-view attributes matched by the switchView() JavaScript function. The active button receives an .active CSS class for visual indication.</w:t>
      </w:r>
    </w:p>
    <w:p>
      <w:pPr>
        <w:spacing w:before="200" w:after="40"/>
      </w:pPr>
      <w:r>
        <w:rPr>
          <w:rFonts w:ascii="Calibri" w:hAnsi="Calibri"/>
          <w:b/>
          <w:color w:val="D98E4A"/>
          <w:sz w:val="22"/>
        </w:rPr>
        <w:t>Main Content Area</w:t>
      </w:r>
    </w:p>
    <w:p>
      <w:pPr>
        <w:spacing w:before="60" w:after="100" w:lineRule="exact" w:line="300"/>
      </w:pPr>
      <w:r>
        <w:rPr>
          <w:rFonts w:ascii="Calibri" w:hAnsi="Calibri"/>
          <w:color w:val="172321"/>
          <w:sz w:val="21"/>
        </w:rPr>
        <w:t>The &lt;main&gt; element contains in order: a mobile menu toggle button (hidden on desktop), a topbar with the view title, subtitle, and a lock button, an SVG ECG pulse divider, and then all five view sections. Only the active view section is visible at any time.</w:t>
      </w:r>
    </w:p>
    <w:p>
      <w:pPr>
        <w:spacing w:before="280" w:after="40"/>
      </w:pPr>
      <w:r>
        <w:rPr>
          <w:rFonts w:ascii="Calibri" w:hAnsi="Calibri"/>
          <w:b/>
          <w:color w:val="15524F"/>
          <w:sz w:val="24"/>
        </w:rPr>
        <w:t>HTML Sections by View</w:t>
      </w:r>
    </w:p>
    <w:tbl>
      <w:tblPr>
        <w:tblStyle w:val="TableGrid"/>
        <w:tblW w:type="auto" w:w="0"/>
        <w:jc w:val="left"/>
        <w:tblLook w:firstColumn="1" w:firstRow="1" w:lastColumn="0" w:lastRow="0" w:noHBand="0" w:noVBand="1" w:val="04A0"/>
      </w:tblPr>
      <w:tblGrid>
        <w:gridCol w:w="4392"/>
        <w:gridCol w:w="4392"/>
      </w:tblGrid>
      <w:tr>
        <w:tc>
          <w:tcPr>
            <w:tcW w:type="dxa" w:w="2592"/>
            <w:shd w:val="clear" w:color="auto" w:fill="0F3D3E"/>
          </w:tcPr>
          <w:p>
            <w:pPr>
              <w:spacing w:before="80" w:after="80"/>
              <w:jc w:val="left"/>
            </w:pPr>
            <w:r>
              <w:rPr>
                <w:rFonts w:ascii="Calibri" w:hAnsi="Calibri"/>
                <w:b/>
                <w:color w:val="FFFFFF"/>
                <w:sz w:val="20"/>
              </w:rPr>
              <w:t>Function</w:t>
            </w:r>
          </w:p>
        </w:tc>
        <w:tc>
          <w:tcPr>
            <w:tcW w:type="dxa" w:w="6624"/>
            <w:shd w:val="clear" w:color="auto" w:fill="0F3D3E"/>
          </w:tcPr>
          <w:p>
            <w:pPr>
              <w:spacing w:before="80" w:after="80"/>
              <w:jc w:val="left"/>
            </w:pPr>
            <w:r>
              <w:rPr>
                <w:rFonts w:ascii="Calibri" w:hAnsi="Calibri"/>
                <w:b/>
                <w:color w:val="FFFFFF"/>
                <w:sz w:val="20"/>
              </w:rPr>
              <w:t>Description</w:t>
            </w:r>
          </w:p>
        </w:tc>
      </w:tr>
      <w:tr>
        <w:tc>
          <w:tcPr>
            <w:tcW w:type="dxa" w:w="2592"/>
            <w:shd w:val="clear" w:color="auto" w:fill="E4EFEC"/>
          </w:tcPr>
          <w:p>
            <w:pPr>
              <w:spacing w:before="60" w:after="60"/>
            </w:pPr>
            <w:r>
              <w:rPr>
                <w:rFonts w:ascii="Courier New" w:hAnsi="Courier New"/>
                <w:b/>
                <w:color w:val="0F3D3E"/>
                <w:sz w:val="19"/>
              </w:rPr>
              <w:t>Dashboard</w:t>
            </w:r>
          </w:p>
        </w:tc>
        <w:tc>
          <w:tcPr>
            <w:tcW w:type="dxa" w:w="6624"/>
            <w:shd w:val="clear" w:color="auto" w:fill="E4EFEC"/>
          </w:tcPr>
          <w:p>
            <w:pPr>
              <w:spacing w:before="60" w:after="60"/>
            </w:pPr>
            <w:r>
              <w:rPr>
                <w:rFonts w:ascii="Calibri" w:hAnsi="Calibri"/>
                <w:color w:val="172321"/>
                <w:sz w:val="20"/>
              </w:rPr>
              <w:t>Stat grid (4 cards) + two side-by-side panels for recent appointments and pending medications.</w:t>
            </w:r>
          </w:p>
        </w:tc>
      </w:tr>
      <w:tr>
        <w:tc>
          <w:tcPr>
            <w:tcW w:type="dxa" w:w="2592"/>
            <w:shd w:val="clear" w:color="auto" w:fill="FFFFFF"/>
          </w:tcPr>
          <w:p>
            <w:pPr>
              <w:spacing w:before="60" w:after="60"/>
            </w:pPr>
            <w:r>
              <w:rPr>
                <w:rFonts w:ascii="Courier New" w:hAnsi="Courier New"/>
                <w:b/>
                <w:color w:val="0F3D3E"/>
                <w:sz w:val="19"/>
              </w:rPr>
              <w:t>Appointments</w:t>
            </w:r>
          </w:p>
        </w:tc>
        <w:tc>
          <w:tcPr>
            <w:tcW w:type="dxa" w:w="6624"/>
            <w:shd w:val="clear" w:color="auto" w:fill="FFFFFF"/>
          </w:tcPr>
          <w:p>
            <w:pPr>
              <w:spacing w:before="60" w:after="60"/>
            </w:pPr>
            <w:r>
              <w:rPr>
                <w:rFonts w:ascii="Calibri" w:hAnsi="Calibri"/>
                <w:color w:val="172321"/>
                <w:sz w:val="20"/>
              </w:rPr>
              <w:t>Add appointment form (form-grid layout) + filter bar + appointments list.</w:t>
            </w:r>
          </w:p>
        </w:tc>
      </w:tr>
      <w:tr>
        <w:tc>
          <w:tcPr>
            <w:tcW w:type="dxa" w:w="2592"/>
            <w:shd w:val="clear" w:color="auto" w:fill="E4EFEC"/>
          </w:tcPr>
          <w:p>
            <w:pPr>
              <w:spacing w:before="60" w:after="60"/>
            </w:pPr>
            <w:r>
              <w:rPr>
                <w:rFonts w:ascii="Courier New" w:hAnsi="Courier New"/>
                <w:b/>
                <w:color w:val="0F3D3E"/>
                <w:sz w:val="19"/>
              </w:rPr>
              <w:t>Medications</w:t>
            </w:r>
          </w:p>
        </w:tc>
        <w:tc>
          <w:tcPr>
            <w:tcW w:type="dxa" w:w="6624"/>
            <w:shd w:val="clear" w:color="auto" w:fill="E4EFEC"/>
          </w:tcPr>
          <w:p>
            <w:pPr>
              <w:spacing w:before="60" w:after="60"/>
            </w:pPr>
            <w:r>
              <w:rPr>
                <w:rFonts w:ascii="Calibri" w:hAnsi="Calibri"/>
                <w:color w:val="172321"/>
                <w:sz w:val="20"/>
              </w:rPr>
              <w:t>Add medication form + filter bar with status select + medications list.</w:t>
            </w:r>
          </w:p>
        </w:tc>
      </w:tr>
      <w:tr>
        <w:tc>
          <w:tcPr>
            <w:tcW w:type="dxa" w:w="2592"/>
            <w:shd w:val="clear" w:color="auto" w:fill="FFFFFF"/>
          </w:tcPr>
          <w:p>
            <w:pPr>
              <w:spacing w:before="60" w:after="60"/>
            </w:pPr>
            <w:r>
              <w:rPr>
                <w:rFonts w:ascii="Courier New" w:hAnsi="Courier New"/>
                <w:b/>
                <w:color w:val="0F3D3E"/>
                <w:sz w:val="19"/>
              </w:rPr>
              <w:t>AI Summaries</w:t>
            </w:r>
          </w:p>
        </w:tc>
        <w:tc>
          <w:tcPr>
            <w:tcW w:type="dxa" w:w="6624"/>
            <w:shd w:val="clear" w:color="auto" w:fill="FFFFFF"/>
          </w:tcPr>
          <w:p>
            <w:pPr>
              <w:spacing w:before="60" w:after="60"/>
            </w:pPr>
            <w:r>
              <w:rPr>
                <w:rFonts w:ascii="Calibri" w:hAnsi="Calibri"/>
                <w:color w:val="172321"/>
                <w:sz w:val="20"/>
              </w:rPr>
              <w:t>Source type selector + record picker + generate button + saved summaries list.</w:t>
            </w:r>
          </w:p>
        </w:tc>
      </w:tr>
      <w:tr>
        <w:tc>
          <w:tcPr>
            <w:tcW w:type="dxa" w:w="2592"/>
            <w:shd w:val="clear" w:color="auto" w:fill="E4EFEC"/>
          </w:tcPr>
          <w:p>
            <w:pPr>
              <w:spacing w:before="60" w:after="60"/>
            </w:pPr>
            <w:r>
              <w:rPr>
                <w:rFonts w:ascii="Courier New" w:hAnsi="Courier New"/>
                <w:b/>
                <w:color w:val="0F3D3E"/>
                <w:sz w:val="19"/>
              </w:rPr>
              <w:t>Report</w:t>
            </w:r>
          </w:p>
        </w:tc>
        <w:tc>
          <w:tcPr>
            <w:tcW w:type="dxa" w:w="6624"/>
            <w:shd w:val="clear" w:color="auto" w:fill="E4EFEC"/>
          </w:tcPr>
          <w:p>
            <w:pPr>
              <w:spacing w:before="60" w:after="60"/>
            </w:pPr>
            <w:r>
              <w:rPr>
                <w:rFonts w:ascii="Calibri" w:hAnsi="Calibri"/>
                <w:color w:val="172321"/>
                <w:sz w:val="20"/>
              </w:rPr>
              <w:t>Stats strip + appointment table + medication compliance table + AI summaries list + print button.</w:t>
            </w:r>
          </w:p>
        </w:tc>
      </w:tr>
    </w:tbl>
    <w:p>
      <w:pPr>
        <w:spacing w:after="160"/>
      </w:pPr>
    </w:p>
    <w:p>
      <w:pPr>
        <w:spacing w:before="280" w:after="40"/>
      </w:pPr>
      <w:r>
        <w:rPr>
          <w:rFonts w:ascii="Calibri" w:hAnsi="Calibri"/>
          <w:b/>
          <w:color w:val="15524F"/>
          <w:sz w:val="24"/>
        </w:rPr>
        <w:t>Semantic Elements and Accessibility</w:t>
      </w:r>
    </w:p>
    <w:p>
      <w:pPr>
        <w:pStyle w:val="ListBullet"/>
        <w:spacing w:before="40" w:after="80" w:lineRule="exact" w:line="300"/>
        <w:ind w:left="360"/>
      </w:pPr>
      <w:r>
        <w:rPr>
          <w:rFonts w:ascii="Calibri" w:hAnsi="Calibri"/>
          <w:sz w:val="21"/>
        </w:rPr>
        <w:t>&lt;aside&gt; for the sidebar ensures screen readers identify it as a navigation landmark.</w:t>
      </w:r>
    </w:p>
    <w:p>
      <w:pPr>
        <w:pStyle w:val="ListBullet"/>
        <w:spacing w:before="40" w:after="80" w:lineRule="exact" w:line="300"/>
        <w:ind w:left="360"/>
      </w:pPr>
      <w:r>
        <w:rPr>
          <w:rFonts w:ascii="Calibri" w:hAnsi="Calibri"/>
          <w:sz w:val="21"/>
        </w:rPr>
        <w:t>&lt;main&gt; for the primary content area provides the main landmark role.</w:t>
      </w:r>
    </w:p>
    <w:p>
      <w:pPr>
        <w:pStyle w:val="ListBullet"/>
        <w:spacing w:before="40" w:after="80" w:lineRule="exact" w:line="300"/>
        <w:ind w:left="360"/>
      </w:pPr>
      <w:r>
        <w:rPr>
          <w:rFonts w:ascii="Calibri" w:hAnsi="Calibri"/>
          <w:sz w:val="21"/>
        </w:rPr>
        <w:t>All form fields have associated &lt;label&gt; elements for screen reader compatibility.</w:t>
      </w:r>
    </w:p>
    <w:p>
      <w:pPr>
        <w:pStyle w:val="ListBullet"/>
        <w:spacing w:before="40" w:after="80" w:lineRule="exact" w:line="300"/>
        <w:ind w:left="360"/>
      </w:pPr>
      <w:r>
        <w:rPr>
          <w:rFonts w:ascii="Calibri" w:hAnsi="Calibri"/>
          <w:sz w:val="21"/>
        </w:rPr>
        <w:t>&lt;button&gt; elements are used for all interactive actions (not &lt;div onclick&gt;), ensuring keyboard focusability.</w:t>
      </w:r>
    </w:p>
    <w:p>
      <w:pPr>
        <w:pStyle w:val="ListBullet"/>
        <w:spacing w:before="40" w:after="80" w:lineRule="exact" w:line="300"/>
        <w:ind w:left="360"/>
      </w:pPr>
      <w:r>
        <w:rPr>
          <w:rFonts w:ascii="Calibri" w:hAnsi="Calibri"/>
          <w:sz w:val="21"/>
        </w:rPr>
        <w:t>&lt;table&gt; elements with &lt;th&gt; headers are used in the Report view for data accessibility.</w:t>
      </w:r>
    </w:p>
    <w:p>
      <w:pPr>
        <w:pStyle w:val="ListBullet"/>
        <w:spacing w:before="40" w:after="80" w:lineRule="exact" w:line="300"/>
        <w:ind w:left="360"/>
      </w:pPr>
      <w:r>
        <w:rPr>
          <w:rFonts w:ascii="Calibri" w:hAnsi="Calibri"/>
          <w:sz w:val="21"/>
        </w:rPr>
        <w:t>inputmode='numeric' on the PIN field improves the mobile keyboard experience.</w:t>
      </w:r>
    </w:p>
    <w:p>
      <w:pPr>
        <w:spacing w:before="280" w:after="40"/>
      </w:pPr>
      <w:r>
        <w:rPr>
          <w:rFonts w:ascii="Calibri" w:hAnsi="Calibri"/>
          <w:b/>
          <w:color w:val="15524F"/>
          <w:sz w:val="24"/>
        </w:rPr>
        <w:t>Icon and Typography Integration</w:t>
      </w:r>
    </w:p>
    <w:p>
      <w:pPr>
        <w:pStyle w:val="ListBullet"/>
        <w:spacing w:before="40" w:after="80" w:lineRule="exact" w:line="300"/>
        <w:ind w:left="360"/>
      </w:pPr>
      <w:r>
        <w:rPr>
          <w:rFonts w:ascii="Calibri" w:hAnsi="Calibri"/>
          <w:sz w:val="21"/>
        </w:rPr>
        <w:t>Google Fonts — Manrope (800, 700, 500 weights) used for headings, brand name, and stat values. IBM Plex Sans (400, 500, 600) for body text and UI labels. IBM Plex Mono (500, 600) for stat numbers, chips, and code-adjacent text.</w:t>
      </w:r>
    </w:p>
    <w:p>
      <w:pPr>
        <w:pStyle w:val="ListBullet"/>
        <w:spacing w:before="40" w:after="80" w:lineRule="exact" w:line="300"/>
        <w:ind w:left="360"/>
      </w:pPr>
      <w:r>
        <w:rPr>
          <w:rFonts w:ascii="Calibri" w:hAnsi="Calibri"/>
          <w:sz w:val="21"/>
        </w:rPr>
        <w:t>Unicode characters — emoji and Unicode symbols (🗓, ✦, ✉, ✓, ⤢, ☰, ▤) used as lightweight inline icons without a separate icon library dependency.</w:t>
      </w:r>
    </w:p>
    <w:p>
      <w:r>
        <w:br w:type="page"/>
      </w:r>
    </w:p>
    <w:p>
      <w:pPr>
        <w:spacing w:before="400" w:after="40"/>
        <w:pBdr>
          <w:bottom w:val="single" w:sz="6" w:space="4" w:color="0F3D3E"/>
        </w:pBdr>
      </w:pPr>
      <w:r>
        <w:rPr>
          <w:rFonts w:ascii="Calibri" w:hAnsi="Calibri"/>
          <w:b/>
          <w:color w:val="0F3D3E"/>
          <w:sz w:val="30"/>
        </w:rPr>
        <w:t>2. Responsive CSS Layout</w:t>
      </w:r>
    </w:p>
    <w:p>
      <w:pPr>
        <w:spacing w:before="280" w:after="40"/>
      </w:pPr>
      <w:r>
        <w:rPr>
          <w:rFonts w:ascii="Calibri" w:hAnsi="Calibri"/>
          <w:b/>
          <w:color w:val="15524F"/>
          <w:sz w:val="24"/>
        </w:rPr>
        <w:t>Design Token System</w:t>
      </w:r>
    </w:p>
    <w:p>
      <w:pPr>
        <w:spacing w:before="60" w:after="100" w:lineRule="exact" w:line="300"/>
      </w:pPr>
      <w:r>
        <w:rPr>
          <w:rFonts w:ascii="Calibri" w:hAnsi="Calibri"/>
          <w:color w:val="172321"/>
          <w:sz w:val="21"/>
        </w:rPr>
        <w:t>All colours, border radii, fonts, and shadows are defined as CSS custom properties on :root. This ensures global consistency and enables simple theme-wide changes from one location.</w:t>
      </w:r>
    </w:p>
    <w:tbl>
      <w:tblPr>
        <w:tblStyle w:val="TableGrid"/>
        <w:tblW w:type="auto" w:w="0"/>
        <w:jc w:val="left"/>
        <w:tblLook w:firstColumn="1" w:firstRow="1" w:lastColumn="0" w:lastRow="0" w:noHBand="0" w:noVBand="1" w:val="04A0"/>
      </w:tblPr>
      <w:tblGrid>
        <w:gridCol w:w="4392"/>
        <w:gridCol w:w="4392"/>
      </w:tblGrid>
      <w:tr>
        <w:tc>
          <w:tcPr>
            <w:tcW w:type="dxa" w:w="2592"/>
            <w:shd w:val="clear" w:color="auto" w:fill="0F3D3E"/>
          </w:tcPr>
          <w:p>
            <w:pPr>
              <w:spacing w:before="80" w:after="80"/>
              <w:jc w:val="left"/>
            </w:pPr>
            <w:r>
              <w:rPr>
                <w:rFonts w:ascii="Calibri" w:hAnsi="Calibri"/>
                <w:b/>
                <w:color w:val="FFFFFF"/>
                <w:sz w:val="20"/>
              </w:rPr>
              <w:t>Function</w:t>
            </w:r>
          </w:p>
        </w:tc>
        <w:tc>
          <w:tcPr>
            <w:tcW w:type="dxa" w:w="6624"/>
            <w:shd w:val="clear" w:color="auto" w:fill="0F3D3E"/>
          </w:tcPr>
          <w:p>
            <w:pPr>
              <w:spacing w:before="80" w:after="80"/>
              <w:jc w:val="left"/>
            </w:pPr>
            <w:r>
              <w:rPr>
                <w:rFonts w:ascii="Calibri" w:hAnsi="Calibri"/>
                <w:b/>
                <w:color w:val="FFFFFF"/>
                <w:sz w:val="20"/>
              </w:rPr>
              <w:t>Description</w:t>
            </w:r>
          </w:p>
        </w:tc>
      </w:tr>
      <w:tr>
        <w:tc>
          <w:tcPr>
            <w:tcW w:type="dxa" w:w="2592"/>
            <w:shd w:val="clear" w:color="auto" w:fill="E4EFEC"/>
          </w:tcPr>
          <w:p>
            <w:pPr>
              <w:spacing w:before="60" w:after="60"/>
            </w:pPr>
            <w:r>
              <w:rPr>
                <w:rFonts w:ascii="Courier New" w:hAnsi="Courier New"/>
                <w:b/>
                <w:color w:val="0F3D3E"/>
                <w:sz w:val="19"/>
              </w:rPr>
              <w:t>--teal-900</w:t>
            </w:r>
          </w:p>
        </w:tc>
        <w:tc>
          <w:tcPr>
            <w:tcW w:type="dxa" w:w="6624"/>
            <w:shd w:val="clear" w:color="auto" w:fill="E4EFEC"/>
          </w:tcPr>
          <w:p>
            <w:pPr>
              <w:spacing w:before="60" w:after="60"/>
            </w:pPr>
            <w:r>
              <w:rPr>
                <w:rFonts w:ascii="Calibri" w:hAnsi="Calibri"/>
                <w:color w:val="172321"/>
                <w:sz w:val="20"/>
              </w:rPr>
              <w:t>#0F3D3E — Primary brand colour used for sidebar background, primary buttons, and H1 headings.</w:t>
            </w:r>
          </w:p>
        </w:tc>
      </w:tr>
      <w:tr>
        <w:tc>
          <w:tcPr>
            <w:tcW w:type="dxa" w:w="2592"/>
            <w:shd w:val="clear" w:color="auto" w:fill="FFFFFF"/>
          </w:tcPr>
          <w:p>
            <w:pPr>
              <w:spacing w:before="60" w:after="60"/>
            </w:pPr>
            <w:r>
              <w:rPr>
                <w:rFonts w:ascii="Courier New" w:hAnsi="Courier New"/>
                <w:b/>
                <w:color w:val="0F3D3E"/>
                <w:sz w:val="19"/>
              </w:rPr>
              <w:t>--teal-700</w:t>
            </w:r>
          </w:p>
        </w:tc>
        <w:tc>
          <w:tcPr>
            <w:tcW w:type="dxa" w:w="6624"/>
            <w:shd w:val="clear" w:color="auto" w:fill="FFFFFF"/>
          </w:tcPr>
          <w:p>
            <w:pPr>
              <w:spacing w:before="60" w:after="60"/>
            </w:pPr>
            <w:r>
              <w:rPr>
                <w:rFonts w:ascii="Calibri" w:hAnsi="Calibri"/>
                <w:color w:val="172321"/>
                <w:sz w:val="20"/>
              </w:rPr>
              <w:t>#15524F — Hover state for primary buttons; H2 heading colour.</w:t>
            </w:r>
          </w:p>
        </w:tc>
      </w:tr>
      <w:tr>
        <w:tc>
          <w:tcPr>
            <w:tcW w:type="dxa" w:w="2592"/>
            <w:shd w:val="clear" w:color="auto" w:fill="E4EFEC"/>
          </w:tcPr>
          <w:p>
            <w:pPr>
              <w:spacing w:before="60" w:after="60"/>
            </w:pPr>
            <w:r>
              <w:rPr>
                <w:rFonts w:ascii="Courier New" w:hAnsi="Courier New"/>
                <w:b/>
                <w:color w:val="0F3D3E"/>
                <w:sz w:val="19"/>
              </w:rPr>
              <w:t>--teal-100</w:t>
            </w:r>
          </w:p>
        </w:tc>
        <w:tc>
          <w:tcPr>
            <w:tcW w:type="dxa" w:w="6624"/>
            <w:shd w:val="clear" w:color="auto" w:fill="E4EFEC"/>
          </w:tcPr>
          <w:p>
            <w:pPr>
              <w:spacing w:before="60" w:after="60"/>
            </w:pPr>
            <w:r>
              <w:rPr>
                <w:rFonts w:ascii="Calibri" w:hAnsi="Calibri"/>
                <w:color w:val="172321"/>
                <w:sz w:val="20"/>
              </w:rPr>
              <w:t>#E4EFEC — Light teal for chip backgrounds, table row alternation, and the summary block.</w:t>
            </w:r>
          </w:p>
        </w:tc>
      </w:tr>
      <w:tr>
        <w:tc>
          <w:tcPr>
            <w:tcW w:type="dxa" w:w="2592"/>
            <w:shd w:val="clear" w:color="auto" w:fill="FFFFFF"/>
          </w:tcPr>
          <w:p>
            <w:pPr>
              <w:spacing w:before="60" w:after="60"/>
            </w:pPr>
            <w:r>
              <w:rPr>
                <w:rFonts w:ascii="Courier New" w:hAnsi="Courier New"/>
                <w:b/>
                <w:color w:val="0F3D3E"/>
                <w:sz w:val="19"/>
              </w:rPr>
              <w:t>--bg</w:t>
            </w:r>
          </w:p>
        </w:tc>
        <w:tc>
          <w:tcPr>
            <w:tcW w:type="dxa" w:w="6624"/>
            <w:shd w:val="clear" w:color="auto" w:fill="FFFFFF"/>
          </w:tcPr>
          <w:p>
            <w:pPr>
              <w:spacing w:before="60" w:after="60"/>
            </w:pPr>
            <w:r>
              <w:rPr>
                <w:rFonts w:ascii="Calibri" w:hAnsi="Calibri"/>
                <w:color w:val="172321"/>
                <w:sz w:val="20"/>
              </w:rPr>
              <w:t>#F5F7F6 — Page background; subtly warm off-white.</w:t>
            </w:r>
          </w:p>
        </w:tc>
      </w:tr>
      <w:tr>
        <w:tc>
          <w:tcPr>
            <w:tcW w:type="dxa" w:w="2592"/>
            <w:shd w:val="clear" w:color="auto" w:fill="E4EFEC"/>
          </w:tcPr>
          <w:p>
            <w:pPr>
              <w:spacing w:before="60" w:after="60"/>
            </w:pPr>
            <w:r>
              <w:rPr>
                <w:rFonts w:ascii="Courier New" w:hAnsi="Courier New"/>
                <w:b/>
                <w:color w:val="0F3D3E"/>
                <w:sz w:val="19"/>
              </w:rPr>
              <w:t>--card</w:t>
            </w:r>
          </w:p>
        </w:tc>
        <w:tc>
          <w:tcPr>
            <w:tcW w:type="dxa" w:w="6624"/>
            <w:shd w:val="clear" w:color="auto" w:fill="E4EFEC"/>
          </w:tcPr>
          <w:p>
            <w:pPr>
              <w:spacing w:before="60" w:after="60"/>
            </w:pPr>
            <w:r>
              <w:rPr>
                <w:rFonts w:ascii="Calibri" w:hAnsi="Calibri"/>
                <w:color w:val="172321"/>
                <w:sz w:val="20"/>
              </w:rPr>
              <w:t>#FFFFFF — Card, panel, and modal surface colour.</w:t>
            </w:r>
          </w:p>
        </w:tc>
      </w:tr>
      <w:tr>
        <w:tc>
          <w:tcPr>
            <w:tcW w:type="dxa" w:w="2592"/>
            <w:shd w:val="clear" w:color="auto" w:fill="FFFFFF"/>
          </w:tcPr>
          <w:p>
            <w:pPr>
              <w:spacing w:before="60" w:after="60"/>
            </w:pPr>
            <w:r>
              <w:rPr>
                <w:rFonts w:ascii="Courier New" w:hAnsi="Courier New"/>
                <w:b/>
                <w:color w:val="0F3D3E"/>
                <w:sz w:val="19"/>
              </w:rPr>
              <w:t>--ink</w:t>
            </w:r>
          </w:p>
        </w:tc>
        <w:tc>
          <w:tcPr>
            <w:tcW w:type="dxa" w:w="6624"/>
            <w:shd w:val="clear" w:color="auto" w:fill="FFFFFF"/>
          </w:tcPr>
          <w:p>
            <w:pPr>
              <w:spacing w:before="60" w:after="60"/>
            </w:pPr>
            <w:r>
              <w:rPr>
                <w:rFonts w:ascii="Calibri" w:hAnsi="Calibri"/>
                <w:color w:val="172321"/>
                <w:sz w:val="20"/>
              </w:rPr>
              <w:t>#172321 — Primary text colour (near-black with warm undertone).</w:t>
            </w:r>
          </w:p>
        </w:tc>
      </w:tr>
      <w:tr>
        <w:tc>
          <w:tcPr>
            <w:tcW w:type="dxa" w:w="2592"/>
            <w:shd w:val="clear" w:color="auto" w:fill="E4EFEC"/>
          </w:tcPr>
          <w:p>
            <w:pPr>
              <w:spacing w:before="60" w:after="60"/>
            </w:pPr>
            <w:r>
              <w:rPr>
                <w:rFonts w:ascii="Courier New" w:hAnsi="Courier New"/>
                <w:b/>
                <w:color w:val="0F3D3E"/>
                <w:sz w:val="19"/>
              </w:rPr>
              <w:t>--ink-soft</w:t>
            </w:r>
          </w:p>
        </w:tc>
        <w:tc>
          <w:tcPr>
            <w:tcW w:type="dxa" w:w="6624"/>
            <w:shd w:val="clear" w:color="auto" w:fill="E4EFEC"/>
          </w:tcPr>
          <w:p>
            <w:pPr>
              <w:spacing w:before="60" w:after="60"/>
            </w:pPr>
            <w:r>
              <w:rPr>
                <w:rFonts w:ascii="Calibri" w:hAnsi="Calibri"/>
                <w:color w:val="172321"/>
                <w:sz w:val="20"/>
              </w:rPr>
              <w:t>#5B6B68 — Secondary text, labels, sub-labels.</w:t>
            </w:r>
          </w:p>
        </w:tc>
      </w:tr>
      <w:tr>
        <w:tc>
          <w:tcPr>
            <w:tcW w:type="dxa" w:w="2592"/>
            <w:shd w:val="clear" w:color="auto" w:fill="FFFFFF"/>
          </w:tcPr>
          <w:p>
            <w:pPr>
              <w:spacing w:before="60" w:after="60"/>
            </w:pPr>
            <w:r>
              <w:rPr>
                <w:rFonts w:ascii="Courier New" w:hAnsi="Courier New"/>
                <w:b/>
                <w:color w:val="0F3D3E"/>
                <w:sz w:val="19"/>
              </w:rPr>
              <w:t>--amber</w:t>
            </w:r>
          </w:p>
        </w:tc>
        <w:tc>
          <w:tcPr>
            <w:tcW w:type="dxa" w:w="6624"/>
            <w:shd w:val="clear" w:color="auto" w:fill="FFFFFF"/>
          </w:tcPr>
          <w:p>
            <w:pPr>
              <w:spacing w:before="60" w:after="60"/>
            </w:pPr>
            <w:r>
              <w:rPr>
                <w:rFonts w:ascii="Calibri" w:hAnsi="Calibri"/>
                <w:color w:val="172321"/>
                <w:sz w:val="20"/>
              </w:rPr>
              <w:t>#D98E4A — AI summary accent, ECG pulse stroke, Story tag colour.</w:t>
            </w:r>
          </w:p>
        </w:tc>
      </w:tr>
      <w:tr>
        <w:tc>
          <w:tcPr>
            <w:tcW w:type="dxa" w:w="2592"/>
            <w:shd w:val="clear" w:color="auto" w:fill="E4EFEC"/>
          </w:tcPr>
          <w:p>
            <w:pPr>
              <w:spacing w:before="60" w:after="60"/>
            </w:pPr>
            <w:r>
              <w:rPr>
                <w:rFonts w:ascii="Courier New" w:hAnsi="Courier New"/>
                <w:b/>
                <w:color w:val="0F3D3E"/>
                <w:sz w:val="19"/>
              </w:rPr>
              <w:t>--amber-soft</w:t>
            </w:r>
          </w:p>
        </w:tc>
        <w:tc>
          <w:tcPr>
            <w:tcW w:type="dxa" w:w="6624"/>
            <w:shd w:val="clear" w:color="auto" w:fill="E4EFEC"/>
          </w:tcPr>
          <w:p>
            <w:pPr>
              <w:spacing w:before="60" w:after="60"/>
            </w:pPr>
            <w:r>
              <w:rPr>
                <w:rFonts w:ascii="Calibri" w:hAnsi="Calibri"/>
                <w:color w:val="172321"/>
                <w:sz w:val="20"/>
              </w:rPr>
              <w:t>#FBE8D3 — Amber chip background for 'not-taken' status and story boxes.</w:t>
            </w:r>
          </w:p>
        </w:tc>
      </w:tr>
      <w:tr>
        <w:tc>
          <w:tcPr>
            <w:tcW w:type="dxa" w:w="2592"/>
            <w:shd w:val="clear" w:color="auto" w:fill="FFFFFF"/>
          </w:tcPr>
          <w:p>
            <w:pPr>
              <w:spacing w:before="60" w:after="60"/>
            </w:pPr>
            <w:r>
              <w:rPr>
                <w:rFonts w:ascii="Courier New" w:hAnsi="Courier New"/>
                <w:b/>
                <w:color w:val="0F3D3E"/>
                <w:sz w:val="19"/>
              </w:rPr>
              <w:t>--danger</w:t>
            </w:r>
          </w:p>
        </w:tc>
        <w:tc>
          <w:tcPr>
            <w:tcW w:type="dxa" w:w="6624"/>
            <w:shd w:val="clear" w:color="auto" w:fill="FFFFFF"/>
          </w:tcPr>
          <w:p>
            <w:pPr>
              <w:spacing w:before="60" w:after="60"/>
            </w:pPr>
            <w:r>
              <w:rPr>
                <w:rFonts w:ascii="Calibri" w:hAnsi="Calibri"/>
                <w:color w:val="172321"/>
                <w:sz w:val="20"/>
              </w:rPr>
              <w:t>#C75450 — Error toast background and danger state colour.</w:t>
            </w:r>
          </w:p>
        </w:tc>
      </w:tr>
      <w:tr>
        <w:tc>
          <w:tcPr>
            <w:tcW w:type="dxa" w:w="2592"/>
            <w:shd w:val="clear" w:color="auto" w:fill="E4EFEC"/>
          </w:tcPr>
          <w:p>
            <w:pPr>
              <w:spacing w:before="60" w:after="60"/>
            </w:pPr>
            <w:r>
              <w:rPr>
                <w:rFonts w:ascii="Courier New" w:hAnsi="Courier New"/>
                <w:b/>
                <w:color w:val="0F3D3E"/>
                <w:sz w:val="19"/>
              </w:rPr>
              <w:t>--good</w:t>
            </w:r>
          </w:p>
        </w:tc>
        <w:tc>
          <w:tcPr>
            <w:tcW w:type="dxa" w:w="6624"/>
            <w:shd w:val="clear" w:color="auto" w:fill="E4EFEC"/>
          </w:tcPr>
          <w:p>
            <w:pPr>
              <w:spacing w:before="60" w:after="60"/>
            </w:pPr>
            <w:r>
              <w:rPr>
                <w:rFonts w:ascii="Calibri" w:hAnsi="Calibri"/>
                <w:color w:val="172321"/>
                <w:sz w:val="20"/>
              </w:rPr>
              <w:t>#3F8F6F — Success toast and 'taken/sent' chip colour.</w:t>
            </w:r>
          </w:p>
        </w:tc>
      </w:tr>
      <w:tr>
        <w:tc>
          <w:tcPr>
            <w:tcW w:type="dxa" w:w="2592"/>
            <w:shd w:val="clear" w:color="auto" w:fill="FFFFFF"/>
          </w:tcPr>
          <w:p>
            <w:pPr>
              <w:spacing w:before="60" w:after="60"/>
            </w:pPr>
            <w:r>
              <w:rPr>
                <w:rFonts w:ascii="Courier New" w:hAnsi="Courier New"/>
                <w:b/>
                <w:color w:val="0F3D3E"/>
                <w:sz w:val="19"/>
              </w:rPr>
              <w:t>--line</w:t>
            </w:r>
          </w:p>
        </w:tc>
        <w:tc>
          <w:tcPr>
            <w:tcW w:type="dxa" w:w="6624"/>
            <w:shd w:val="clear" w:color="auto" w:fill="FFFFFF"/>
          </w:tcPr>
          <w:p>
            <w:pPr>
              <w:spacing w:before="60" w:after="60"/>
            </w:pPr>
            <w:r>
              <w:rPr>
                <w:rFonts w:ascii="Calibri" w:hAnsi="Calibri"/>
                <w:color w:val="172321"/>
                <w:sz w:val="20"/>
              </w:rPr>
              <w:t>#E1E8E5 — Card borders, form borders, table row separators.</w:t>
            </w:r>
          </w:p>
        </w:tc>
      </w:tr>
      <w:tr>
        <w:tc>
          <w:tcPr>
            <w:tcW w:type="dxa" w:w="2592"/>
            <w:shd w:val="clear" w:color="auto" w:fill="E4EFEC"/>
          </w:tcPr>
          <w:p>
            <w:pPr>
              <w:spacing w:before="60" w:after="60"/>
            </w:pPr>
            <w:r>
              <w:rPr>
                <w:rFonts w:ascii="Courier New" w:hAnsi="Courier New"/>
                <w:b/>
                <w:color w:val="0F3D3E"/>
                <w:sz w:val="19"/>
              </w:rPr>
              <w:t>--radius</w:t>
            </w:r>
          </w:p>
        </w:tc>
        <w:tc>
          <w:tcPr>
            <w:tcW w:type="dxa" w:w="6624"/>
            <w:shd w:val="clear" w:color="auto" w:fill="E4EFEC"/>
          </w:tcPr>
          <w:p>
            <w:pPr>
              <w:spacing w:before="60" w:after="60"/>
            </w:pPr>
            <w:r>
              <w:rPr>
                <w:rFonts w:ascii="Calibri" w:hAnsi="Calibri"/>
                <w:color w:val="172321"/>
                <w:sz w:val="20"/>
              </w:rPr>
              <w:t>14px — Standard card/panel border radius.</w:t>
            </w:r>
          </w:p>
        </w:tc>
      </w:tr>
      <w:tr>
        <w:tc>
          <w:tcPr>
            <w:tcW w:type="dxa" w:w="2592"/>
            <w:shd w:val="clear" w:color="auto" w:fill="FFFFFF"/>
          </w:tcPr>
          <w:p>
            <w:pPr>
              <w:spacing w:before="60" w:after="60"/>
            </w:pPr>
            <w:r>
              <w:rPr>
                <w:rFonts w:ascii="Courier New" w:hAnsi="Courier New"/>
                <w:b/>
                <w:color w:val="0F3D3E"/>
                <w:sz w:val="19"/>
              </w:rPr>
              <w:t>--shadow</w:t>
            </w:r>
          </w:p>
        </w:tc>
        <w:tc>
          <w:tcPr>
            <w:tcW w:type="dxa" w:w="6624"/>
            <w:shd w:val="clear" w:color="auto" w:fill="FFFFFF"/>
          </w:tcPr>
          <w:p>
            <w:pPr>
              <w:spacing w:before="60" w:after="60"/>
            </w:pPr>
            <w:r>
              <w:rPr>
                <w:rFonts w:ascii="Calibri" w:hAnsi="Calibri"/>
                <w:color w:val="172321"/>
                <w:sz w:val="20"/>
              </w:rPr>
              <w:t>Layered box shadow: 1px ambient + 24px elevation for card depth.</w:t>
            </w:r>
          </w:p>
        </w:tc>
      </w:tr>
    </w:tbl>
    <w:p>
      <w:pPr>
        <w:spacing w:after="160"/>
      </w:pPr>
    </w:p>
    <w:p>
      <w:pPr>
        <w:spacing w:before="280" w:after="40"/>
      </w:pPr>
      <w:r>
        <w:rPr>
          <w:rFonts w:ascii="Calibri" w:hAnsi="Calibri"/>
          <w:b/>
          <w:color w:val="15524F"/>
          <w:sz w:val="24"/>
        </w:rPr>
        <w:t>Layout Structure</w:t>
      </w:r>
    </w:p>
    <w:p>
      <w:pPr>
        <w:spacing w:before="200" w:after="40"/>
      </w:pPr>
      <w:r>
        <w:rPr>
          <w:rFonts w:ascii="Calibri" w:hAnsi="Calibri"/>
          <w:b/>
          <w:color w:val="D98E4A"/>
          <w:sz w:val="22"/>
        </w:rPr>
        <w:t>Shell Flexbox</w:t>
      </w:r>
    </w:p>
    <w:p>
      <w:pPr>
        <w:spacing w:before="60" w:after="100" w:lineRule="exact" w:line="300"/>
      </w:pPr>
      <w:r>
        <w:rPr>
          <w:rFonts w:ascii="Calibri" w:hAnsi="Calibri"/>
          <w:color w:val="172321"/>
          <w:sz w:val="21"/>
        </w:rPr>
        <w:t>The .shell class applies display:flex with no wrapping. The sidebar has a fixed width (230 px) and flex-shrink:0 to prevent compression. The main area uses flex:1 with min-width:0 to allow it to shrink below its content width — a critical detail preventing horizontal overflow in nested flex/grid children.</w:t>
      </w:r>
    </w:p>
    <w:p>
      <w:pPr>
        <w:spacing w:before="200" w:after="40"/>
      </w:pPr>
      <w:r>
        <w:rPr>
          <w:rFonts w:ascii="Calibri" w:hAnsi="Calibri"/>
          <w:b/>
          <w:color w:val="D98E4A"/>
          <w:sz w:val="22"/>
        </w:rPr>
        <w:t>Stat Card Grid</w:t>
      </w:r>
    </w:p>
    <w:p>
      <w:pPr>
        <w:spacing w:before="60" w:after="100" w:lineRule="exact" w:line="300"/>
      </w:pPr>
      <w:r>
        <w:rPr>
          <w:rFonts w:ascii="Calibri" w:hAnsi="Calibri"/>
          <w:color w:val="172321"/>
          <w:sz w:val="21"/>
        </w:rPr>
        <w:t>The .stat-grid class uses CSS Grid with grid-template-columns: repeat(auto-fit, minmax(180px, 1fr)). This creates a fluid grid that automatically reconfigures from four columns on desktop to two on tablet to one on small mobile without any media queries, following the implicit grid algorithm.</w:t>
      </w:r>
    </w:p>
    <w:p>
      <w:pPr>
        <w:spacing w:before="200" w:after="40"/>
      </w:pPr>
      <w:r>
        <w:rPr>
          <w:rFonts w:ascii="Calibri" w:hAnsi="Calibri"/>
          <w:b/>
          <w:color w:val="D98E4A"/>
          <w:sz w:val="22"/>
        </w:rPr>
        <w:t>Two-Column Panel Layout</w:t>
      </w:r>
    </w:p>
    <w:p>
      <w:pPr>
        <w:spacing w:before="60" w:after="100" w:lineRule="exact" w:line="300"/>
      </w:pPr>
      <w:r>
        <w:rPr>
          <w:rFonts w:ascii="Calibri" w:hAnsi="Calibri"/>
          <w:color w:val="172321"/>
          <w:sz w:val="21"/>
        </w:rPr>
        <w:t>The dashboard overview panels use .two-col with grid-template-columns: 1.1fr 0.9fr, giving a slightly wider left panel for the appointments list (which has longer content) and a narrower right panel for the pending medications. A media query collapses this to a single column below 900 px.</w:t>
      </w:r>
    </w:p>
    <w:p>
      <w:pPr>
        <w:spacing w:before="200" w:after="40"/>
      </w:pPr>
      <w:r>
        <w:rPr>
          <w:rFonts w:ascii="Calibri" w:hAnsi="Calibri"/>
          <w:b/>
          <w:color w:val="D98E4A"/>
          <w:sz w:val="22"/>
        </w:rPr>
        <w:t>Form Grids</w:t>
      </w:r>
    </w:p>
    <w:p>
      <w:pPr>
        <w:spacing w:before="60" w:after="100" w:lineRule="exact" w:line="300"/>
      </w:pPr>
      <w:r>
        <w:rPr>
          <w:rFonts w:ascii="Calibri" w:hAnsi="Calibri"/>
          <w:color w:val="172321"/>
          <w:sz w:val="21"/>
        </w:rPr>
        <w:t>Both the appointment and medication forms use .form-grid with grid-template-columns: 1fr 1fr, placing related fields side-by-side (e.g. patient name next to doctor name). Fields with the .full class use grid-column: 1/-1 to span the full width. A media query collapses the form grid below 560 px for mobile usability.</w:t>
      </w:r>
    </w:p>
    <w:p>
      <w:pPr>
        <w:spacing w:before="280" w:after="40"/>
      </w:pPr>
      <w:r>
        <w:rPr>
          <w:rFonts w:ascii="Calibri" w:hAnsi="Calibri"/>
          <w:b/>
          <w:color w:val="15524F"/>
          <w:sz w:val="24"/>
        </w:rPr>
        <w:t>Responsive Breakpoints</w:t>
      </w:r>
    </w:p>
    <w:tbl>
      <w:tblPr>
        <w:tblStyle w:val="TableGrid"/>
        <w:tblW w:type="auto" w:w="0"/>
        <w:jc w:val="left"/>
        <w:tblLook w:firstColumn="1" w:firstRow="1" w:lastColumn="0" w:lastRow="0" w:noHBand="0" w:noVBand="1" w:val="04A0"/>
      </w:tblPr>
      <w:tblGrid>
        <w:gridCol w:w="4392"/>
        <w:gridCol w:w="4392"/>
      </w:tblGrid>
      <w:tr>
        <w:tc>
          <w:tcPr>
            <w:tcW w:type="dxa" w:w="2592"/>
            <w:shd w:val="clear" w:color="auto" w:fill="0F3D3E"/>
          </w:tcPr>
          <w:p>
            <w:pPr>
              <w:spacing w:before="80" w:after="80"/>
              <w:jc w:val="left"/>
            </w:pPr>
            <w:r>
              <w:rPr>
                <w:rFonts w:ascii="Calibri" w:hAnsi="Calibri"/>
                <w:b/>
                <w:color w:val="FFFFFF"/>
                <w:sz w:val="20"/>
              </w:rPr>
              <w:t>Function</w:t>
            </w:r>
          </w:p>
        </w:tc>
        <w:tc>
          <w:tcPr>
            <w:tcW w:type="dxa" w:w="6624"/>
            <w:shd w:val="clear" w:color="auto" w:fill="0F3D3E"/>
          </w:tcPr>
          <w:p>
            <w:pPr>
              <w:spacing w:before="80" w:after="80"/>
              <w:jc w:val="left"/>
            </w:pPr>
            <w:r>
              <w:rPr>
                <w:rFonts w:ascii="Calibri" w:hAnsi="Calibri"/>
                <w:b/>
                <w:color w:val="FFFFFF"/>
                <w:sz w:val="20"/>
              </w:rPr>
              <w:t>Description</w:t>
            </w:r>
          </w:p>
        </w:tc>
      </w:tr>
      <w:tr>
        <w:tc>
          <w:tcPr>
            <w:tcW w:type="dxa" w:w="2592"/>
            <w:shd w:val="clear" w:color="auto" w:fill="E4EFEC"/>
          </w:tcPr>
          <w:p>
            <w:pPr>
              <w:spacing w:before="60" w:after="60"/>
            </w:pPr>
            <w:r>
              <w:rPr>
                <w:rFonts w:ascii="Courier New" w:hAnsi="Courier New"/>
                <w:b/>
                <w:color w:val="0F3D3E"/>
                <w:sz w:val="19"/>
              </w:rPr>
              <w:t>≥ 900 px</w:t>
            </w:r>
          </w:p>
        </w:tc>
        <w:tc>
          <w:tcPr>
            <w:tcW w:type="dxa" w:w="6624"/>
            <w:shd w:val="clear" w:color="auto" w:fill="E4EFEC"/>
          </w:tcPr>
          <w:p>
            <w:pPr>
              <w:spacing w:before="60" w:after="60"/>
            </w:pPr>
            <w:r>
              <w:rPr>
                <w:rFonts w:ascii="Calibri" w:hAnsi="Calibri"/>
                <w:color w:val="172321"/>
                <w:sz w:val="20"/>
              </w:rPr>
              <w:t>Full two-column panel layout, four-column stat grid.</w:t>
            </w:r>
          </w:p>
        </w:tc>
      </w:tr>
      <w:tr>
        <w:tc>
          <w:tcPr>
            <w:tcW w:type="dxa" w:w="2592"/>
            <w:shd w:val="clear" w:color="auto" w:fill="FFFFFF"/>
          </w:tcPr>
          <w:p>
            <w:pPr>
              <w:spacing w:before="60" w:after="60"/>
            </w:pPr>
            <w:r>
              <w:rPr>
                <w:rFonts w:ascii="Courier New" w:hAnsi="Courier New"/>
                <w:b/>
                <w:color w:val="0F3D3E"/>
                <w:sz w:val="19"/>
              </w:rPr>
              <w:t>&lt; 900 px</w:t>
            </w:r>
          </w:p>
        </w:tc>
        <w:tc>
          <w:tcPr>
            <w:tcW w:type="dxa" w:w="6624"/>
            <w:shd w:val="clear" w:color="auto" w:fill="FFFFFF"/>
          </w:tcPr>
          <w:p>
            <w:pPr>
              <w:spacing w:before="60" w:after="60"/>
            </w:pPr>
            <w:r>
              <w:rPr>
                <w:rFonts w:ascii="Calibri" w:hAnsi="Calibri"/>
                <w:color w:val="172321"/>
                <w:sz w:val="20"/>
              </w:rPr>
              <w:t>Two-column panel grid collapses to single column.</w:t>
            </w:r>
          </w:p>
        </w:tc>
      </w:tr>
      <w:tr>
        <w:tc>
          <w:tcPr>
            <w:tcW w:type="dxa" w:w="2592"/>
            <w:shd w:val="clear" w:color="auto" w:fill="E4EFEC"/>
          </w:tcPr>
          <w:p>
            <w:pPr>
              <w:spacing w:before="60" w:after="60"/>
            </w:pPr>
            <w:r>
              <w:rPr>
                <w:rFonts w:ascii="Courier New" w:hAnsi="Courier New"/>
                <w:b/>
                <w:color w:val="0F3D3E"/>
                <w:sz w:val="19"/>
              </w:rPr>
              <w:t>&lt; 820 px</w:t>
            </w:r>
          </w:p>
        </w:tc>
        <w:tc>
          <w:tcPr>
            <w:tcW w:type="dxa" w:w="6624"/>
            <w:shd w:val="clear" w:color="auto" w:fill="E4EFEC"/>
          </w:tcPr>
          <w:p>
            <w:pPr>
              <w:spacing w:before="60" w:after="60"/>
            </w:pPr>
            <w:r>
              <w:rPr>
                <w:rFonts w:ascii="Calibri" w:hAnsi="Calibri"/>
                <w:color w:val="172321"/>
                <w:sz w:val="20"/>
              </w:rPr>
              <w:t>Sidebar fixed off-screen, mobile menu toggle visible, sidebar slides in on toggle click.</w:t>
            </w:r>
          </w:p>
        </w:tc>
      </w:tr>
      <w:tr>
        <w:tc>
          <w:tcPr>
            <w:tcW w:type="dxa" w:w="2592"/>
            <w:shd w:val="clear" w:color="auto" w:fill="FFFFFF"/>
          </w:tcPr>
          <w:p>
            <w:pPr>
              <w:spacing w:before="60" w:after="60"/>
            </w:pPr>
            <w:r>
              <w:rPr>
                <w:rFonts w:ascii="Courier New" w:hAnsi="Courier New"/>
                <w:b/>
                <w:color w:val="0F3D3E"/>
                <w:sz w:val="19"/>
              </w:rPr>
              <w:t>&lt; 560 px</w:t>
            </w:r>
          </w:p>
        </w:tc>
        <w:tc>
          <w:tcPr>
            <w:tcW w:type="dxa" w:w="6624"/>
            <w:shd w:val="clear" w:color="auto" w:fill="FFFFFF"/>
          </w:tcPr>
          <w:p>
            <w:pPr>
              <w:spacing w:before="60" w:after="60"/>
            </w:pPr>
            <w:r>
              <w:rPr>
                <w:rFonts w:ascii="Calibri" w:hAnsi="Calibri"/>
                <w:color w:val="172321"/>
                <w:sz w:val="20"/>
              </w:rPr>
              <w:t>Form grids collapse to single column for comfortable thumb input on small phones.</w:t>
            </w:r>
          </w:p>
        </w:tc>
      </w:tr>
      <w:tr>
        <w:tc>
          <w:tcPr>
            <w:tcW w:type="dxa" w:w="2592"/>
            <w:shd w:val="clear" w:color="auto" w:fill="E4EFEC"/>
          </w:tcPr>
          <w:p>
            <w:pPr>
              <w:spacing w:before="60" w:after="60"/>
            </w:pPr>
            <w:r>
              <w:rPr>
                <w:rFonts w:ascii="Courier New" w:hAnsi="Courier New"/>
                <w:b/>
                <w:color w:val="0F3D3E"/>
                <w:sz w:val="19"/>
              </w:rPr>
              <w:t>Print</w:t>
            </w:r>
          </w:p>
        </w:tc>
        <w:tc>
          <w:tcPr>
            <w:tcW w:type="dxa" w:w="6624"/>
            <w:shd w:val="clear" w:color="auto" w:fill="E4EFEC"/>
          </w:tcPr>
          <w:p>
            <w:pPr>
              <w:spacing w:before="60" w:after="60"/>
            </w:pPr>
            <w:r>
              <w:rPr>
                <w:rFonts w:ascii="Calibri" w:hAnsi="Calibri"/>
                <w:color w:val="172321"/>
                <w:sz w:val="20"/>
              </w:rPr>
              <w:t>Sidebar hidden, topbar lock button hidden, panel box-shadows removed, card borders removed.</w:t>
            </w:r>
          </w:p>
        </w:tc>
      </w:tr>
    </w:tbl>
    <w:p>
      <w:pPr>
        <w:spacing w:after="160"/>
      </w:pPr>
    </w:p>
    <w:p>
      <w:pPr>
        <w:spacing w:before="280" w:after="40"/>
      </w:pPr>
      <w:r>
        <w:rPr>
          <w:rFonts w:ascii="Calibri" w:hAnsi="Calibri"/>
          <w:b/>
          <w:color w:val="15524F"/>
          <w:sz w:val="24"/>
        </w:rPr>
        <w:t>Sidebar Mobile Behaviour</w:t>
      </w:r>
    </w:p>
    <w:p>
      <w:pPr>
        <w:spacing w:before="60" w:after="100" w:lineRule="exact" w:line="300"/>
      </w:pPr>
      <w:r>
        <w:rPr>
          <w:rFonts w:ascii="Calibri" w:hAnsi="Calibri"/>
          <w:color w:val="172321"/>
          <w:sz w:val="21"/>
        </w:rPr>
        <w:t>Below 820 px the sidebar receives position:fixed; left:-240px so it is off-screen by default. The JavaScript toggles a .open class that sets left:0 and a box-shadow to visually separate it from the main content. Tapping any navigation item calls switchView() which also removes the .open class, closing the sidebar automatically after navigation.</w:t>
      </w:r>
    </w:p>
    <w:p>
      <w:r>
        <w:br w:type="page"/>
      </w:r>
    </w:p>
    <w:p>
      <w:pPr>
        <w:spacing w:before="400" w:after="40"/>
        <w:pBdr>
          <w:bottom w:val="single" w:sz="6" w:space="4" w:color="0F3D3E"/>
        </w:pBdr>
      </w:pPr>
      <w:r>
        <w:rPr>
          <w:rFonts w:ascii="Calibri" w:hAnsi="Calibri"/>
          <w:b/>
          <w:color w:val="0F3D3E"/>
          <w:sz w:val="30"/>
        </w:rPr>
        <w:t>3. UI Component Modules</w:t>
      </w:r>
    </w:p>
    <w:p>
      <w:pPr>
        <w:spacing w:before="280" w:after="40"/>
      </w:pPr>
      <w:r>
        <w:rPr>
          <w:rFonts w:ascii="Calibri" w:hAnsi="Calibri"/>
          <w:b/>
          <w:color w:val="15524F"/>
          <w:sz w:val="24"/>
        </w:rPr>
        <w:t>Dashboard Cards</w:t>
      </w:r>
    </w:p>
    <w:p>
      <w:pPr>
        <w:spacing w:before="60" w:after="100" w:lineRule="exact" w:line="300"/>
      </w:pPr>
      <w:r>
        <w:rPr>
          <w:rFonts w:ascii="Calibri" w:hAnsi="Calibri"/>
          <w:color w:val="172321"/>
          <w:sz w:val="21"/>
        </w:rPr>
        <w:t>The four stat cards are rendered as .stat-card divs inside the .stat-grid container. Each card has a label (small, uppercase, letter-spaced) and a value (IBM Plex Mono, 28 px). The compliance rate value uses the --amber colour to visually distinguish it as a goal-oriented metric. Values are updated by renderDashboard() which reads from the in-memory STATE object — no additional network request is needed.</w:t>
      </w:r>
    </w:p>
    <w:p>
      <w:pPr>
        <w:spacing w:before="280" w:after="40"/>
      </w:pPr>
      <w:r>
        <w:rPr>
          <w:rFonts w:ascii="Calibri" w:hAnsi="Calibri"/>
          <w:b/>
          <w:color w:val="15524F"/>
          <w:sz w:val="24"/>
        </w:rPr>
        <w:t>Appointment Components</w:t>
      </w:r>
    </w:p>
    <w:p>
      <w:pPr>
        <w:spacing w:before="60" w:after="100" w:lineRule="exact" w:line="300"/>
      </w:pPr>
      <w:r>
        <w:rPr>
          <w:rFonts w:ascii="Calibri" w:hAnsi="Calibri"/>
          <w:color w:val="172321"/>
          <w:sz w:val="21"/>
        </w:rPr>
        <w:t>Each appointment is rendered as a .row-item div containing a left-aligned .ri-main section (title + meta) and a right-aligned .ri-actions section. Actions include:</w:t>
      </w:r>
    </w:p>
    <w:p>
      <w:pPr>
        <w:pStyle w:val="ListBullet"/>
        <w:spacing w:before="40" w:after="80" w:lineRule="exact" w:line="300"/>
        <w:ind w:left="360"/>
      </w:pPr>
      <w:r>
        <w:rPr>
          <w:rFonts w:ascii="Calibri" w:hAnsi="Calibri"/>
          <w:sz w:val="21"/>
        </w:rPr>
        <w:t>🗓 button — renders only if a calendarLink is present; opens the Google Calendar quick-add URL in a new tab.</w:t>
      </w:r>
    </w:p>
    <w:p>
      <w:pPr>
        <w:pStyle w:val="ListBullet"/>
        <w:spacing w:before="40" w:after="80" w:lineRule="exact" w:line="300"/>
        <w:ind w:left="360"/>
      </w:pPr>
      <w:r>
        <w:rPr>
          <w:rFonts w:ascii="Calibri" w:hAnsi="Calibri"/>
          <w:sz w:val="21"/>
        </w:rPr>
        <w:t>✦ button — triggers quickSummary('appointment', id), which navigates to the Summaries view and generates an AI summary for that record.</w:t>
      </w:r>
    </w:p>
    <w:p>
      <w:pPr>
        <w:spacing w:before="60" w:after="100" w:lineRule="exact" w:line="300"/>
      </w:pPr>
      <w:r>
        <w:rPr>
          <w:rFonts w:ascii="Calibri" w:hAnsi="Calibri"/>
          <w:color w:val="172321"/>
          <w:sz w:val="21"/>
        </w:rPr>
        <w:t>The dashboard Recent Appointments panel shows the four most recent records with the calendar link only. The full Appointments view shows all records with live text filtering.</w:t>
      </w:r>
    </w:p>
    <w:p>
      <w:pPr>
        <w:spacing w:before="280" w:after="40"/>
      </w:pPr>
      <w:r>
        <w:rPr>
          <w:rFonts w:ascii="Calibri" w:hAnsi="Calibri"/>
          <w:b/>
          <w:color w:val="15524F"/>
          <w:sz w:val="24"/>
        </w:rPr>
        <w:t>Medication Cards</w:t>
      </w:r>
    </w:p>
    <w:p>
      <w:pPr>
        <w:spacing w:before="60" w:after="100" w:lineRule="exact" w:line="300"/>
      </w:pPr>
      <w:r>
        <w:rPr>
          <w:rFonts w:ascii="Calibri" w:hAnsi="Calibri"/>
          <w:color w:val="172321"/>
          <w:sz w:val="21"/>
        </w:rPr>
        <w:t>Medication row items display the medicine name, dosage in parentheses, timing, patient name, and phone number. Three action buttons are available per row:</w:t>
      </w:r>
    </w:p>
    <w:p>
      <w:pPr>
        <w:pStyle w:val="ListBullet"/>
        <w:spacing w:before="40" w:after="80" w:lineRule="exact" w:line="300"/>
        <w:ind w:left="360"/>
      </w:pPr>
      <w:r>
        <w:rPr>
          <w:rFonts w:ascii="Calibri" w:hAnsi="Calibri"/>
          <w:sz w:val="21"/>
        </w:rPr>
        <w:t>✓ (Toggle Taken) — calls toggleTaken(id) which POSTs to the backend and flips the taken field. The taken/not-taken chip updates immediately.</w:t>
      </w:r>
    </w:p>
    <w:p>
      <w:pPr>
        <w:pStyle w:val="ListBullet"/>
        <w:spacing w:before="40" w:after="80" w:lineRule="exact" w:line="300"/>
        <w:ind w:left="360"/>
      </w:pPr>
      <w:r>
        <w:rPr>
          <w:rFonts w:ascii="Calibri" w:hAnsi="Calibri"/>
          <w:sz w:val="21"/>
        </w:rPr>
        <w:t>✉ (Resend SMS) — calls resendSms(id) and updates the SMS status chip to 'sent' or 'failed'.</w:t>
      </w:r>
    </w:p>
    <w:p>
      <w:pPr>
        <w:pStyle w:val="ListBullet"/>
        <w:spacing w:before="40" w:after="80" w:lineRule="exact" w:line="300"/>
        <w:ind w:left="360"/>
      </w:pPr>
      <w:r>
        <w:rPr>
          <w:rFonts w:ascii="Calibri" w:hAnsi="Calibri"/>
          <w:sz w:val="21"/>
        </w:rPr>
        <w:t>✦ (AI Summary) — triggers quickSummary('medication', id).</w:t>
      </w:r>
    </w:p>
    <w:p>
      <w:pPr>
        <w:spacing w:before="60" w:after="100" w:lineRule="exact" w:line="300"/>
      </w:pPr>
      <w:r>
        <w:rPr>
          <w:rFonts w:ascii="Calibri" w:hAnsi="Calibri"/>
          <w:color w:val="172321"/>
          <w:sz w:val="21"/>
        </w:rPr>
        <w:t>Two .chip elements display the SMS status and taken status. Chip colours are set by the CSS classes .sent (green), .pending (muted amber), .failed (red), .taken (green), and .not-taken (amber). Chips use the IBM Plex Mono font for a data-label aesthetic.</w:t>
      </w:r>
    </w:p>
    <w:p>
      <w:pPr>
        <w:spacing w:before="280" w:after="40"/>
      </w:pPr>
      <w:r>
        <w:rPr>
          <w:rFonts w:ascii="Calibri" w:hAnsi="Calibri"/>
          <w:b/>
          <w:color w:val="15524F"/>
          <w:sz w:val="24"/>
        </w:rPr>
        <w:t>AI Summary Viewer (Modal)</w:t>
      </w:r>
    </w:p>
    <w:p>
      <w:pPr>
        <w:spacing w:before="60" w:after="100" w:lineRule="exact" w:line="300"/>
      </w:pPr>
      <w:r>
        <w:rPr>
          <w:rFonts w:ascii="Calibri" w:hAnsi="Calibri"/>
          <w:color w:val="172321"/>
          <w:sz w:val="21"/>
        </w:rPr>
        <w:t>The .modal-overlay div is a full-viewport fixed overlay (display:none by default). Adding the .open class changes it to display:flex, centering the .modal card. The modal contains:</w:t>
      </w:r>
    </w:p>
    <w:p>
      <w:pPr>
        <w:pStyle w:val="ListBullet"/>
        <w:spacing w:before="40" w:after="80" w:lineRule="exact" w:line="300"/>
        <w:ind w:left="360"/>
      </w:pPr>
      <w:r>
        <w:rPr>
          <w:rFonts w:ascii="Calibri" w:hAnsi="Calibri"/>
          <w:sz w:val="21"/>
        </w:rPr>
        <w:t>A ✕ close button (top-right) calling closeModal().</w:t>
      </w:r>
    </w:p>
    <w:p>
      <w:pPr>
        <w:pStyle w:val="ListBullet"/>
        <w:spacing w:before="40" w:after="80" w:lineRule="exact" w:line="300"/>
        <w:ind w:left="360"/>
      </w:pPr>
      <w:r>
        <w:rPr>
          <w:rFonts w:ascii="Calibri" w:hAnsi="Calibri"/>
          <w:sz w:val="21"/>
        </w:rPr>
        <w:t>A title (#modalTitle) set to 'AI Summary'.</w:t>
      </w:r>
    </w:p>
    <w:p>
      <w:pPr>
        <w:pStyle w:val="ListBullet"/>
        <w:spacing w:before="40" w:after="80" w:lineRule="exact" w:line="300"/>
        <w:ind w:left="360"/>
      </w:pPr>
      <w:r>
        <w:rPr>
          <w:rFonts w:ascii="Calibri" w:hAnsi="Calibri"/>
          <w:sz w:val="21"/>
        </w:rPr>
        <w:t>A subtitle (#modalSub) set to the patient name for context.</w:t>
      </w:r>
    </w:p>
    <w:p>
      <w:pPr>
        <w:pStyle w:val="ListBullet"/>
        <w:spacing w:before="40" w:after="80" w:lineRule="exact" w:line="300"/>
        <w:ind w:left="360"/>
      </w:pPr>
      <w:r>
        <w:rPr>
          <w:rFonts w:ascii="Calibri" w:hAnsi="Calibri"/>
          <w:sz w:val="21"/>
        </w:rPr>
        <w:t>A .summary-block pre-formatted div (#modalBody) rendering the LLM's four-section output with white-space:pre-wrap to preserve line breaks.</w:t>
      </w:r>
    </w:p>
    <w:p>
      <w:pPr>
        <w:spacing w:before="60" w:after="100" w:lineRule="exact" w:line="300"/>
      </w:pPr>
      <w:r>
        <w:rPr>
          <w:rFonts w:ascii="Calibri" w:hAnsi="Calibri"/>
          <w:color w:val="172321"/>
          <w:sz w:val="21"/>
        </w:rPr>
        <w:t>The overlay background registers a click handler that calls closeModal() if the click target is the overlay itself (not the modal card), enabling the common 'click outside to close' pattern without a separate invisible backdrop element.</w:t>
      </w:r>
    </w:p>
    <w:p>
      <w:pPr>
        <w:spacing w:before="280" w:after="40"/>
      </w:pPr>
      <w:r>
        <w:rPr>
          <w:rFonts w:ascii="Calibri" w:hAnsi="Calibri"/>
          <w:b/>
          <w:color w:val="15524F"/>
          <w:sz w:val="24"/>
        </w:rPr>
        <w:t>Health Report Section</w:t>
      </w:r>
    </w:p>
    <w:p>
      <w:pPr>
        <w:spacing w:before="60" w:after="100" w:lineRule="exact" w:line="300"/>
      </w:pPr>
      <w:r>
        <w:rPr>
          <w:rFonts w:ascii="Calibri" w:hAnsi="Calibri"/>
          <w:color w:val="172321"/>
          <w:sz w:val="21"/>
        </w:rPr>
        <w:t>The Report view uses standard HTML &lt;table&gt; elements with a &lt;thead&gt; for column labels and a &lt;tbody&gt; populated by renderReport(). Alternating row shading is provided by the browser's default table rendering since rows are inside a styled table container. The report includes:</w:t>
      </w:r>
    </w:p>
    <w:p>
      <w:pPr>
        <w:pStyle w:val="ListBullet"/>
        <w:spacing w:before="40" w:after="80" w:lineRule="exact" w:line="300"/>
        <w:ind w:left="360"/>
      </w:pPr>
      <w:r>
        <w:rPr>
          <w:rFonts w:ascii="Calibri" w:hAnsi="Calibri"/>
          <w:sz w:val="21"/>
        </w:rPr>
        <w:t>A stat strip matching the dashboard cards for at-a-glance compliance overview.</w:t>
      </w:r>
    </w:p>
    <w:p>
      <w:pPr>
        <w:pStyle w:val="ListBullet"/>
        <w:spacing w:before="40" w:after="80" w:lineRule="exact" w:line="300"/>
        <w:ind w:left="360"/>
      </w:pPr>
      <w:r>
        <w:rPr>
          <w:rFonts w:ascii="Calibri" w:hAnsi="Calibri"/>
          <w:sz w:val="21"/>
        </w:rPr>
        <w:t>An Appointments table with columns: Date/Time, Title, Doctor, Patient.</w:t>
      </w:r>
    </w:p>
    <w:p>
      <w:pPr>
        <w:pStyle w:val="ListBullet"/>
        <w:spacing w:before="40" w:after="80" w:lineRule="exact" w:line="300"/>
        <w:ind w:left="360"/>
      </w:pPr>
      <w:r>
        <w:rPr>
          <w:rFonts w:ascii="Calibri" w:hAnsi="Calibri"/>
          <w:sz w:val="21"/>
        </w:rPr>
        <w:t>A Medications compliance table with columns: Medicine, Dosage, Timing, Patient, Status (Taken/Pending).</w:t>
      </w:r>
    </w:p>
    <w:p>
      <w:pPr>
        <w:pStyle w:val="ListBullet"/>
        <w:spacing w:before="40" w:after="80" w:lineRule="exact" w:line="300"/>
        <w:ind w:left="360"/>
      </w:pPr>
      <w:r>
        <w:rPr>
          <w:rFonts w:ascii="Calibri" w:hAnsi="Calibri"/>
          <w:sz w:val="21"/>
        </w:rPr>
        <w:t>A Summaries section showing all AI summaries as expandable row items with full text.</w:t>
      </w:r>
    </w:p>
    <w:p>
      <w:pPr>
        <w:spacing w:before="60" w:after="100" w:lineRule="exact" w:line="300"/>
      </w:pPr>
      <w:r>
        <w:rPr>
          <w:rFonts w:ascii="Calibri" w:hAnsi="Calibri"/>
          <w:color w:val="172321"/>
          <w:sz w:val="21"/>
        </w:rPr>
        <w:t>The Print/Export button calls window.print(). The @media print CSS block hides the sidebar, topbar buttons, filter inputs, and action buttons, leaving only the report content for a clean paper or PDF output suitable for sharing with a doctor.</w:t>
      </w:r>
    </w:p>
    <w:p>
      <w:pPr>
        <w:spacing w:before="280" w:after="40"/>
      </w:pPr>
      <w:r>
        <w:rPr>
          <w:rFonts w:ascii="Calibri" w:hAnsi="Calibri"/>
          <w:b/>
          <w:color w:val="15524F"/>
          <w:sz w:val="24"/>
        </w:rPr>
        <w:t>Notification Components</w:t>
      </w:r>
    </w:p>
    <w:p>
      <w:pPr>
        <w:spacing w:before="200" w:after="40"/>
      </w:pPr>
      <w:r>
        <w:rPr>
          <w:rFonts w:ascii="Calibri" w:hAnsi="Calibri"/>
          <w:b/>
          <w:color w:val="D98E4A"/>
          <w:sz w:val="22"/>
        </w:rPr>
        <w:t>Toast Notifications</w:t>
      </w:r>
    </w:p>
    <w:p>
      <w:pPr>
        <w:spacing w:before="60" w:after="100" w:lineRule="exact" w:line="300"/>
      </w:pPr>
      <w:r>
        <w:rPr>
          <w:rFonts w:ascii="Calibri" w:hAnsi="Calibri"/>
          <w:color w:val="172321"/>
          <w:sz w:val="21"/>
        </w:rPr>
        <w:t>Toasts are created by the toast(msg, type) JavaScript function. A &lt;div&gt; with class '.toast' plus an optional type class ('success', 'error') is appended to the #toastWrap fixed container at the bottom-right of the viewport. The toast slides in via a CSS @keyframes animation (translateY from 8 px to 0, opacity 0 to 1) and is removed from the DOM after 3.5 seconds via setTimeout. Multiple toasts can be queued simultaneously and stack vertically inside the container.</w:t>
      </w:r>
    </w:p>
    <w:p>
      <w:pPr>
        <w:spacing w:before="200" w:after="40"/>
      </w:pPr>
      <w:r>
        <w:rPr>
          <w:rFonts w:ascii="Calibri" w:hAnsi="Calibri"/>
          <w:b/>
          <w:color w:val="D98E4A"/>
          <w:sz w:val="22"/>
        </w:rPr>
        <w:t>Toast Colour Semantics</w:t>
      </w:r>
    </w:p>
    <w:tbl>
      <w:tblPr>
        <w:tblStyle w:val="TableGrid"/>
        <w:tblW w:type="auto" w:w="0"/>
        <w:jc w:val="left"/>
        <w:tblLook w:firstColumn="1" w:firstRow="1" w:lastColumn="0" w:lastRow="0" w:noHBand="0" w:noVBand="1" w:val="04A0"/>
      </w:tblPr>
      <w:tblGrid>
        <w:gridCol w:w="4392"/>
        <w:gridCol w:w="4392"/>
      </w:tblGrid>
      <w:tr>
        <w:tc>
          <w:tcPr>
            <w:tcW w:type="dxa" w:w="2592"/>
            <w:shd w:val="clear" w:color="auto" w:fill="0F3D3E"/>
          </w:tcPr>
          <w:p>
            <w:pPr>
              <w:spacing w:before="80" w:after="80"/>
              <w:jc w:val="left"/>
            </w:pPr>
            <w:r>
              <w:rPr>
                <w:rFonts w:ascii="Calibri" w:hAnsi="Calibri"/>
                <w:b/>
                <w:color w:val="FFFFFF"/>
                <w:sz w:val="20"/>
              </w:rPr>
              <w:t>Function</w:t>
            </w:r>
          </w:p>
        </w:tc>
        <w:tc>
          <w:tcPr>
            <w:tcW w:type="dxa" w:w="6624"/>
            <w:shd w:val="clear" w:color="auto" w:fill="0F3D3E"/>
          </w:tcPr>
          <w:p>
            <w:pPr>
              <w:spacing w:before="80" w:after="80"/>
              <w:jc w:val="left"/>
            </w:pPr>
            <w:r>
              <w:rPr>
                <w:rFonts w:ascii="Calibri" w:hAnsi="Calibri"/>
                <w:b/>
                <w:color w:val="FFFFFF"/>
                <w:sz w:val="20"/>
              </w:rPr>
              <w:t>Description</w:t>
            </w:r>
          </w:p>
        </w:tc>
      </w:tr>
      <w:tr>
        <w:tc>
          <w:tcPr>
            <w:tcW w:type="dxa" w:w="2592"/>
            <w:shd w:val="clear" w:color="auto" w:fill="E4EFEC"/>
          </w:tcPr>
          <w:p>
            <w:pPr>
              <w:spacing w:before="60" w:after="60"/>
            </w:pPr>
            <w:r>
              <w:rPr>
                <w:rFonts w:ascii="Courier New" w:hAnsi="Courier New"/>
                <w:b/>
                <w:color w:val="0F3D3E"/>
                <w:sz w:val="19"/>
              </w:rPr>
              <w:t>Default (no type)</w:t>
            </w:r>
          </w:p>
        </w:tc>
        <w:tc>
          <w:tcPr>
            <w:tcW w:type="dxa" w:w="6624"/>
            <w:shd w:val="clear" w:color="auto" w:fill="E4EFEC"/>
          </w:tcPr>
          <w:p>
            <w:pPr>
              <w:spacing w:before="60" w:after="60"/>
            </w:pPr>
            <w:r>
              <w:rPr>
                <w:rFonts w:ascii="Calibri" w:hAnsi="Calibri"/>
                <w:color w:val="172321"/>
                <w:sz w:val="20"/>
              </w:rPr>
              <w:t>Dark teal (#0F3D3E) — neutral informational messages (e.g. 'Calendar event link ready').</w:t>
            </w:r>
          </w:p>
        </w:tc>
      </w:tr>
      <w:tr>
        <w:tc>
          <w:tcPr>
            <w:tcW w:type="dxa" w:w="2592"/>
            <w:shd w:val="clear" w:color="auto" w:fill="FFFFFF"/>
          </w:tcPr>
          <w:p>
            <w:pPr>
              <w:spacing w:before="60" w:after="60"/>
            </w:pPr>
            <w:r>
              <w:rPr>
                <w:rFonts w:ascii="Courier New" w:hAnsi="Courier New"/>
                <w:b/>
                <w:color w:val="0F3D3E"/>
                <w:sz w:val="19"/>
              </w:rPr>
              <w:t>.success</w:t>
            </w:r>
          </w:p>
        </w:tc>
        <w:tc>
          <w:tcPr>
            <w:tcW w:type="dxa" w:w="6624"/>
            <w:shd w:val="clear" w:color="auto" w:fill="FFFFFF"/>
          </w:tcPr>
          <w:p>
            <w:pPr>
              <w:spacing w:before="60" w:after="60"/>
            </w:pPr>
            <w:r>
              <w:rPr>
                <w:rFonts w:ascii="Calibri" w:hAnsi="Calibri"/>
                <w:color w:val="172321"/>
                <w:sz w:val="20"/>
              </w:rPr>
              <w:t>Dark green (#3F8F6F) — confirmed successful operations (e.g. 'Appointment saved', 'SMS sent').</w:t>
            </w:r>
          </w:p>
        </w:tc>
      </w:tr>
      <w:tr>
        <w:tc>
          <w:tcPr>
            <w:tcW w:type="dxa" w:w="2592"/>
            <w:shd w:val="clear" w:color="auto" w:fill="E4EFEC"/>
          </w:tcPr>
          <w:p>
            <w:pPr>
              <w:spacing w:before="60" w:after="60"/>
            </w:pPr>
            <w:r>
              <w:rPr>
                <w:rFonts w:ascii="Courier New" w:hAnsi="Courier New"/>
                <w:b/>
                <w:color w:val="0F3D3E"/>
                <w:sz w:val="19"/>
              </w:rPr>
              <w:t>.error</w:t>
            </w:r>
          </w:p>
        </w:tc>
        <w:tc>
          <w:tcPr>
            <w:tcW w:type="dxa" w:w="6624"/>
            <w:shd w:val="clear" w:color="auto" w:fill="E4EFEC"/>
          </w:tcPr>
          <w:p>
            <w:pPr>
              <w:spacing w:before="60" w:after="60"/>
            </w:pPr>
            <w:r>
              <w:rPr>
                <w:rFonts w:ascii="Calibri" w:hAnsi="Calibri"/>
                <w:color w:val="172321"/>
                <w:sz w:val="20"/>
              </w:rPr>
              <w:t>Dark red (#C75450) — validation failures, network errors, or service configuration issues.</w:t>
            </w:r>
          </w:p>
        </w:tc>
      </w:tr>
    </w:tbl>
    <w:p>
      <w:pPr>
        <w:spacing w:after="160"/>
      </w:pPr>
    </w:p>
    <w:p>
      <w:pPr>
        <w:spacing w:before="200" w:after="40"/>
      </w:pPr>
      <w:r>
        <w:rPr>
          <w:rFonts w:ascii="Calibri" w:hAnsi="Calibri"/>
          <w:b/>
          <w:color w:val="D98E4A"/>
          <w:sz w:val="22"/>
        </w:rPr>
        <w:t>Form Validation Feedback</w:t>
      </w:r>
    </w:p>
    <w:p>
      <w:pPr>
        <w:spacing w:before="60" w:after="100" w:lineRule="exact" w:line="300"/>
      </w:pPr>
      <w:r>
        <w:rPr>
          <w:rFonts w:ascii="Calibri" w:hAnsi="Calibri"/>
          <w:color w:val="172321"/>
          <w:sz w:val="21"/>
        </w:rPr>
        <w:t>All required form fields use the HTML required attribute, which prevents submission and shows browser-native validation tooltips for empty required fields. No custom validation JavaScript is written — this keeps the codebase lean while providing consistent cross-browser validation UX.</w:t>
      </w:r>
    </w:p>
    <w:p>
      <w:pPr>
        <w:spacing w:before="200" w:after="40"/>
      </w:pPr>
      <w:r>
        <w:rPr>
          <w:rFonts w:ascii="Calibri" w:hAnsi="Calibri"/>
          <w:b/>
          <w:color w:val="D98E4A"/>
          <w:sz w:val="22"/>
        </w:rPr>
        <w:t>Empty State Messages</w:t>
      </w:r>
    </w:p>
    <w:p>
      <w:pPr>
        <w:spacing w:before="60" w:after="100" w:lineRule="exact" w:line="300"/>
      </w:pPr>
      <w:r>
        <w:rPr>
          <w:rFonts w:ascii="Calibri" w:hAnsi="Calibri"/>
          <w:color w:val="172321"/>
          <w:sz w:val="21"/>
        </w:rPr>
        <w:t>When a list has no records to display (no appointments, no medications, no summaries), a .empty div with muted colour text and padding provides a friendly prompt to add the first record. Examples: 'No appointments yet — add one to get started', 'All caught up — no pending medications'. Empty state text follows the interface writing principle of directing users to an action rather than simply stating absence.</w:t>
      </w:r>
    </w:p>
    <w:p>
      <w:pPr>
        <w:spacing w:before="200" w:after="40"/>
      </w:pPr>
      <w:r>
        <w:rPr>
          <w:rFonts w:ascii="Calibri" w:hAnsi="Calibri"/>
          <w:b/>
          <w:color w:val="D98E4A"/>
          <w:sz w:val="22"/>
        </w:rPr>
        <w:t>ECG Pulse Divider (Signature Element)</w:t>
      </w:r>
    </w:p>
    <w:p>
      <w:pPr>
        <w:spacing w:before="60" w:after="100" w:lineRule="exact" w:line="300"/>
      </w:pPr>
      <w:r>
        <w:rPr>
          <w:rFonts w:ascii="Calibri" w:hAnsi="Calibri"/>
          <w:color w:val="172321"/>
          <w:sz w:val="21"/>
        </w:rPr>
        <w:t>The SVG ECG waveform above the main content area is both a visual signature and a subtle animation. The SVG path defines an ECG-like waveform (flat, spike up, spike down, flat). The stroke-dasharray and stroke-dashoffset CSS properties are set to the total path length, and a @keyframes animation transitions stroke-dashoffset from the full length to zero over 1.6 seconds, creating a drawing-on-screen effect. This animation plays on every initial render, reinforcing the healthcare context at a glance.</w:t>
      </w:r>
    </w:p>
    <w:p>
      <w:r>
        <w:br w:type="page"/>
      </w:r>
    </w:p>
    <w:p>
      <w:pPr>
        <w:spacing w:before="400" w:after="40"/>
        <w:pBdr>
          <w:bottom w:val="single" w:sz="6" w:space="4" w:color="0F3D3E"/>
        </w:pBdr>
      </w:pPr>
      <w:r>
        <w:rPr>
          <w:rFonts w:ascii="Calibri" w:hAnsi="Calibri"/>
          <w:b/>
          <w:color w:val="0F3D3E"/>
          <w:sz w:val="30"/>
        </w:rPr>
        <w:t>Conclusion</w:t>
      </w:r>
    </w:p>
    <w:p>
      <w:pPr>
        <w:spacing w:before="60" w:after="100" w:lineRule="exact" w:line="300"/>
      </w:pPr>
      <w:r>
        <w:rPr>
          <w:rFonts w:ascii="Calibri" w:hAnsi="Calibri"/>
          <w:color w:val="172321"/>
          <w:sz w:val="21"/>
        </w:rPr>
        <w:t>The RK Health frontend demonstrates how a complete, production-quality healthcare dashboard can be built using only standard web technologies without a JavaScript framework or build toolchain. The single-file architecture enables instant deployment to GitHub Pages while the CSS custom property system, responsive grid layouts, and modular JavaScript STATE pattern produce a maintainable and extensible codebase.</w:t>
      </w:r>
    </w:p>
    <w:p>
      <w:pPr>
        <w:spacing w:before="60" w:after="100" w:lineRule="exact" w:line="300"/>
      </w:pPr>
      <w:r>
        <w:rPr>
          <w:rFonts w:ascii="Calibri" w:hAnsi="Calibri"/>
          <w:color w:val="172321"/>
          <w:sz w:val="21"/>
        </w:rPr>
        <w:t>Each UI component is purpose-built for its module: appointment rows surface calendar integration immediately, medication rows expose compliance tracking and SMS controls inline, the AI summary modal delivers the LLM output in a focused reading experience, and the report view transforms the full dataset into a printable patient document. Toast notifications and empty-state messaging ensure users receive clear, actionable feedback at every stage of interaction.</w:t>
      </w:r>
    </w:p>
    <w:p>
      <w:pPr>
        <w:spacing w:before="60" w:after="100" w:lineRule="exact" w:line="300"/>
      </w:pPr>
      <w:r>
        <w:rPr>
          <w:rFonts w:ascii="Calibri" w:hAnsi="Calibri"/>
          <w:color w:val="172321"/>
          <w:sz w:val="21"/>
        </w:rPr>
        <w:t>The ECG pulse divider, amber accent system, and IBM Plex Mono data typography give the dashboard a coherent healthcare identity without relying on stock dashboard templates. The result is an interface that communicates domain expertise through its design choices as much as through its functionality.</w:t>
      </w:r>
    </w:p>
    <w:sectPr w:rsidR="00FC693F" w:rsidRPr="0006063C" w:rsidSect="00034616">
      <w:pgSz w:w="12240" w:h="15840"/>
      <w:pgMar w:top="1584"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