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LTX-2.3 on Modal</w:t>
      </w:r>
    </w:p>
    <w:p>
      <w:pPr>
        <w:pStyle w:val="Subtitle"/>
      </w:pPr>
      <w:r>
        <w:t>On-demand video generation | Request lifecycle and deployment design</w:t>
      </w:r>
    </w:p>
    <w:p>
      <w:r>
        <w:t>Technical design specification  •  10 October 2026  •  Architecture scope: serving only</w:t>
      </w:r>
    </w:p>
    <w:p>
      <w:pPr>
        <w:pStyle w:val="Heading1"/>
      </w:pPr>
      <w:r>
        <w:t>1. Objective and scope</w:t>
      </w:r>
    </w:p>
    <w:p>
      <w:r>
        <w:t>Deploy the LTX-2.3 video generation model as a serverless Modal GPU worker, invoked only when an authenticated application request needs a video. Support initial text-to-video (T2V) and image-to-video (I2V) workflows. Return a durable job ID immediately; save completed MP4 files in object storage. No persistent GPU service is required.</w:t>
      </w:r>
    </w:p>
    <w:p>
      <w:r>
        <w:t>Not in scope: model training, fine-tuning, multi-tenant billing, advanced multi-reference editing, or production latency guarantees. The first milestone is one validated inference pipeline end to end.</w:t>
      </w:r>
    </w:p>
    <w:p>
      <w:pPr>
        <w:pStyle w:val="Heading1"/>
      </w:pPr>
      <w:r>
        <w:t>2. Architecture and responsibility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Component</w:t>
            </w:r>
          </w:p>
        </w:tc>
        <w:tc>
          <w:tcPr>
            <w:tcW w:type="dxa" w:w="3264"/>
          </w:tcPr>
          <w:p>
            <w:r>
              <w:t>Responsibility</w:t>
            </w:r>
          </w:p>
        </w:tc>
        <w:tc>
          <w:tcPr>
            <w:tcW w:type="dxa" w:w="3264"/>
          </w:tcPr>
          <w:p>
            <w:r>
              <w:t>Runtime</w:t>
            </w:r>
          </w:p>
        </w:tc>
      </w:tr>
      <w:tr>
        <w:tc>
          <w:tcPr>
            <w:tcW w:type="dxa" w:w="3264"/>
          </w:tcPr>
          <w:p>
            <w:r>
              <w:t>Client</w:t>
            </w:r>
          </w:p>
        </w:tc>
        <w:tc>
          <w:tcPr>
            <w:tcW w:type="dxa" w:w="3264"/>
          </w:tcPr>
          <w:p>
            <w:r>
              <w:t>Prompt, source image upload, job submission and progress/result UI</w:t>
            </w:r>
          </w:p>
        </w:tc>
        <w:tc>
          <w:tcPr>
            <w:tcW w:type="dxa" w:w="3264"/>
          </w:tcPr>
          <w:p>
            <w:r>
              <w:t>Existing web/mobile app</w:t>
            </w:r>
          </w:p>
        </w:tc>
      </w:tr>
      <w:tr>
        <w:tc>
          <w:tcPr>
            <w:tcW w:type="dxa" w:w="3264"/>
          </w:tcPr>
          <w:p>
            <w:r>
              <w:t>Backend API</w:t>
            </w:r>
          </w:p>
        </w:tc>
        <w:tc>
          <w:tcPr>
            <w:tcW w:type="dxa" w:w="3264"/>
          </w:tcPr>
          <w:p>
            <w:r>
              <w:t>Auth, validation, upload URL issuance, job DB writes, Modal invocation</w:t>
            </w:r>
          </w:p>
        </w:tc>
        <w:tc>
          <w:tcPr>
            <w:tcW w:type="dxa" w:w="3264"/>
          </w:tcPr>
          <w:p>
            <w:r>
              <w:t>Existing FastAPI/Node backend</w:t>
            </w:r>
          </w:p>
        </w:tc>
      </w:tr>
      <w:tr>
        <w:tc>
          <w:tcPr>
            <w:tcW w:type="dxa" w:w="3264"/>
          </w:tcPr>
          <w:p>
            <w:r>
              <w:t>PostgreSQL</w:t>
            </w:r>
          </w:p>
        </w:tc>
        <w:tc>
          <w:tcPr>
            <w:tcW w:type="dxa" w:w="3264"/>
          </w:tcPr>
          <w:p>
            <w:r>
              <w:t>Job state, ownership, timestamps, external call ID, retries, output key</w:t>
            </w:r>
          </w:p>
        </w:tc>
        <w:tc>
          <w:tcPr>
            <w:tcW w:type="dxa" w:w="3264"/>
          </w:tcPr>
          <w:p>
            <w:r>
              <w:t>Persistent DB</w:t>
            </w:r>
          </w:p>
        </w:tc>
      </w:tr>
      <w:tr>
        <w:tc>
          <w:tcPr>
            <w:tcW w:type="dxa" w:w="3264"/>
          </w:tcPr>
          <w:p>
            <w:r>
              <w:t>Object storage</w:t>
            </w:r>
          </w:p>
        </w:tc>
        <w:tc>
          <w:tcPr>
            <w:tcW w:type="dxa" w:w="3264"/>
          </w:tcPr>
          <w:p>
            <w:r>
              <w:t>Private input images and output MP4; presigned upload/download URLs</w:t>
            </w:r>
          </w:p>
        </w:tc>
        <w:tc>
          <w:tcPr>
            <w:tcW w:type="dxa" w:w="3264"/>
          </w:tcPr>
          <w:p>
            <w:r>
              <w:t>S3 or equivalent</w:t>
            </w:r>
          </w:p>
        </w:tc>
      </w:tr>
      <w:tr>
        <w:tc>
          <w:tcPr>
            <w:tcW w:type="dxa" w:w="3264"/>
          </w:tcPr>
          <w:p>
            <w:r>
              <w:t>Modal worker</w:t>
            </w:r>
          </w:p>
        </w:tc>
        <w:tc>
          <w:tcPr>
            <w:tcW w:type="dxa" w:w="3264"/>
          </w:tcPr>
          <w:p>
            <w:r>
              <w:t>Initialize model, perform LTX-2.3 inference, encode video, upload result</w:t>
            </w:r>
          </w:p>
        </w:tc>
        <w:tc>
          <w:tcPr>
            <w:tcW w:type="dxa" w:w="3264"/>
          </w:tcPr>
          <w:p>
            <w:r>
              <w:t>On-demand NVIDIA GPU</w:t>
            </w:r>
          </w:p>
        </w:tc>
      </w:tr>
      <w:tr>
        <w:tc>
          <w:tcPr>
            <w:tcW w:type="dxa" w:w="3264"/>
          </w:tcPr>
          <w:p>
            <w:r>
              <w:t>Model cache</w:t>
            </w:r>
          </w:p>
        </w:tc>
        <w:tc>
          <w:tcPr>
            <w:tcW w:type="dxa" w:w="3264"/>
          </w:tcPr>
          <w:p>
            <w:r>
              <w:t>Retain downloaded checkpoints and encoder files across container lifetimes</w:t>
            </w:r>
          </w:p>
        </w:tc>
        <w:tc>
          <w:tcPr>
            <w:tcW w:type="dxa" w:w="3264"/>
          </w:tcPr>
          <w:p>
            <w:r>
              <w:t>Modal Volume / prebuilt image or equivalent</w:t>
            </w:r>
          </w:p>
        </w:tc>
      </w:tr>
    </w:tbl>
    <w:p>
      <w:pPr>
        <w:pStyle w:val="Heading1"/>
      </w:pPr>
      <w:r>
        <w:t>3. Request-to-result flow (recommended)</w:t>
      </w:r>
    </w:p>
    <w:p>
      <w:r>
        <w:rPr>
          <w:b/>
        </w:rPr>
        <w:t xml:space="preserve">1. Upload — </w:t>
      </w:r>
      <w:r>
        <w:t>Client asks backend for a short-lived, scoped upload URL. Client uploads its image directly to S3; T2V skips this step. Backend will trust only ownership-checked object keys, not arbitrary URLs.</w:t>
      </w:r>
    </w:p>
    <w:p>
      <w:r>
        <w:rPr>
          <w:b/>
        </w:rPr>
        <w:t xml:space="preserve">2. Submit — </w:t>
      </w:r>
      <w:r>
        <w:t>Client POSTs /v1/videos with prompt, mode=t2v|i2v, optional input_asset_id, duration, resolution, seed, and idempotency key. Backend authenticates and validates limits.</w:t>
      </w:r>
    </w:p>
    <w:p>
      <w:r>
        <w:rPr>
          <w:b/>
        </w:rPr>
        <w:t xml:space="preserve">3. Create record — </w:t>
      </w:r>
      <w:r>
        <w:t>Backend inserts job status=queued, internal job_id, user_id, parameter snapshot, and object keys. Idempotency key maps repeated client submissions to the existing job.</w:t>
      </w:r>
    </w:p>
    <w:p>
      <w:r>
        <w:rPr>
          <w:b/>
        </w:rPr>
        <w:t xml:space="preserve">4. Invoke Modal — </w:t>
      </w:r>
      <w:r>
        <w:t>Backend calls deployed Modal Function asynchronously with job ID and references to input objects. Save the Modal function-call ID where available. Return HTTP 202 {job_id,status} without waiting for inference.</w:t>
      </w:r>
    </w:p>
    <w:p>
      <w:r>
        <w:rPr>
          <w:b/>
        </w:rPr>
        <w:t xml:space="preserve">5. GPU allocation — </w:t>
      </w:r>
      <w:r>
        <w:t>Modal provisions an eligible GPU container on demand. If none is warm, it experiences a cold start; container initialization loads LTX-2.3 checkpoint + matching text encoder from the cache.</w:t>
      </w:r>
    </w:p>
    <w:p>
      <w:r>
        <w:rPr>
          <w:b/>
        </w:rPr>
        <w:t xml:space="preserve">6. Inference — </w:t>
      </w:r>
      <w:r>
        <w:t>Worker fetches/validates the source image, chooses the tested T2V or I2V pipeline, applies capped settings, runs generation, encodes video and audio if enabled/supported by that pipeline.</w:t>
      </w:r>
    </w:p>
    <w:p>
      <w:r>
        <w:rPr>
          <w:b/>
        </w:rPr>
        <w:t xml:space="preserve">7. Persist output — </w:t>
      </w:r>
      <w:r>
        <w:t>Worker uploads a completed MP4 to private object storage and records output key, runtime metrics, model version, status=succeeded. Failure writes a sanitized error and status=failed.</w:t>
      </w:r>
    </w:p>
    <w:p>
      <w:r>
        <w:rPr>
          <w:b/>
        </w:rPr>
        <w:t xml:space="preserve">8. Retrieve — </w:t>
      </w:r>
      <w:r>
        <w:t>Client polls GET /v1/videos/{job_id}; when succeeded backend returns a short-lived signed URL via a separate download endpoint or status response. Video bytes do not transit the API server.</w:t>
      </w:r>
    </w:p>
    <w:p>
      <w:r>
        <w:rPr>
          <w:b/>
        </w:rPr>
        <w:t xml:space="preserve">9. Idle scale-down — </w:t>
      </w:r>
      <w:r>
        <w:t>With min_containers=0 Modal can release the GPU after idle window. Model files remain cached on durable storage; RAM/VRAM model state is not retained once container terminates.</w:t>
      </w:r>
    </w:p>
    <w:p>
      <w:pPr>
        <w:pStyle w:val="Heading1"/>
      </w:pPr>
      <w:r>
        <w:t>4. Job states and API contract</w:t>
      </w:r>
    </w:p>
    <w:p>
      <w:r>
        <w:t>Job states: queued → running → succeeded | failed | cancelled. Optionally split queued into dispatching/waiting_for_gpu for clearer monitoring. Only the backend/worker may transition states.</w:t>
      </w:r>
    </w:p>
    <w:p>
      <w:r>
        <w:t>POST /v1/videos (illustrative application API; not a built-in Modal endpoint)</w:t>
      </w:r>
    </w:p>
    <w:p>
      <w:r>
        <w:t>Request JSON: {"mode":"i2v","prompt":"Slow dolly in, natural motion","input_asset_id":"asset_123","duration_seconds":5,"resolution":"720p","seed":42}</w:t>
      </w:r>
    </w:p>
    <w:p>
      <w:r>
        <w:t>202 response: {"job_id":"vid_123","status":"queued","status_url":"/v1/videos/vid_123"}</w:t>
      </w:r>
    </w:p>
    <w:p>
      <w:r>
        <w:t>GET /v1/videos/vid_123 → {"job_id":"vid_123","status":"running","progress":null} or {"status":"succeeded","video_url":"&lt;short-lived signed URL&gt;"}. Do not synthesize a numerical progress percentage if the pipeline cannot report meaningful progress.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Required rule</w:t>
            </w:r>
          </w:p>
        </w:tc>
      </w:tr>
      <w:tr>
        <w:tc>
          <w:tcPr>
            <w:tcW w:type="dxa" w:w="4896"/>
          </w:tcPr>
          <w:p>
            <w:r>
              <w:t>mode</w:t>
            </w:r>
          </w:p>
        </w:tc>
        <w:tc>
          <w:tcPr>
            <w:tcW w:type="dxa" w:w="4896"/>
          </w:tcPr>
          <w:p>
            <w:r>
              <w:t>t2v or i2v; i2v requires owned asset</w:t>
            </w:r>
          </w:p>
        </w:tc>
      </w:tr>
      <w:tr>
        <w:tc>
          <w:tcPr>
            <w:tcW w:type="dxa" w:w="4896"/>
          </w:tcPr>
          <w:p>
            <w:r>
              <w:t>prompt</w:t>
            </w:r>
          </w:p>
        </w:tc>
        <w:tc>
          <w:tcPr>
            <w:tcW w:type="dxa" w:w="4896"/>
          </w:tcPr>
          <w:p>
            <w:r>
              <w:t>Non-empty with server-side max length</w:t>
            </w:r>
          </w:p>
        </w:tc>
      </w:tr>
      <w:tr>
        <w:tc>
          <w:tcPr>
            <w:tcW w:type="dxa" w:w="4896"/>
          </w:tcPr>
          <w:p>
            <w:r>
              <w:t>duration/resolution/fps</w:t>
            </w:r>
          </w:p>
        </w:tc>
        <w:tc>
          <w:tcPr>
            <w:tcW w:type="dxa" w:w="4896"/>
          </w:tcPr>
          <w:p>
            <w:r>
              <w:t>Allow only benchmarked supported combinations</w:t>
            </w:r>
          </w:p>
        </w:tc>
      </w:tr>
      <w:tr>
        <w:tc>
          <w:tcPr>
            <w:tcW w:type="dxa" w:w="4896"/>
          </w:tcPr>
          <w:p>
            <w:r>
              <w:t>seed</w:t>
            </w:r>
          </w:p>
        </w:tc>
        <w:tc>
          <w:tcPr>
            <w:tcW w:type="dxa" w:w="4896"/>
          </w:tcPr>
          <w:p>
            <w:r>
              <w:t>Optional integer with backend-generated default</w:t>
            </w:r>
          </w:p>
        </w:tc>
      </w:tr>
      <w:tr>
        <w:tc>
          <w:tcPr>
            <w:tcW w:type="dxa" w:w="4896"/>
          </w:tcPr>
          <w:p>
            <w:r>
              <w:t>idempotency</w:t>
            </w:r>
          </w:p>
        </w:tc>
        <w:tc>
          <w:tcPr>
            <w:tcW w:type="dxa" w:w="4896"/>
          </w:tcPr>
          <w:p>
            <w:r>
              <w:t>Persist caller key and reject conflicting reuse</w:t>
            </w:r>
          </w:p>
        </w:tc>
      </w:tr>
      <w:tr>
        <w:tc>
          <w:tcPr>
            <w:tcW w:type="dxa" w:w="4896"/>
          </w:tcPr>
          <w:p>
            <w:r>
              <w:t>asset IDs</w:t>
            </w:r>
          </w:p>
        </w:tc>
        <w:tc>
          <w:tcPr>
            <w:tcW w:type="dxa" w:w="4896"/>
          </w:tcPr>
          <w:p>
            <w:r>
              <w:t>Resolve private objects by ownership; never accept unchecked arbitrary fetch URLs</w:t>
            </w:r>
          </w:p>
        </w:tc>
      </w:tr>
    </w:tbl>
    <w:p>
      <w:pPr>
        <w:pStyle w:val="Heading1"/>
      </w:pPr>
      <w:r>
        <w:t>5. Modal deployment settings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Setting</w:t>
            </w:r>
          </w:p>
        </w:tc>
        <w:tc>
          <w:tcPr>
            <w:tcW w:type="dxa" w:w="3264"/>
          </w:tcPr>
          <w:p>
            <w:r>
              <w:t>Initial recommendation</w:t>
            </w:r>
          </w:p>
        </w:tc>
        <w:tc>
          <w:tcPr>
            <w:tcW w:type="dxa" w:w="3264"/>
          </w:tcPr>
          <w:p>
            <w:r>
              <w:t>Why</w:t>
            </w:r>
          </w:p>
        </w:tc>
      </w:tr>
      <w:tr>
        <w:tc>
          <w:tcPr>
            <w:tcW w:type="dxa" w:w="3264"/>
          </w:tcPr>
          <w:p>
            <w:r>
              <w:t>GPU</w:t>
            </w:r>
          </w:p>
        </w:tc>
        <w:tc>
          <w:tcPr>
            <w:tcW w:type="dxa" w:w="3264"/>
          </w:tcPr>
          <w:p>
            <w:r>
              <w:t>H100 80 GB baseline; benchmark RTX PRO 6000 96 GB</w:t>
            </w:r>
          </w:p>
        </w:tc>
        <w:tc>
          <w:tcPr>
            <w:tcW w:type="dxa" w:w="3264"/>
          </w:tcPr>
          <w:p>
            <w:r>
              <w:t>High-memory starting point for 22B pipeline</w:t>
            </w:r>
          </w:p>
        </w:tc>
      </w:tr>
      <w:tr>
        <w:tc>
          <w:tcPr>
            <w:tcW w:type="dxa" w:w="3264"/>
          </w:tcPr>
          <w:p>
            <w:r>
              <w:t>min_containers</w:t>
            </w:r>
          </w:p>
        </w:tc>
        <w:tc>
          <w:tcPr>
            <w:tcW w:type="dxa" w:w="3264"/>
          </w:tcPr>
          <w:p>
            <w:r>
              <w:t>0</w:t>
            </w:r>
          </w:p>
        </w:tc>
        <w:tc>
          <w:tcPr>
            <w:tcW w:type="dxa" w:w="3264"/>
          </w:tcPr>
          <w:p>
            <w:r>
              <w:t>Pay for active/cold-start runtime rather than 24/7 GPU</w:t>
            </w:r>
          </w:p>
        </w:tc>
      </w:tr>
      <w:tr>
        <w:tc>
          <w:tcPr>
            <w:tcW w:type="dxa" w:w="3264"/>
          </w:tcPr>
          <w:p>
            <w:r>
              <w:t>max_containers</w:t>
            </w:r>
          </w:p>
        </w:tc>
        <w:tc>
          <w:tcPr>
            <w:tcW w:type="dxa" w:w="3264"/>
          </w:tcPr>
          <w:p>
            <w:r>
              <w:t>1 initially, then raise with budget guardrails</w:t>
            </w:r>
          </w:p>
        </w:tc>
        <w:tc>
          <w:tcPr>
            <w:tcW w:type="dxa" w:w="3264"/>
          </w:tcPr>
          <w:p>
            <w:r>
              <w:t>Predictable concurrency and spend</w:t>
            </w:r>
          </w:p>
        </w:tc>
      </w:tr>
      <w:tr>
        <w:tc>
          <w:tcPr>
            <w:tcW w:type="dxa" w:w="3264"/>
          </w:tcPr>
          <w:p>
            <w:r>
              <w:t>scaledown_window</w:t>
            </w:r>
          </w:p>
        </w:tc>
        <w:tc>
          <w:tcPr>
            <w:tcW w:type="dxa" w:w="3264"/>
          </w:tcPr>
          <w:p>
            <w:r>
              <w:t>60–180 seconds, tune after measurements</w:t>
            </w:r>
          </w:p>
        </w:tc>
        <w:tc>
          <w:tcPr>
            <w:tcW w:type="dxa" w:w="3264"/>
          </w:tcPr>
          <w:p>
            <w:r>
              <w:t>Reuse loaded model for nearby requests without keeping it always on</w:t>
            </w:r>
          </w:p>
        </w:tc>
      </w:tr>
      <w:tr>
        <w:tc>
          <w:tcPr>
            <w:tcW w:type="dxa" w:w="3264"/>
          </w:tcPr>
          <w:p>
            <w:r>
              <w:t>timeout / startup_timeout</w:t>
            </w:r>
          </w:p>
        </w:tc>
        <w:tc>
          <w:tcPr>
            <w:tcW w:type="dxa" w:w="3264"/>
          </w:tcPr>
          <w:p>
            <w:r>
              <w:t>Set based on realistic longest render / download</w:t>
            </w:r>
          </w:p>
        </w:tc>
        <w:tc>
          <w:tcPr>
            <w:tcW w:type="dxa" w:w="3264"/>
          </w:tcPr>
          <w:p>
            <w:r>
              <w:t>Avoid terminating valid cold-start work</w:t>
            </w:r>
          </w:p>
        </w:tc>
      </w:tr>
      <w:tr>
        <w:tc>
          <w:tcPr>
            <w:tcW w:type="dxa" w:w="3264"/>
          </w:tcPr>
          <w:p>
            <w:r>
              <w:t>checkpoint cache</w:t>
            </w:r>
          </w:p>
        </w:tc>
        <w:tc>
          <w:tcPr>
            <w:tcW w:type="dxa" w:w="3264"/>
          </w:tcPr>
          <w:p>
            <w:r>
              <w:t>Persistent Modal Volume or model baked into image</w:t>
            </w:r>
          </w:p>
        </w:tc>
        <w:tc>
          <w:tcPr>
            <w:tcW w:type="dxa" w:w="3264"/>
          </w:tcPr>
          <w:p>
            <w:r>
              <w:t>Avoid network download on every request</w:t>
            </w:r>
          </w:p>
        </w:tc>
      </w:tr>
      <w:tr>
        <w:tc>
          <w:tcPr>
            <w:tcW w:type="dxa" w:w="3264"/>
          </w:tcPr>
          <w:p>
            <w:r>
              <w:t>credentials</w:t>
            </w:r>
          </w:p>
        </w:tc>
        <w:tc>
          <w:tcPr>
            <w:tcW w:type="dxa" w:w="3264"/>
          </w:tcPr>
          <w:p>
            <w:r>
              <w:t>Modal Secrets / least-privilege S3 credentials</w:t>
            </w:r>
          </w:p>
        </w:tc>
        <w:tc>
          <w:tcPr>
            <w:tcW w:type="dxa" w:w="3264"/>
          </w:tcPr>
          <w:p>
            <w:r>
              <w:t>No keys baked into image</w:t>
            </w:r>
          </w:p>
        </w:tc>
      </w:tr>
      <w:tr>
        <w:tc>
          <w:tcPr>
            <w:tcW w:type="dxa" w:w="3264"/>
          </w:tcPr>
          <w:p>
            <w:r>
              <w:t>request payload</w:t>
            </w:r>
          </w:p>
        </w:tc>
        <w:tc>
          <w:tcPr>
            <w:tcW w:type="dxa" w:w="3264"/>
          </w:tcPr>
          <w:p>
            <w:r>
              <w:t>Identifiers and parameters, not raw images</w:t>
            </w:r>
          </w:p>
        </w:tc>
        <w:tc>
          <w:tcPr>
            <w:tcW w:type="dxa" w:w="3264"/>
          </w:tcPr>
          <w:p>
            <w:r>
              <w:t>Avoid huge invocation payloads</w:t>
            </w:r>
          </w:p>
        </w:tc>
      </w:tr>
      <w:tr>
        <w:tc>
          <w:tcPr>
            <w:tcW w:type="dxa" w:w="3264"/>
          </w:tcPr>
          <w:p>
            <w:r>
              <w:t>concurrency</w:t>
            </w:r>
          </w:p>
        </w:tc>
        <w:tc>
          <w:tcPr>
            <w:tcW w:type="dxa" w:w="3264"/>
          </w:tcPr>
          <w:p>
            <w:r>
              <w:t>1 inference per GPU container to start</w:t>
            </w:r>
          </w:p>
        </w:tc>
        <w:tc>
          <w:tcPr>
            <w:tcW w:type="dxa" w:w="3264"/>
          </w:tcPr>
          <w:p>
            <w:r>
              <w:t>Reduce GPU OOM/interference</w:t>
            </w:r>
          </w:p>
        </w:tc>
      </w:tr>
    </w:tbl>
    <w:p>
      <w:r>
        <w:t>Crucial distinction: a deployed Modal application does NOT mean an always-running GPU. The GPU is allocated when a job is executed, but cold starts (container/image setup and loading model weights) affect latency and can contribute to cost. Setting min_containers &gt; 0 reduces some cold-start latency but bills for warm capacity.</w:t>
      </w:r>
    </w:p>
    <w:p>
      <w:pPr>
        <w:pStyle w:val="Heading1"/>
      </w:pPr>
      <w:r>
        <w:t>6. Model integration boundary</w:t>
      </w:r>
    </w:p>
    <w:p>
      <w:r>
        <w:t>Pin a tested LTX-2 repository commit, 2.3-specific unified checkpoint, and the matching Gemma text encoder. Start with the repository DistilledPipeline supporting text/image-to-video. Load the pipeline once at worker container startup, not once per request. Select parameters and video encoding using the exact pinned repository examples; do not copy incompatible LTX-2.5 paths or weights into the LTX-2.3 deployment.</w:t>
      </w:r>
    </w:p>
    <w:p>
      <w:r>
        <w:t>The integration interface should look like: generate(job_id, mode, prompt, input_file?, generation_config) -&gt; local_output_mp4. Wrap repository inference behind this function so the HTTP API remains independent from model code. Advanced audio/reference/conditioning modes are future capabilities and must each be tested independently before exposure.</w:t>
      </w:r>
    </w:p>
    <w:p>
      <w:pPr>
        <w:pStyle w:val="Heading1"/>
      </w:pPr>
      <w:r>
        <w:t>7. Storage and lifecycle</w:t>
      </w:r>
    </w:p>
    <w:p>
      <w:pPr>
        <w:pStyle w:val="ListBullet"/>
      </w:pPr>
      <w:r>
        <w:t>Input prefix: uploads/{user_id}/{asset_id}; output prefix: videos/{user_id}/{job_id}/output.mp4. Keep buckets private.</w:t>
      </w:r>
    </w:p>
    <w:p>
      <w:pPr>
        <w:pStyle w:val="ListBullet"/>
      </w:pPr>
      <w:r>
        <w:t>Use presigned PUT for upload and GET for download, with content-length/type validation and expiry.</w:t>
      </w:r>
    </w:p>
    <w:p>
      <w:pPr>
        <w:pStyle w:val="ListBullet"/>
      </w:pPr>
      <w:r>
        <w:t>Define retention (for example 24 hours for temporary inputs and 7–30 days for videos) according to product needs; delete expired objects automatically.</w:t>
      </w:r>
    </w:p>
    <w:p>
      <w:pPr>
        <w:pStyle w:val="ListBullet"/>
      </w:pPr>
      <w:r>
        <w:t>Commit status=succeeded only after successful and verified MP4 upload. Treat output writes as idempotent for retries.</w:t>
      </w:r>
    </w:p>
    <w:p>
      <w:pPr>
        <w:pStyle w:val="ListBullet"/>
      </w:pPr>
      <w:r>
        <w:t>Store model version, GPU model, inference time, cold-start time if measurable, fps/resolution, and total billed duration per job.</w:t>
      </w:r>
    </w:p>
    <w:p>
      <w:pPr>
        <w:pStyle w:val="Heading1"/>
      </w:pPr>
      <w:r>
        <w:t>8. Error handling, retries and security</w:t>
      </w:r>
    </w:p>
    <w:p>
      <w:pPr>
        <w:pStyle w:val="ListBullet"/>
      </w:pPr>
      <w:r>
        <w:t>Reject unsupported resolution/duration before allocating a GPU. Validate image MIME, dimensions and file size.</w:t>
      </w:r>
    </w:p>
    <w:p>
      <w:pPr>
        <w:pStyle w:val="ListBullet"/>
      </w:pPr>
      <w:r>
        <w:t>On transient GPU/API failure, retry with a capped attempt count and exponential backoff; avoid blind retry after a video was already uploaded.</w:t>
      </w:r>
    </w:p>
    <w:p>
      <w:pPr>
        <w:pStyle w:val="ListBullet"/>
      </w:pPr>
      <w:r>
        <w:t>On out-of-memory, record the exact configuration and fail safely; do not silently downgrade quality without user consent.</w:t>
      </w:r>
    </w:p>
    <w:p>
      <w:pPr>
        <w:pStyle w:val="ListBullet"/>
      </w:pPr>
      <w:r>
        <w:t>Provide cancellation endpoint by job ID; cancellation is best effort and must verify job owner and Modal call ownership.</w:t>
      </w:r>
    </w:p>
    <w:p>
      <w:pPr>
        <w:pStyle w:val="ListBullet"/>
      </w:pPr>
      <w:r>
        <w:t>Reconcile jobs left running after backend/worker interruptions, using Modal call status or a watchdog process.</w:t>
      </w:r>
    </w:p>
    <w:p>
      <w:pPr>
        <w:pStyle w:val="ListBullet"/>
      </w:pPr>
      <w:r>
        <w:t>Apply API authentication, per-user rate limits, quotas, secret management, and private file access.</w:t>
      </w:r>
    </w:p>
    <w:p>
      <w:pPr>
        <w:pStyle w:val="ListBullet"/>
      </w:pPr>
      <w:r>
        <w:t>Log job IDs and timings, not user-supplied media contents or credentials.</w:t>
      </w:r>
    </w:p>
    <w:p>
      <w:pPr>
        <w:pStyle w:val="Heading1"/>
      </w:pPr>
      <w:r>
        <w:t>9. GPU cost planning using provided price sheet</w:t>
      </w:r>
    </w:p>
    <w:p>
      <w:r>
        <w:t>Reference prices from user-provided screenshot; approximate USD/min of billable GPU occupancy. Not measured LTX rendering throughput.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GPU</w:t>
            </w:r>
          </w:p>
        </w:tc>
        <w:tc>
          <w:tcPr>
            <w:tcW w:type="dxa" w:w="2448"/>
          </w:tcPr>
          <w:p>
            <w:r>
              <w:t>USD/second</w:t>
            </w:r>
          </w:p>
        </w:tc>
        <w:tc>
          <w:tcPr>
            <w:tcW w:type="dxa" w:w="2448"/>
          </w:tcPr>
          <w:p>
            <w:r>
              <w:t>USD/minute</w:t>
            </w:r>
          </w:p>
        </w:tc>
        <w:tc>
          <w:tcPr>
            <w:tcW w:type="dxa" w:w="2448"/>
          </w:tcPr>
          <w:p>
            <w:r>
              <w:t>USD/hour</w:t>
            </w:r>
          </w:p>
        </w:tc>
      </w:tr>
      <w:tr>
        <w:tc>
          <w:tcPr>
            <w:tcW w:type="dxa" w:w="2448"/>
          </w:tcPr>
          <w:p>
            <w:r>
              <w:t>L40S 48 GB</w:t>
            </w:r>
          </w:p>
        </w:tc>
        <w:tc>
          <w:tcPr>
            <w:tcW w:type="dxa" w:w="2448"/>
          </w:tcPr>
          <w:p>
            <w:r>
              <w:t>0.000542</w:t>
            </w:r>
          </w:p>
        </w:tc>
        <w:tc>
          <w:tcPr>
            <w:tcW w:type="dxa" w:w="2448"/>
          </w:tcPr>
          <w:p>
            <w:r>
              <w:t>0.03252</w:t>
            </w:r>
          </w:p>
        </w:tc>
        <w:tc>
          <w:tcPr>
            <w:tcW w:type="dxa" w:w="2448"/>
          </w:tcPr>
          <w:p>
            <w:r>
              <w:t>1.9512</w:t>
            </w:r>
          </w:p>
        </w:tc>
      </w:tr>
      <w:tr>
        <w:tc>
          <w:tcPr>
            <w:tcW w:type="dxa" w:w="2448"/>
          </w:tcPr>
          <w:p>
            <w:r>
              <w:t>A100 80 GB</w:t>
            </w:r>
          </w:p>
        </w:tc>
        <w:tc>
          <w:tcPr>
            <w:tcW w:type="dxa" w:w="2448"/>
          </w:tcPr>
          <w:p>
            <w:r>
              <w:t>0.000694</w:t>
            </w:r>
          </w:p>
        </w:tc>
        <w:tc>
          <w:tcPr>
            <w:tcW w:type="dxa" w:w="2448"/>
          </w:tcPr>
          <w:p>
            <w:r>
              <w:t>0.04164</w:t>
            </w:r>
          </w:p>
        </w:tc>
        <w:tc>
          <w:tcPr>
            <w:tcW w:type="dxa" w:w="2448"/>
          </w:tcPr>
          <w:p>
            <w:r>
              <w:t>2.4984</w:t>
            </w:r>
          </w:p>
        </w:tc>
      </w:tr>
      <w:tr>
        <w:tc>
          <w:tcPr>
            <w:tcW w:type="dxa" w:w="2448"/>
          </w:tcPr>
          <w:p>
            <w:r>
              <w:t>RTX PRO 6000 96 GB</w:t>
            </w:r>
          </w:p>
        </w:tc>
        <w:tc>
          <w:tcPr>
            <w:tcW w:type="dxa" w:w="2448"/>
          </w:tcPr>
          <w:p>
            <w:r>
              <w:t>0.000842</w:t>
            </w:r>
          </w:p>
        </w:tc>
        <w:tc>
          <w:tcPr>
            <w:tcW w:type="dxa" w:w="2448"/>
          </w:tcPr>
          <w:p>
            <w:r>
              <w:t>0.05052</w:t>
            </w:r>
          </w:p>
        </w:tc>
        <w:tc>
          <w:tcPr>
            <w:tcW w:type="dxa" w:w="2448"/>
          </w:tcPr>
          <w:p>
            <w:r>
              <w:t>3.0312</w:t>
            </w:r>
          </w:p>
        </w:tc>
      </w:tr>
      <w:tr>
        <w:tc>
          <w:tcPr>
            <w:tcW w:type="dxa" w:w="2448"/>
          </w:tcPr>
          <w:p>
            <w:r>
              <w:t>H100 SXM5 80 GB</w:t>
            </w:r>
          </w:p>
        </w:tc>
        <w:tc>
          <w:tcPr>
            <w:tcW w:type="dxa" w:w="2448"/>
          </w:tcPr>
          <w:p>
            <w:r>
              <w:t>0.001097</w:t>
            </w:r>
          </w:p>
        </w:tc>
        <w:tc>
          <w:tcPr>
            <w:tcW w:type="dxa" w:w="2448"/>
          </w:tcPr>
          <w:p>
            <w:r>
              <w:t>0.06582</w:t>
            </w:r>
          </w:p>
        </w:tc>
        <w:tc>
          <w:tcPr>
            <w:tcW w:type="dxa" w:w="2448"/>
          </w:tcPr>
          <w:p>
            <w:r>
              <w:t>3.9492</w:t>
            </w:r>
          </w:p>
        </w:tc>
      </w:tr>
      <w:tr>
        <w:tc>
          <w:tcPr>
            <w:tcW w:type="dxa" w:w="2448"/>
          </w:tcPr>
          <w:p>
            <w:r>
              <w:t>H200 SXM</w:t>
            </w:r>
          </w:p>
        </w:tc>
        <w:tc>
          <w:tcPr>
            <w:tcW w:type="dxa" w:w="2448"/>
          </w:tcPr>
          <w:p>
            <w:r>
              <w:t>0.001261</w:t>
            </w:r>
          </w:p>
        </w:tc>
        <w:tc>
          <w:tcPr>
            <w:tcW w:type="dxa" w:w="2448"/>
          </w:tcPr>
          <w:p>
            <w:r>
              <w:t>0.07566</w:t>
            </w:r>
          </w:p>
        </w:tc>
        <w:tc>
          <w:tcPr>
            <w:tcW w:type="dxa" w:w="2448"/>
          </w:tcPr>
          <w:p>
            <w:r>
              <w:t>4.5396</w:t>
            </w:r>
          </w:p>
        </w:tc>
      </w:tr>
      <w:tr>
        <w:tc>
          <w:tcPr>
            <w:tcW w:type="dxa" w:w="2448"/>
          </w:tcPr>
          <w:p>
            <w:r>
              <w:t>B200</w:t>
            </w:r>
          </w:p>
        </w:tc>
        <w:tc>
          <w:tcPr>
            <w:tcW w:type="dxa" w:w="2448"/>
          </w:tcPr>
          <w:p>
            <w:r>
              <w:t>0.001736</w:t>
            </w:r>
          </w:p>
        </w:tc>
        <w:tc>
          <w:tcPr>
            <w:tcW w:type="dxa" w:w="2448"/>
          </w:tcPr>
          <w:p>
            <w:r>
              <w:t>0.10416</w:t>
            </w:r>
          </w:p>
        </w:tc>
        <w:tc>
          <w:tcPr>
            <w:tcW w:type="dxa" w:w="2448"/>
          </w:tcPr>
          <w:p>
            <w:r>
              <w:t>6.2496</w:t>
            </w:r>
          </w:p>
        </w:tc>
      </w:tr>
    </w:tbl>
    <w:p>
      <w:r>
        <w:t>Per-video GPU cost = billable active seconds × rate/second. Example only: 3 minutes of worker runtime on H100 → 180 × $0.001097 = $0.19746, excluding storage, egress and other compute. Actual throughput, cold-start behavior and billing must be benchmarked on the chosen pipeline. Higher hourly price does not imply higher cost per video if rendering is faster.</w:t>
      </w:r>
    </w:p>
    <w:p>
      <w:pPr>
        <w:pStyle w:val="Heading1"/>
      </w:pPr>
      <w:r>
        <w:t>10. Initial delivery and acceptance plan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Stage</w:t>
            </w:r>
          </w:p>
        </w:tc>
        <w:tc>
          <w:tcPr>
            <w:tcW w:type="dxa" w:w="4896"/>
          </w:tcPr>
          <w:p>
            <w:r>
              <w:t>Success check</w:t>
            </w:r>
          </w:p>
        </w:tc>
      </w:tr>
      <w:tr>
        <w:tc>
          <w:tcPr>
            <w:tcW w:type="dxa" w:w="4896"/>
          </w:tcPr>
          <w:p>
            <w:r>
              <w:t>A. Model validation</w:t>
            </w:r>
          </w:p>
        </w:tc>
        <w:tc>
          <w:tcPr>
            <w:tcW w:type="dxa" w:w="4896"/>
          </w:tcPr>
          <w:p>
            <w:r>
              <w:t>Reproduce official LTX-2.3 local/Modal T2V 5s output; pin exact versions</w:t>
            </w:r>
          </w:p>
        </w:tc>
      </w:tr>
      <w:tr>
        <w:tc>
          <w:tcPr>
            <w:tcW w:type="dxa" w:w="4896"/>
          </w:tcPr>
          <w:p>
            <w:r>
              <w:t>B. I2V</w:t>
            </w:r>
          </w:p>
        </w:tc>
        <w:tc>
          <w:tcPr>
            <w:tcW w:type="dxa" w:w="4896"/>
          </w:tcPr>
          <w:p>
            <w:r>
              <w:t>Generate from image stored in private bucket; no public source URL required</w:t>
            </w:r>
          </w:p>
        </w:tc>
      </w:tr>
      <w:tr>
        <w:tc>
          <w:tcPr>
            <w:tcW w:type="dxa" w:w="4896"/>
          </w:tcPr>
          <w:p>
            <w:r>
              <w:t>C. Worker lifecycle</w:t>
            </w:r>
          </w:p>
        </w:tc>
        <w:tc>
          <w:tcPr>
            <w:tcW w:type="dxa" w:w="4896"/>
          </w:tcPr>
          <w:p>
            <w:r>
              <w:t>One request starts GPU; a second can reuse warm worker; idle scales down to zero</w:t>
            </w:r>
          </w:p>
        </w:tc>
      </w:tr>
      <w:tr>
        <w:tc>
          <w:tcPr>
            <w:tcW w:type="dxa" w:w="4896"/>
          </w:tcPr>
          <w:p>
            <w:r>
              <w:t>D. Async API</w:t>
            </w:r>
          </w:p>
        </w:tc>
        <w:tc>
          <w:tcPr>
            <w:tcW w:type="dxa" w:w="4896"/>
          </w:tcPr>
          <w:p>
            <w:r>
              <w:t>Submit returns 202 quickly; polling progresses through real states</w:t>
            </w:r>
          </w:p>
        </w:tc>
      </w:tr>
      <w:tr>
        <w:tc>
          <w:tcPr>
            <w:tcW w:type="dxa" w:w="4896"/>
          </w:tcPr>
          <w:p>
            <w:r>
              <w:t>E. Reliability</w:t>
            </w:r>
          </w:p>
        </w:tc>
        <w:tc>
          <w:tcPr>
            <w:tcW w:type="dxa" w:w="4896"/>
          </w:tcPr>
          <w:p>
            <w:r>
              <w:t>Missing inputs, invalid parameters, timeouts, OOM and retries result in correct DB state</w:t>
            </w:r>
          </w:p>
        </w:tc>
      </w:tr>
      <w:tr>
        <w:tc>
          <w:tcPr>
            <w:tcW w:type="dxa" w:w="4896"/>
          </w:tcPr>
          <w:p>
            <w:r>
              <w:t>F. Security</w:t>
            </w:r>
          </w:p>
        </w:tc>
        <w:tc>
          <w:tcPr>
            <w:tcW w:type="dxa" w:w="4896"/>
          </w:tcPr>
          <w:p>
            <w:r>
              <w:t>One user cannot retrieve another user’s inputs, jobs or results</w:t>
            </w:r>
          </w:p>
        </w:tc>
      </w:tr>
      <w:tr>
        <w:tc>
          <w:tcPr>
            <w:tcW w:type="dxa" w:w="4896"/>
          </w:tcPr>
          <w:p>
            <w:r>
              <w:t>G. Benchmark</w:t>
            </w:r>
          </w:p>
        </w:tc>
        <w:tc>
          <w:tcPr>
            <w:tcW w:type="dxa" w:w="4896"/>
          </w:tcPr>
          <w:p>
            <w:r>
              <w:t>Record 10+ jobs per target GPU: startup, inference, peak VRAM, billed seconds, cost, quality</w:t>
            </w:r>
          </w:p>
        </w:tc>
      </w:tr>
    </w:tbl>
    <w:p>
      <w:pPr>
        <w:pStyle w:val="Heading1"/>
      </w:pPr>
      <w:r>
        <w:t>11. Deployment decision</w:t>
      </w:r>
    </w:p>
    <w:p>
      <w:r>
        <w:t>Use an existing backend + PostgreSQL + S3 and an isolated Modal Python GPU worker. Start with H100 80 GB, min_containers=0, max_containers=1, and the LTX-2.3 distilled T2V/I2V workflow. Benchmark RTX PRO 6000 96 GB on identical outputs; choose based on measured cost/successful video, not raw GPU price. Increase warm capacity only if application traffic makes cold-start latency unacceptable.</w:t>
      </w:r>
    </w:p>
    <w:p>
      <w:pPr>
        <w:pStyle w:val="Heading1"/>
      </w:pPr>
      <w:r>
        <w:t>Sources and implementation references</w:t>
      </w:r>
    </w:p>
    <w:p>
      <w:r>
        <w:t>Lightricks LTX-2 official repository: https://github.com/Lightricks/LTX-2</w:t>
      </w:r>
    </w:p>
    <w:p>
      <w:r>
        <w:t>LTX-2.3 checkpoint list: https://github.com/Lightricks/LTX-2/blob/main/MODELS-LTX-2.3.md</w:t>
      </w:r>
    </w:p>
    <w:p>
      <w:r>
        <w:t>Modal function configuration: https://modal.com/docs/sdk/py/latest/App</w:t>
      </w:r>
    </w:p>
    <w:p>
      <w:r>
        <w:t>Modal FunctionCall API and async polling: https://modal.com/docs/sdk/py/latest/FunctionCall</w:t>
      </w:r>
    </w:p>
    <w:p>
      <w:r>
        <w:t>Modal Python Function.spawn: https://modal.com/docs/sdk/py/latest/Function</w:t>
      </w:r>
    </w:p>
    <w:p>
      <w:r>
        <w:t>Note: This document is an implementation design, not proof that the selected image/container/checkpoint has been deployed or benchmarked. Validate exact Modal GPU identifiers, image packages, pipeline signatures and checkpoint licensing against the versions pinned at implementation time.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LTX-2.3 × Modal  |  On-demand inference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C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4B6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2A4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