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864"/>
          <w:sz w:val="34"/>
          <w:szCs w:val="34"/>
          <w:rtl w:val="0"/>
        </w:rPr>
        <w:t xml:space="preserve">HITESH KUMAR SINGH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8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color w:val="404040"/>
          <w:sz w:val="19"/>
          <w:szCs w:val="19"/>
          <w:rtl w:val="0"/>
        </w:rPr>
        <w:t xml:space="preserve">Full-Stack Developer | AI/ML &amp; Data Engineering | Founder, PropelAI Technologies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bottom w:color="1f3864" w:space="4" w:sz="8" w:val="single"/>
        </w:pBdr>
        <w:spacing w:after="14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color w:val="262626"/>
          <w:sz w:val="18"/>
          <w:szCs w:val="18"/>
          <w:rtl w:val="0"/>
        </w:rPr>
        <w:t xml:space="preserve">+91 6398595165  |  hiteshkumarsingh6395@gmail.com  |  </w:t>
      </w:r>
      <w:hyperlink r:id="rId6">
        <w:r w:rsidDel="00000000" w:rsidR="00000000" w:rsidRPr="00000000">
          <w:rPr>
            <w:rFonts w:ascii="Calibri" w:cs="Calibri" w:eastAsia="Calibri" w:hAnsi="Calibri"/>
            <w:color w:val="1f3864"/>
            <w:sz w:val="18"/>
            <w:szCs w:val="18"/>
            <w:u w:val="single"/>
            <w:rtl w:val="0"/>
          </w:rPr>
          <w:t xml:space="preserve">LinkedIn</w:t>
        </w:r>
      </w:hyperlink>
      <w:r w:rsidDel="00000000" w:rsidR="00000000" w:rsidRPr="00000000">
        <w:rPr>
          <w:rFonts w:ascii="Calibri" w:cs="Calibri" w:eastAsia="Calibri" w:hAnsi="Calibri"/>
          <w:color w:val="262626"/>
          <w:sz w:val="18"/>
          <w:szCs w:val="18"/>
          <w:rtl w:val="0"/>
        </w:rPr>
        <w:t xml:space="preserve">  |  GitHub  |  </w:t>
      </w:r>
      <w:hyperlink r:id="rId7">
        <w:r w:rsidDel="00000000" w:rsidR="00000000" w:rsidRPr="00000000">
          <w:rPr>
            <w:rFonts w:ascii="Calibri" w:cs="Calibri" w:eastAsia="Calibri" w:hAnsi="Calibri"/>
            <w:color w:val="1f3864"/>
            <w:sz w:val="18"/>
            <w:szCs w:val="18"/>
            <w:u w:val="single"/>
            <w:rtl w:val="0"/>
          </w:rPr>
          <w:t xml:space="preserve">PropelAI.tech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bottom w:color="1f3864" w:space="2" w:sz="6" w:val="single"/>
        </w:pBdr>
        <w:spacing w:after="8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864"/>
          <w:sz w:val="21"/>
          <w:szCs w:val="21"/>
          <w:rtl w:val="0"/>
        </w:rPr>
        <w:t xml:space="preserve">PROFESSIONAL 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00" w:lineRule="auto"/>
        <w:rPr/>
      </w:pPr>
      <w:r w:rsidDel="00000000" w:rsidR="00000000" w:rsidRPr="00000000">
        <w:rPr>
          <w:rFonts w:ascii="Calibri" w:cs="Calibri" w:eastAsia="Calibri" w:hAnsi="Calibri"/>
          <w:color w:val="262626"/>
          <w:sz w:val="20"/>
          <w:szCs w:val="20"/>
          <w:rtl w:val="0"/>
        </w:rPr>
        <w:t xml:space="preserve">Full-stack developer and AI/ML enthusiast pursuing a BCA at the University of Mysore, with hands-on experience architecting production-grade backend systems, RAG pipelines, and AI-driven analytics. Founded and shipped a live multi-tenant PropTech SaaS platform end-to-end using Node.js, Python, and PostgreSQL. Seeking a Software Engineering or AI/ML internship to bring strong system design, data engineering, and execution speed to a fast-paced product team.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bottom w:color="1f3864" w:space="2" w:sz="6" w:val="single"/>
        </w:pBdr>
        <w:spacing w:after="8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864"/>
          <w:sz w:val="21"/>
          <w:szCs w:val="21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62626"/>
          <w:sz w:val="20"/>
          <w:szCs w:val="20"/>
          <w:rtl w:val="0"/>
        </w:rPr>
        <w:t xml:space="preserve">Languages: </w:t>
      </w:r>
      <w:r w:rsidDel="00000000" w:rsidR="00000000" w:rsidRPr="00000000">
        <w:rPr>
          <w:rFonts w:ascii="Calibri" w:cs="Calibri" w:eastAsia="Calibri" w:hAnsi="Calibri"/>
          <w:color w:val="262626"/>
          <w:sz w:val="20"/>
          <w:szCs w:val="20"/>
          <w:rtl w:val="0"/>
        </w:rPr>
        <w:t xml:space="preserve">JavaScript, TypeScript, Python, Java, C, C++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62626"/>
          <w:sz w:val="20"/>
          <w:szCs w:val="20"/>
          <w:rtl w:val="0"/>
        </w:rPr>
        <w:t xml:space="preserve">Backend &amp; Infrastructure: </w:t>
      </w:r>
      <w:r w:rsidDel="00000000" w:rsidR="00000000" w:rsidRPr="00000000">
        <w:rPr>
          <w:rFonts w:ascii="Calibri" w:cs="Calibri" w:eastAsia="Calibri" w:hAnsi="Calibri"/>
          <w:color w:val="262626"/>
          <w:sz w:val="20"/>
          <w:szCs w:val="20"/>
          <w:rtl w:val="0"/>
        </w:rPr>
        <w:t xml:space="preserve">Node.js, Express.js, REST APIs, JWT Authentication, PostgreSQL, Supabase, Row-Level Security (RLS)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62626"/>
          <w:sz w:val="20"/>
          <w:szCs w:val="20"/>
          <w:rtl w:val="0"/>
        </w:rPr>
        <w:t xml:space="preserve">AI / Data: </w:t>
      </w:r>
      <w:r w:rsidDel="00000000" w:rsidR="00000000" w:rsidRPr="00000000">
        <w:rPr>
          <w:rFonts w:ascii="Calibri" w:cs="Calibri" w:eastAsia="Calibri" w:hAnsi="Calibri"/>
          <w:color w:val="262626"/>
          <w:sz w:val="20"/>
          <w:szCs w:val="20"/>
          <w:rtl w:val="0"/>
        </w:rPr>
        <w:t xml:space="preserve">RAG Pipelines, Vector Databases (pgvector), Google Gemini API, Predictive Analytics, Exploratory Data Analysis (EDA)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62626"/>
          <w:sz w:val="20"/>
          <w:szCs w:val="20"/>
          <w:rtl w:val="0"/>
        </w:rPr>
        <w:t xml:space="preserve">Frontend: </w:t>
      </w:r>
      <w:r w:rsidDel="00000000" w:rsidR="00000000" w:rsidRPr="00000000">
        <w:rPr>
          <w:rFonts w:ascii="Calibri" w:cs="Calibri" w:eastAsia="Calibri" w:hAnsi="Calibri"/>
          <w:color w:val="262626"/>
          <w:sz w:val="20"/>
          <w:szCs w:val="20"/>
          <w:rtl w:val="0"/>
        </w:rPr>
        <w:t xml:space="preserve">HTML5, CSS3, Tailwind CSS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62626"/>
          <w:sz w:val="20"/>
          <w:szCs w:val="20"/>
          <w:rtl w:val="0"/>
        </w:rPr>
        <w:t xml:space="preserve">Tools &amp; Practices: </w:t>
      </w:r>
      <w:r w:rsidDel="00000000" w:rsidR="00000000" w:rsidRPr="00000000">
        <w:rPr>
          <w:rFonts w:ascii="Calibri" w:cs="Calibri" w:eastAsia="Calibri" w:hAnsi="Calibri"/>
          <w:color w:val="262626"/>
          <w:sz w:val="20"/>
          <w:szCs w:val="20"/>
          <w:rtl w:val="0"/>
        </w:rPr>
        <w:t xml:space="preserve">Git, GitHub, CI/CD, System Architecture, DBMS, Blockchain Ledgers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bottom w:color="1f3864" w:space="2" w:sz="6" w:val="single"/>
        </w:pBdr>
        <w:spacing w:after="8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864"/>
          <w:sz w:val="21"/>
          <w:szCs w:val="21"/>
          <w:rtl w:val="0"/>
        </w:rPr>
        <w:t xml:space="preserve">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tabs>
          <w:tab w:val="right" w:leader="none" w:pos="9026"/>
        </w:tabs>
        <w:spacing w:after="20" w:before="1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62626"/>
          <w:sz w:val="22"/>
          <w:szCs w:val="22"/>
          <w:rtl w:val="0"/>
        </w:rPr>
        <w:t xml:space="preserve">Founder &amp; Technical Lead — PropelAI Technologies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404040"/>
          <w:sz w:val="20"/>
          <w:szCs w:val="20"/>
          <w:rtl w:val="0"/>
        </w:rPr>
        <w:t xml:space="preserve">Mar 2026 – Present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60" w:lineRule="auto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404040"/>
          <w:sz w:val="19"/>
          <w:szCs w:val="19"/>
          <w:rtl w:val="0"/>
        </w:rPr>
        <w:t xml:space="preserve">Gurugram, India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270" w:right="0" w:hanging="20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62626"/>
          <w:sz w:val="20"/>
          <w:szCs w:val="20"/>
          <w:u w:val="none"/>
          <w:shd w:fill="auto" w:val="clear"/>
          <w:vertAlign w:val="baseline"/>
          <w:rtl w:val="0"/>
        </w:rPr>
        <w:t xml:space="preserve">Architected and launched a full-stack PropTech MVP (Node.js, Express, Python, PostgreSQL) from concept to a live, publicly accessible product at PropelAI.tech, delivering AI-driven real estate market intelligence for the Gurugram/NCR market.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40" w:line="240" w:lineRule="auto"/>
        <w:ind w:left="270" w:hanging="200"/>
      </w:pPr>
      <w:r w:rsidDel="00000000" w:rsidR="00000000" w:rsidRPr="00000000">
        <w:rPr>
          <w:rFonts w:ascii="Calibri" w:cs="Calibri" w:eastAsia="Calibri" w:hAnsi="Calibri"/>
          <w:color w:val="262626"/>
          <w:sz w:val="20"/>
          <w:szCs w:val="20"/>
          <w:rtl w:val="0"/>
        </w:rPr>
        <w:t xml:space="preserve">Designed a secure multi-tenant backend using custom relational schemas and PostgreSQL Row-Level Security (RLS), achieving complete data isolation, supporting multi-tenancy architecture with zero cross-tenant data leaks.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40" w:line="240" w:lineRule="auto"/>
        <w:ind w:left="270" w:hanging="200"/>
      </w:pPr>
      <w:r w:rsidDel="00000000" w:rsidR="00000000" w:rsidRPr="00000000">
        <w:rPr>
          <w:rFonts w:ascii="Calibri" w:cs="Calibri" w:eastAsia="Calibri" w:hAnsi="Calibri"/>
          <w:color w:val="262626"/>
          <w:sz w:val="20"/>
          <w:szCs w:val="20"/>
          <w:rtl w:val="0"/>
        </w:rPr>
        <w:t xml:space="preserve">Built an AI-powered geofencing module and a blockchain-based digital ledger that automated real-time monitoring for scalable property portfolios and created tamper-proof audit trails for institutional users, cutting manual verification effort by an estimated 30%.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40" w:lineRule="auto"/>
        <w:ind w:left="270" w:hanging="200"/>
      </w:pPr>
      <w:r w:rsidDel="00000000" w:rsidR="00000000" w:rsidRPr="00000000">
        <w:rPr>
          <w:rtl w:val="0"/>
        </w:rPr>
        <w:t xml:space="preserve">Managed full-stack deployment and CI/CD pipelines end-to-end, reducing release turnaround time significantly while maintaining high uptime; led fundraising and GTM strategy, pitching pre-seed investors and building an early-access waitlist.</w:t>
      </w:r>
    </w:p>
    <w:p w:rsidR="00000000" w:rsidDel="00000000" w:rsidP="00000000" w:rsidRDefault="00000000" w:rsidRPr="00000000" w14:paraId="00000013">
      <w:pPr>
        <w:pBdr>
          <w:bottom w:color="1f3864" w:space="2" w:sz="6" w:val="single"/>
        </w:pBdr>
        <w:spacing w:after="8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864"/>
          <w:sz w:val="21"/>
          <w:szCs w:val="21"/>
          <w:rtl w:val="0"/>
        </w:rPr>
        <w:t xml:space="preserve">PROJECTS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tabs>
          <w:tab w:val="right" w:leader="none" w:pos="9026"/>
        </w:tabs>
        <w:spacing w:after="20" w:before="1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62626"/>
          <w:sz w:val="22"/>
          <w:szCs w:val="22"/>
          <w:rtl w:val="0"/>
        </w:rPr>
        <w:t xml:space="preserve">SentinelLog-AI — Headless Network Security Log Engine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404040"/>
          <w:sz w:val="20"/>
          <w:szCs w:val="20"/>
          <w:rtl w:val="0"/>
        </w:rPr>
        <w:t xml:space="preserve">Personal Project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40" w:line="240" w:lineRule="auto"/>
        <w:ind w:left="270" w:hanging="200"/>
      </w:pPr>
      <w:r w:rsidDel="00000000" w:rsidR="00000000" w:rsidRPr="00000000">
        <w:rPr>
          <w:rFonts w:ascii="Calibri" w:cs="Calibri" w:eastAsia="Calibri" w:hAnsi="Calibri"/>
          <w:color w:val="262626"/>
          <w:sz w:val="20"/>
          <w:szCs w:val="20"/>
          <w:rtl w:val="0"/>
        </w:rPr>
        <w:t xml:space="preserve">Engineered a high-throughput, headless data pipeline (Node.js, TypeScript, Express, Supabase/PostgreSQL) that ingests, parses, and analyzes firewall logs in real time, processing high-volume log entries per run.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270" w:right="0" w:hanging="20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62626"/>
          <w:sz w:val="20"/>
          <w:szCs w:val="20"/>
          <w:u w:val="none"/>
          <w:shd w:fill="auto" w:val="clear"/>
          <w:vertAlign w:val="baseline"/>
          <w:rtl w:val="0"/>
        </w:rPr>
        <w:t xml:space="preserve">Built rule-based anomaly filters that automatically trigger a Gemini-powered AI threat-profiling loop whenever risk scores exceed 0.70, cutting manual triage time and accelerating incident response.</w:t>
      </w:r>
    </w:p>
    <w:p w:rsidR="00000000" w:rsidDel="00000000" w:rsidP="00000000" w:rsidRDefault="00000000" w:rsidRPr="00000000" w14:paraId="00000017">
      <w:pPr>
        <w:tabs>
          <w:tab w:val="right" w:leader="none" w:pos="9026"/>
        </w:tabs>
        <w:spacing w:after="20" w:before="1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62626"/>
          <w:sz w:val="22"/>
          <w:szCs w:val="22"/>
          <w:rtl w:val="0"/>
        </w:rPr>
        <w:t xml:space="preserve">Native Vector Embeddings &amp; RAG Engine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404040"/>
          <w:sz w:val="20"/>
          <w:szCs w:val="20"/>
          <w:rtl w:val="0"/>
        </w:rPr>
        <w:t xml:space="preserve">Personal Project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270" w:right="0" w:hanging="20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62626"/>
          <w:sz w:val="20"/>
          <w:szCs w:val="20"/>
          <w:u w:val="none"/>
          <w:shd w:fill="auto" w:val="clear"/>
          <w:vertAlign w:val="baseline"/>
          <w:rtl w:val="0"/>
        </w:rPr>
        <w:t xml:space="preserve">Developed an asynchronous Retrieval-Augmented Generation (RAG) backend (Node.js, TypeScript, Supabase, pgvector) that chunks documents and converts text into high-density vector embeddings for semantic search.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270" w:right="0" w:hanging="20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62626"/>
          <w:sz w:val="20"/>
          <w:szCs w:val="20"/>
          <w:u w:val="none"/>
          <w:shd w:fill="auto" w:val="clear"/>
          <w:vertAlign w:val="baseline"/>
          <w:rtl w:val="0"/>
        </w:rPr>
        <w:t xml:space="preserve">Configured low-latency semantic similarity search natively inside PostgreSQL using pgvector, eliminating external API calls and cutting retrieval latency for LLM prompt-context injection.</w:t>
      </w:r>
    </w:p>
    <w:p w:rsidR="00000000" w:rsidDel="00000000" w:rsidP="00000000" w:rsidRDefault="00000000" w:rsidRPr="00000000" w14:paraId="0000001A">
      <w:pPr>
        <w:pBdr>
          <w:bottom w:color="1f3864" w:space="2" w:sz="6" w:val="single"/>
        </w:pBdr>
        <w:spacing w:after="8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864"/>
          <w:sz w:val="21"/>
          <w:szCs w:val="21"/>
          <w:rtl w:val="0"/>
        </w:rPr>
        <w:t xml:space="preserve">CERTIFICATIONS &amp; VIRTUAL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270" w:right="0" w:hanging="20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62626"/>
          <w:sz w:val="20"/>
          <w:szCs w:val="20"/>
          <w:u w:val="none"/>
          <w:shd w:fill="auto" w:val="clear"/>
          <w:vertAlign w:val="baseline"/>
          <w:rtl w:val="0"/>
        </w:rPr>
        <w:t xml:space="preserve">Data Analytics Job Simulation — Tata Group via Forage (Jan 2026): Conducted exploratory data analysis (EDA) to assess data quality and risk indicators; designed an agentic AI-driven collections strategy.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270" w:right="0" w:hanging="20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62626"/>
          <w:sz w:val="20"/>
          <w:szCs w:val="20"/>
          <w:u w:val="none"/>
          <w:shd w:fill="auto" w:val="clear"/>
          <w:vertAlign w:val="baseline"/>
          <w:rtl w:val="0"/>
        </w:rPr>
        <w:t xml:space="preserve">Solutions Architecture Virtual Experience — AWS via Forage (Jan 2026): Designed a scalable, cost-optimized hosting architecture on Elastic Beanstalk balancing response time and cost efficiency.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270" w:right="0" w:hanging="20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62626"/>
          <w:sz w:val="20"/>
          <w:szCs w:val="20"/>
          <w:u w:val="none"/>
          <w:shd w:fill="auto" w:val="clear"/>
          <w:vertAlign w:val="baseline"/>
          <w:rtl w:val="0"/>
        </w:rPr>
        <w:t xml:space="preserve">Off-Premise Sales Job Simulation — Red Bull via Forage (Jan 2026): Analyzed key account data to develop growth recommendations, presented through client-facing presentations.</w:t>
      </w:r>
    </w:p>
    <w:p w:rsidR="00000000" w:rsidDel="00000000" w:rsidP="00000000" w:rsidRDefault="00000000" w:rsidRPr="00000000" w14:paraId="0000001E">
      <w:pPr>
        <w:pBdr>
          <w:bottom w:color="1f3864" w:space="2" w:sz="6" w:val="single"/>
        </w:pBdr>
        <w:spacing w:after="8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864"/>
          <w:sz w:val="21"/>
          <w:szCs w:val="21"/>
          <w:rtl w:val="0"/>
        </w:rPr>
        <w:t xml:space="preserve">EDUCATION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tabs>
          <w:tab w:val="right" w:leader="none" w:pos="9026"/>
        </w:tabs>
        <w:spacing w:after="20" w:before="1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62626"/>
          <w:sz w:val="22"/>
          <w:szCs w:val="22"/>
          <w:rtl w:val="0"/>
        </w:rPr>
        <w:t xml:space="preserve">Bachelor of Computer Applications (BCA) — University of Mysore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404040"/>
          <w:sz w:val="20"/>
          <w:szCs w:val="20"/>
          <w:rtl w:val="0"/>
        </w:rPr>
        <w:t xml:space="preserve">Jan 2024 – Present</w:t>
      </w:r>
      <w:r w:rsidDel="00000000" w:rsidR="00000000" w:rsidRPr="00000000">
        <w:rPr>
          <w:rtl w:val="0"/>
        </w:rPr>
      </w:r>
    </w:p>
    <w:sectPr>
      <w:pgSz w:h="15840" w:w="12240" w:orient="portrait"/>
      <w:pgMar w:bottom="620" w:top="620" w:left="760" w:right="76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270" w:hanging="20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color w:val="262626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62626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linkedin.com/in/hitesh-singh67" TargetMode="External"/><Relationship Id="rId7" Type="http://schemas.openxmlformats.org/officeDocument/2006/relationships/hyperlink" Target="https://propelai.tech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