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B365D"/>
          <w:sz w:val="36"/>
        </w:rPr>
        <w:t>POINT-BY-POINT RESPONSE TO REVIEWS</w:t>
      </w:r>
    </w:p>
    <w:p>
      <w:pPr>
        <w:jc w:val="center"/>
      </w:pPr>
      <w:r>
        <w:rPr>
          <w:rFonts w:ascii="Calibri" w:hAnsi="Calibri"/>
          <w:i/>
          <w:color w:val="46505F"/>
          <w:sz w:val="26"/>
        </w:rPr>
        <w:t>The Journal of Supercomputing (Springer)</w:t>
      </w:r>
    </w:p>
    <w:p/>
    <w:tbl>
      <w:tblPr>
        <w:tblW w:type="auto" w:w="0"/>
        <w:jc w:val="center"/>
        <w:tblLayout w:type="fixed"/>
        <w:tblLook w:firstColumn="1" w:firstRow="1" w:lastColumn="0" w:lastRow="0" w:noHBand="0" w:noVBand="1" w:val="04A0"/>
      </w:tblPr>
      <w:tblGrid>
        <w:gridCol w:w="4680"/>
        <w:gridCol w:w="4680"/>
      </w:tblGrid>
      <w:tr>
        <w:tc>
          <w:tcPr>
            <w:tcW w:type="dxa" w:w="2880"/>
          </w:tcPr>
          <w:p>
            <w:r>
              <w:rPr>
                <w:rFonts w:ascii="Calibri" w:hAnsi="Calibri"/>
                <w:b/>
                <w:sz w:val="21"/>
              </w:rPr>
              <w:t>Manuscript Title:</w:t>
            </w:r>
          </w:p>
        </w:tc>
        <w:tc>
          <w:tcPr>
            <w:tcW w:type="dxa" w:w="6480"/>
          </w:tcPr>
          <w:p>
            <w:r>
              <w:rPr>
                <w:rFonts w:ascii="Calibri" w:hAnsi="Calibri"/>
                <w:sz w:val="21"/>
              </w:rPr>
              <w:t>Error Tolerant Adder Type-1 Application in Facial Recognition</w:t>
            </w:r>
          </w:p>
        </w:tc>
      </w:tr>
      <w:tr>
        <w:tc>
          <w:tcPr>
            <w:tcW w:type="dxa" w:w="2880"/>
          </w:tcPr>
          <w:p>
            <w:r>
              <w:rPr>
                <w:rFonts w:ascii="Calibri" w:hAnsi="Calibri"/>
                <w:b/>
                <w:sz w:val="21"/>
              </w:rPr>
              <w:t>Journal:</w:t>
            </w:r>
          </w:p>
        </w:tc>
        <w:tc>
          <w:tcPr>
            <w:tcW w:type="dxa" w:w="6480"/>
          </w:tcPr>
          <w:p>
            <w:r>
              <w:rPr>
                <w:rFonts w:ascii="Calibri" w:hAnsi="Calibri"/>
                <w:sz w:val="21"/>
              </w:rPr>
              <w:t>The Journal of Supercomputing</w:t>
            </w:r>
          </w:p>
        </w:tc>
      </w:tr>
      <w:tr>
        <w:tc>
          <w:tcPr>
            <w:tcW w:type="dxa" w:w="2880"/>
          </w:tcPr>
          <w:p>
            <w:r>
              <w:rPr>
                <w:rFonts w:ascii="Calibri" w:hAnsi="Calibri"/>
                <w:b/>
                <w:sz w:val="21"/>
              </w:rPr>
              <w:t>Article Type:</w:t>
            </w:r>
          </w:p>
        </w:tc>
        <w:tc>
          <w:tcPr>
            <w:tcW w:type="dxa" w:w="6480"/>
          </w:tcPr>
          <w:p>
            <w:r>
              <w:rPr>
                <w:rFonts w:ascii="Calibri" w:hAnsi="Calibri"/>
                <w:sz w:val="21"/>
              </w:rPr>
              <w:t>Research Article</w:t>
            </w:r>
          </w:p>
        </w:tc>
      </w:tr>
      <w:tr>
        <w:tc>
          <w:tcPr>
            <w:tcW w:type="dxa" w:w="2880"/>
          </w:tcPr>
          <w:p>
            <w:r>
              <w:rPr>
                <w:rFonts w:ascii="Calibri" w:hAnsi="Calibri"/>
                <w:b/>
                <w:sz w:val="21"/>
              </w:rPr>
              <w:t>Authors:</w:t>
            </w:r>
          </w:p>
        </w:tc>
        <w:tc>
          <w:tcPr>
            <w:tcW w:type="dxa" w:w="6480"/>
          </w:tcPr>
          <w:p>
            <w:r>
              <w:rPr>
                <w:rFonts w:ascii="Calibri" w:hAnsi="Calibri"/>
                <w:sz w:val="21"/>
              </w:rPr>
              <w:t>O V Gnana Swathika, V S Hitesh, David Alappat</w:t>
            </w:r>
          </w:p>
        </w:tc>
      </w:tr>
    </w:tbl>
    <w:p/>
    <w:p>
      <w:r>
        <w:rPr>
          <w:rFonts w:ascii="Calibri" w:hAnsi="Calibri"/>
          <w:b/>
          <w:color w:val="1B365D"/>
          <w:sz w:val="28"/>
        </w:rPr>
        <w:t>Response &amp; Revisions Overview</w:t>
      </w:r>
    </w:p>
    <w:p>
      <w:pPr>
        <w:spacing w:line="276" w:lineRule="auto" w:after="160"/>
      </w:pPr>
      <w:r>
        <w:rPr>
          <w:rFonts w:ascii="Calibri" w:hAnsi="Calibri"/>
          <w:sz w:val="22"/>
        </w:rPr>
        <w:t>Dear Editor-in-Chief and Reviewers,</w:t>
        <w:br/>
        <w:br/>
        <w:t>We express our sincere gratitude for the careful assessment, constructive editorial guidance, and valuable comments regarding our manuscript titled "Error Tolerant Adder Type-1 Application in Facial Recognition" (Submission to The Journal of Supercomputing). We have thoroughly addressed all editorial recommendations and reviewer comments in this revised manuscript.</w:t>
        <w:br/>
        <w:br/>
        <w:t>Specifically, we have:</w:t>
        <w:br/>
        <w:t>1. Added an explicit Availability of Data and Materials section under Declarations.</w:t>
        <w:br/>
        <w:t>2. Added a comprehensive Conflicts of Interest / Disclosure of Interests statement covering financial and non-financial aspects.</w:t>
        <w:br/>
        <w:t>3. Added a dedicated subsection (3.3 Limitations of the Work) detailing hardware modeling, precision scope, and application layer bounds.</w:t>
        <w:br/>
        <w:t>4. Revised overstated conclusions and refined accuracy reporting to reflect exact 8-bit hybrid adder block-level performance metrics.</w:t>
        <w:br/>
        <w:br/>
        <w:t>Below, we provide a point-by-point response detailing every modification made in the revised manuscript.</w:t>
      </w:r>
    </w:p>
    <w:p/>
    <w:p>
      <w:r>
        <w:rPr>
          <w:rFonts w:ascii="Calibri" w:hAnsi="Calibri"/>
          <w:b/>
          <w:color w:val="1B365D"/>
          <w:sz w:val="24"/>
        </w:rPr>
        <w:t>Item 1: Availability of Data and Materials Section</w:t>
      </w:r>
    </w:p>
    <w:tbl>
      <w:tblPr>
        <w:tblW w:type="auto" w:w="0"/>
        <w:jc w:val="center"/>
        <w:tblLook w:firstColumn="1" w:firstRow="1" w:lastColumn="0" w:lastRow="0" w:noHBand="0" w:noVBand="1" w:val="04A0"/>
      </w:tblPr>
      <w:tblGrid>
        <w:gridCol w:w="9360"/>
      </w:tblGrid>
      <w:tr>
        <w:tc>
          <w:tcPr>
            <w:tcW w:type="dxa" w:w="9360"/>
            <w:shd w:fill="F0F4F8"/>
          </w:tcPr>
          <w:p>
            <w:pPr>
              <w:spacing w:before="80" w:after="80"/>
            </w:pPr>
            <w:r>
              <w:rPr>
                <w:rFonts w:ascii="Calibri" w:hAnsi="Calibri"/>
                <w:b/>
                <w:color w:val="782828"/>
                <w:sz w:val="21"/>
              </w:rPr>
              <w:t>Editor / Reviewer Comment:</w:t>
              <w:br/>
            </w:r>
            <w:r>
              <w:rPr>
                <w:rFonts w:ascii="Calibri" w:hAnsi="Calibri"/>
                <w:i/>
                <w:sz w:val="21"/>
              </w:rPr>
              <w:t>"1. We note an ‘Availability of Data and Materials’ section is missing from the Declarations. Please include this section in your manuscript."</w:t>
            </w:r>
          </w:p>
        </w:tc>
      </w:tr>
    </w:tbl>
    <w:p>
      <w:pPr>
        <w:spacing w:before="120" w:after="80" w:line="276" w:lineRule="auto"/>
      </w:pPr>
      <w:r>
        <w:rPr>
          <w:rFonts w:ascii="Calibri" w:hAnsi="Calibri"/>
          <w:b/>
          <w:color w:val="146428"/>
          <w:sz w:val="21"/>
        </w:rPr>
        <w:t>Authors' Response:</w:t>
        <w:br/>
      </w:r>
      <w:r>
        <w:rPr>
          <w:rFonts w:ascii="Calibri" w:hAnsi="Calibri"/>
          <w:sz w:val="21"/>
        </w:rPr>
        <w:t>We thank the Editor for pointing this out. We have included an explicit "Availability of Data and Materials" section under the Declarations section before References (Paragraphs 114-115 in the revised manuscript). This section specifies data access terms upon request and provides the online GitHub link for the interactive simulation framework and ETA-1 adder code.</w:t>
      </w:r>
    </w:p>
    <w:p>
      <w:pPr>
        <w:spacing w:before="80" w:after="160"/>
        <w:ind w:left="576" w:right="576"/>
      </w:pPr>
      <w:r>
        <w:rPr>
          <w:rFonts w:ascii="Calibri" w:hAnsi="Calibri"/>
          <w:b/>
          <w:color w:val="46505F"/>
          <w:sz w:val="20"/>
        </w:rPr>
        <w:t>Revised Text in Manuscript:</w:t>
        <w:br/>
      </w:r>
      <w:r>
        <w:rPr>
          <w:rFonts w:ascii="Calibri" w:hAnsi="Calibri"/>
          <w:i/>
          <w:sz w:val="20"/>
        </w:rPr>
        <w:t>"Availability of Data and Materials</w:t>
        <w:br/>
        <w:t>The datasets generated and analyzed during the current study, including facial feature embedding vectors, synthetic error distance matrices, and hardware performance metrics, are available from the corresponding author upon reasonable request. An interactive demonstration framework illustrating the operation of the hybrid ETA-1 adder is publicly accessible online at: https://github.com/Hitesh070/My-Projects/blob/main/approximate_adder_ui.html."</w:t>
      </w:r>
    </w:p>
    <w:p/>
    <w:p>
      <w:r>
        <w:rPr>
          <w:rFonts w:ascii="Calibri" w:hAnsi="Calibri"/>
          <w:b/>
          <w:color w:val="1B365D"/>
          <w:sz w:val="24"/>
        </w:rPr>
        <w:t>Item 2: Disclosure of Interests / Competing Interests</w:t>
      </w:r>
    </w:p>
    <w:tbl>
      <w:tblPr>
        <w:tblW w:type="auto" w:w="0"/>
        <w:jc w:val="center"/>
        <w:tblLook w:firstColumn="1" w:firstRow="1" w:lastColumn="0" w:lastRow="0" w:noHBand="0" w:noVBand="1" w:val="04A0"/>
      </w:tblPr>
      <w:tblGrid>
        <w:gridCol w:w="9360"/>
      </w:tblGrid>
      <w:tr>
        <w:tc>
          <w:tcPr>
            <w:tcW w:type="dxa" w:w="9360"/>
            <w:shd w:fill="F0F4F8"/>
          </w:tcPr>
          <w:p>
            <w:pPr>
              <w:spacing w:before="80" w:after="80"/>
            </w:pPr>
            <w:r>
              <w:rPr>
                <w:rFonts w:ascii="Calibri" w:hAnsi="Calibri"/>
                <w:b/>
                <w:color w:val="782828"/>
                <w:sz w:val="21"/>
              </w:rPr>
              <w:t>Editor / Reviewer Comment:</w:t>
              <w:br/>
            </w:r>
            <w:r>
              <w:rPr>
                <w:rFonts w:ascii="Calibri" w:hAnsi="Calibri"/>
                <w:i/>
                <w:sz w:val="21"/>
              </w:rPr>
              <w:t>"2. Authors are requested to disclose interests that are directly or indirectly related to the work submitted for publication. Interests within the last 3 years of beginning the work (conducting the research and preparing the work for submission) should be reported. Interests outside the 3-year time frame must be disclosed if they could reasonably be perceived as influencing the submitted work. Disclosure of interests provides a complete and transparent process and helps readers form their own judgments of potential bias. This is not meant to imply that a financial relationship with an organization that sponsored the research or compensation received for consultancy work is inappropriate."</w:t>
            </w:r>
          </w:p>
        </w:tc>
      </w:tr>
    </w:tbl>
    <w:p>
      <w:pPr>
        <w:spacing w:before="120" w:after="80" w:line="276" w:lineRule="auto"/>
      </w:pPr>
      <w:r>
        <w:rPr>
          <w:rFonts w:ascii="Calibri" w:hAnsi="Calibri"/>
          <w:b/>
          <w:color w:val="146428"/>
          <w:sz w:val="21"/>
        </w:rPr>
        <w:t>Authors' Response:</w:t>
        <w:br/>
      </w:r>
      <w:r>
        <w:rPr>
          <w:rFonts w:ascii="Calibri" w:hAnsi="Calibri"/>
          <w:sz w:val="21"/>
        </w:rPr>
        <w:t>We appreciate the Editor emphasizing full transparency. We have added a dedicated "Conflicts of Interest / Disclosure of Interests" subsection under Declarations (Paragraphs 106-107 in the revised manuscript). All authors explicitly confirm that no financial or non-financial competing interests, commercial sponsorships, or consultancy relationships related to this study exist within or outside the 3-year timeframe.</w:t>
      </w:r>
    </w:p>
    <w:p>
      <w:pPr>
        <w:spacing w:before="80" w:after="160"/>
        <w:ind w:left="576" w:right="576"/>
      </w:pPr>
      <w:r>
        <w:rPr>
          <w:rFonts w:ascii="Calibri" w:hAnsi="Calibri"/>
          <w:b/>
          <w:color w:val="46505F"/>
          <w:sz w:val="20"/>
        </w:rPr>
        <w:t>Revised Text in Manuscript:</w:t>
        <w:br/>
      </w:r>
      <w:r>
        <w:rPr>
          <w:rFonts w:ascii="Calibri" w:hAnsi="Calibri"/>
          <w:i/>
          <w:sz w:val="20"/>
        </w:rPr>
        <w:t>"Conflicts of Interest / Disclosure of Interests</w:t>
        <w:br/>
        <w:t>The authors declare that they have no financial or non-financial interests that are directly or indirectly related to the work submitted for publication. No financial relationships, sponsorship, or compensation for consultancy work within the last 3 years (or outside this timeframe) exist that could reasonably be perceived as influencing the research or findings reported in this paper."</w:t>
      </w:r>
    </w:p>
    <w:p/>
    <w:p>
      <w:r>
        <w:rPr>
          <w:rFonts w:ascii="Calibri" w:hAnsi="Calibri"/>
          <w:b/>
          <w:color w:val="1B365D"/>
          <w:sz w:val="24"/>
        </w:rPr>
        <w:t>Item 3: Accurate Reporting of Results &amp; Rewriting Overstated Conclusions</w:t>
      </w:r>
    </w:p>
    <w:tbl>
      <w:tblPr>
        <w:tblW w:type="auto" w:w="0"/>
        <w:jc w:val="center"/>
        <w:tblLook w:firstColumn="1" w:firstRow="1" w:lastColumn="0" w:lastRow="0" w:noHBand="0" w:noVBand="1" w:val="04A0"/>
      </w:tblPr>
      <w:tblGrid>
        <w:gridCol w:w="9360"/>
      </w:tblGrid>
      <w:tr>
        <w:tc>
          <w:tcPr>
            <w:tcW w:type="dxa" w:w="9360"/>
            <w:shd w:fill="F0F4F8"/>
          </w:tcPr>
          <w:p>
            <w:pPr>
              <w:spacing w:before="80" w:after="80"/>
            </w:pPr>
            <w:r>
              <w:rPr>
                <w:rFonts w:ascii="Calibri" w:hAnsi="Calibri"/>
                <w:b/>
                <w:color w:val="782828"/>
                <w:sz w:val="21"/>
              </w:rPr>
              <w:t>Editor / Reviewer Comment:</w:t>
              <w:br/>
            </w:r>
            <w:r>
              <w:rPr>
                <w:rFonts w:ascii="Calibri" w:hAnsi="Calibri"/>
                <w:i/>
                <w:sz w:val="21"/>
              </w:rPr>
              <w:t>"Please ensure the results are accurately reported, any overstated conclusions are rewritten..."</w:t>
            </w:r>
          </w:p>
        </w:tc>
      </w:tr>
    </w:tbl>
    <w:p>
      <w:pPr>
        <w:spacing w:before="120" w:after="80" w:line="276" w:lineRule="auto"/>
      </w:pPr>
      <w:r>
        <w:rPr>
          <w:rFonts w:ascii="Calibri" w:hAnsi="Calibri"/>
          <w:b/>
          <w:color w:val="146428"/>
          <w:sz w:val="21"/>
        </w:rPr>
        <w:t>Authors' Response:</w:t>
        <w:br/>
      </w:r>
      <w:r>
        <w:rPr>
          <w:rFonts w:ascii="Calibri" w:hAnsi="Calibri"/>
          <w:sz w:val="21"/>
        </w:rPr>
        <w:t>We have thoroughly re-examined all performance claims throughout the manuscript (Abstract, Section 3, and Section 4). Specifically, we clarified that the reported dynamic energy savings (42.34%) and delay reductions (41.38%) apply directly to the 8-bit hybrid arithmetic adder block during Manhattan distance accumulation, rather than whole SoC chip power. Overstated phrasing suggesting complete elimination of propagation delay has been revised to reflect realistic critical path delay mitigation.</w:t>
      </w:r>
    </w:p>
    <w:p>
      <w:pPr>
        <w:spacing w:before="80" w:after="160"/>
        <w:ind w:left="576" w:right="576"/>
      </w:pPr>
      <w:r>
        <w:rPr>
          <w:rFonts w:ascii="Calibri" w:hAnsi="Calibri"/>
          <w:b/>
          <w:color w:val="46505F"/>
          <w:sz w:val="20"/>
        </w:rPr>
        <w:t>Revised Text in Manuscript:</w:t>
        <w:br/>
      </w:r>
      <w:r>
        <w:rPr>
          <w:rFonts w:ascii="Calibri" w:hAnsi="Calibri"/>
          <w:i/>
          <w:sz w:val="20"/>
        </w:rPr>
        <w:t>"Section 4 (Conclusion):</w:t>
        <w:br/>
        <w:t>By implementing an 8-bit hybrid ETA-1 adder—partitioned into a 4-bit exact RCA for MSBs and a 4-bit ETA-1 logic for LSBs—the critical carry-propagation path is truncated at the lower 4 bits, significantly mitigating the propagation delay inherent to conventional ripple carry adders... trading less than 2% of classification accuracy for a 42.34% reduction in adder dynamic energy consumption and a 39.58% reduction in adder gate area represents a highly favorable engineering trade-off."</w:t>
      </w:r>
    </w:p>
    <w:p/>
    <w:p>
      <w:r>
        <w:rPr>
          <w:rFonts w:ascii="Calibri" w:hAnsi="Calibri"/>
          <w:b/>
          <w:color w:val="1B365D"/>
          <w:sz w:val="24"/>
        </w:rPr>
        <w:t>Item 4: Limitations of the Work</w:t>
      </w:r>
    </w:p>
    <w:tbl>
      <w:tblPr>
        <w:tblW w:type="auto" w:w="0"/>
        <w:jc w:val="center"/>
        <w:tblLook w:firstColumn="1" w:firstRow="1" w:lastColumn="0" w:lastRow="0" w:noHBand="0" w:noVBand="1" w:val="04A0"/>
      </w:tblPr>
      <w:tblGrid>
        <w:gridCol w:w="9360"/>
      </w:tblGrid>
      <w:tr>
        <w:tc>
          <w:tcPr>
            <w:tcW w:type="dxa" w:w="9360"/>
            <w:shd w:fill="F0F4F8"/>
          </w:tcPr>
          <w:p>
            <w:pPr>
              <w:spacing w:before="80" w:after="80"/>
            </w:pPr>
            <w:r>
              <w:rPr>
                <w:rFonts w:ascii="Calibri" w:hAnsi="Calibri"/>
                <w:b/>
                <w:color w:val="782828"/>
                <w:sz w:val="21"/>
              </w:rPr>
              <w:t>Editor / Reviewer Comment:</w:t>
              <w:br/>
            </w:r>
            <w:r>
              <w:rPr>
                <w:rFonts w:ascii="Calibri" w:hAnsi="Calibri"/>
                <w:i/>
                <w:sz w:val="21"/>
              </w:rPr>
              <w:t>"...and the limitations of the work fully explained."</w:t>
            </w:r>
          </w:p>
        </w:tc>
      </w:tr>
    </w:tbl>
    <w:p>
      <w:pPr>
        <w:spacing w:before="120" w:after="80" w:line="276" w:lineRule="auto"/>
      </w:pPr>
      <w:r>
        <w:rPr>
          <w:rFonts w:ascii="Calibri" w:hAnsi="Calibri"/>
          <w:b/>
          <w:color w:val="146428"/>
          <w:sz w:val="21"/>
        </w:rPr>
        <w:t>Authors' Response:</w:t>
        <w:br/>
      </w:r>
      <w:r>
        <w:rPr>
          <w:rFonts w:ascii="Calibri" w:hAnsi="Calibri"/>
          <w:sz w:val="21"/>
        </w:rPr>
        <w:t>We have added a dedicated subsection titled "3.3 Limitations of the Work" (Paragraphs 90-94 in the revised manuscript) to explicitly outline the boundaries of our current study, including simulation-based hardware modeling bounds, 8-bit fixed-point scope, and application-layer restriction to the classification layer.</w:t>
      </w:r>
    </w:p>
    <w:p>
      <w:pPr>
        <w:spacing w:before="80" w:after="160"/>
        <w:ind w:left="576" w:right="576"/>
      </w:pPr>
      <w:r>
        <w:rPr>
          <w:rFonts w:ascii="Calibri" w:hAnsi="Calibri"/>
          <w:b/>
          <w:color w:val="46505F"/>
          <w:sz w:val="20"/>
        </w:rPr>
        <w:t>Revised Text in Manuscript:</w:t>
        <w:br/>
      </w:r>
      <w:r>
        <w:rPr>
          <w:rFonts w:ascii="Calibri" w:hAnsi="Calibri"/>
          <w:i/>
          <w:sz w:val="20"/>
        </w:rPr>
        <w:t>"3.3 Limitations of the Work</w:t>
        <w:br/>
        <w:t>1. Simulation-Based Hardware Evaluation: The gate count, energy consumption, and propagation delay metrics reported in this work were evaluated using software-level algorithmic models and logic gate estimations rather than post-layout FPGA synthesis or fabricated silicon measurements.</w:t>
        <w:br/>
        <w:t>2. Scope of Arithmetic Precision: The current investigation evaluates an 8-bit dual-operand split-adder structure (4-bit exact MSB, 4-bit ETA-1 LSB). Higher precision architectures (e.g., 16-bit or 32-bit floating-point units) may exhibit cumulative error behavior that requires adaptive bit-truncation strategies.</w:t>
        <w:br/>
        <w:t>3. Application Layer Scope: The approximate computing logic was evaluated specifically within the final Manhattan distance (L1 norm) classification layer. Integrating approximate adders into internal convolutional layer Multiply-Accumulate (MAC) matrices or alternative similarity metrics (such as Cosine similarity or Euclidean distance) warrants further investigation."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