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sz w:val="44"/>
          <w:szCs w:val="44"/>
        </w:rPr>
        <w:t xml:space="preserve">Security and Privacy Risks in Healthcare IoT</w:t>
      </w:r>
    </w:p>
    <w:p>
      <w:pPr>
        <w:spacing w:after="600" w:before="200"/>
        <w:jc w:val="center"/>
      </w:pPr>
      <w:r>
        <w:rPr>
          <w:color w:val="444444"/>
          <w:sz w:val="30"/>
          <w:szCs w:val="30"/>
        </w:rPr>
        <w:t xml:space="preserve">An AI-Assisted Threat and Privacy Assessment</w:t>
      </w:r>
    </w:p>
    <w:p>
      <w:pPr>
        <w:spacing w:after="80"/>
        <w:jc w:val="center"/>
      </w:pPr>
      <w:r>
        <w:rPr>
          <w:sz w:val="22"/>
          <w:szCs w:val="22"/>
        </w:rPr>
        <w:t xml:space="preserve">Dataset: Synthetic Healthcare IoT Telemetry</w:t>
      </w:r>
    </w:p>
    <w:p>
      <w:pPr>
        <w:spacing w:after="80"/>
        <w:jc w:val="center"/>
      </w:pPr>
      <w:r>
        <w:rPr>
          <w:sz w:val="22"/>
          <w:szCs w:val="22"/>
        </w:rPr>
        <w:t xml:space="preserve">Tools: Python, pandas, scikit-learn, Draw.io</w:t>
      </w:r>
    </w:p>
    <w:p>
      <w:pPr>
        <w:spacing w:after="80"/>
        <w:jc w:val="center"/>
      </w:pPr>
      <w:r>
        <w:rPr>
          <w:sz w:val="22"/>
          <w:szCs w:val="22"/>
        </w:rPr>
        <w:t xml:space="preserve">Deliverable: Threat / Privacy Assessment Report</w:t>
      </w:r>
    </w:p>
    <w:p>
      <w:pPr>
        <w:spacing w:before="800"/>
        <w:jc w:val="center"/>
      </w:pPr>
      <w:r>
        <w:rPr>
          <w:color w:val="666666"/>
          <w:sz w:val="20"/>
          <w:szCs w:val="20"/>
        </w:rPr>
        <w:t xml:space="preserve">September 2026</w:t>
      </w:r>
    </w:p>
    <w:p>
      <w:r>
        <w:br w:type="page"/>
      </w:r>
    </w:p>
    <w:p>
      <w:pPr>
        <w:pStyle w:val="Heading1"/>
        <w:spacing w:after="150" w:before="300"/>
      </w:pPr>
      <w:r>
        <w:t xml:space="preserve">Executive Summary</w:t>
      </w:r>
    </w:p>
    <w:p>
      <w:pPr>
        <w:spacing w:after="120"/>
      </w:pPr>
      <w:r>
        <w:t xml:space="preserve">This project builds an end-to-end pipeline to identify security threats and privacy risks affecting Internet of Things (IoT) devices used in healthcare settings. Because real patient telemetry cannot be used for security testing, a synthetic dataset of 20,872 readings across 72 simulated devices (six device types: ECG wearables, SpO2 wearables, smart infusion pumps, glucose monitors, smart thermometers, and blood-pressure monitors) was generated in Python/pandas, with realistic attack and privacy-risk patterns deliberately injected and labeled.</w:t>
      </w:r>
    </w:p>
    <w:p>
      <w:pPr>
        <w:spacing w:after="120"/>
      </w:pPr>
      <w:r>
        <w:t xml:space="preserve">Two independent detection approaches were then applied: an explainable rule-based detector (signature rules an analyst would configure in a SIEM/IDS) and an unsupervised Isolation Forest model (the AI/ML layer). The rule-based detector achieved 0.96 F1 against the injected ground truth (recall 0.92, zero false positives); the ML detector alone achieved 0.39 F1, and the combined detector reached 0.92 recall — illustrating that rule-based signatures outperform generic anomaly detection for well-specified attack patterns, while ML adds value for catching novel or unspecified anomalies at the cost of more false positives.</w:t>
      </w:r>
    </w:p>
    <w:p>
      <w:pPr>
        <w:spacing w:after="120"/>
      </w:pPr>
      <w:r>
        <w:t xml:space="preserve">On the privacy side, a k-anonymity analysis using ward, device type, and hour-of-day as quasi-identifiers found that all 672 groups tested had k ≤ 5 (336 groups with k ≤ 2), meaning a patient's device telemetry is potentially re-identifiable from a small set of indirect attributes even when patient IDs are pseudonymous. This is flagged as the highest-priority privacy finding.</w:t>
      </w:r>
    </w:p>
    <w:p>
      <w:pPr>
        <w:spacing w:after="120"/>
      </w:pPr>
      <w:r>
        <w:t xml:space="preserve">The report concludes with a STRIDE-based threat model (data-flow diagram and attack tree provided as Draw.io files), a device-level risk register, and prioritized technical and governance recommendations covering encryption, device authentication, firmware integrity, anomaly-based monitoring, and data minimization.</w:t>
      </w:r>
    </w:p>
    <w:p>
      <w:pPr>
        <w:pStyle w:val="Heading1"/>
        <w:spacing w:after="150" w:before="300"/>
      </w:pPr>
      <w:r>
        <w:t xml:space="preserve">1. Objective and Scope</w:t>
      </w:r>
    </w:p>
    <w:p>
      <w:pPr>
        <w:pStyle w:val="Heading2"/>
        <w:spacing w:after="100" w:before="220"/>
      </w:pPr>
      <w:r>
        <w:t xml:space="preserve">1.1 Objective</w:t>
      </w:r>
    </w:p>
    <w:p>
      <w:pPr>
        <w:spacing w:after="120"/>
      </w:pPr>
      <w:r>
        <w:t xml:space="preserve">Identify security threats and privacy risks in a representative healthcare IoT ecosystem, quantify them using a synthetic telemetry dataset and AI-assisted anomaly detection, and produce an actionable threat/privacy risk assessment supported by data analysis and threat-modeling diagrams.</w:t>
      </w:r>
    </w:p>
    <w:p>
      <w:pPr>
        <w:pStyle w:val="Heading2"/>
        <w:spacing w:after="100" w:before="220"/>
      </w:pPr>
      <w:r>
        <w:t xml:space="preserve">1.2 In Scope</w:t>
      </w:r>
    </w:p>
    <w:p>
      <w:pPr>
        <w:pStyle w:val="ListParagraph"/>
        <w:numPr>
          <w:ilvl w:val="0"/>
          <w:numId w:val="1"/>
        </w:numPr>
        <w:spacing w:after="60"/>
      </w:pPr>
      <w:r>
        <w:t xml:space="preserve">Wearable vital-sign monitors (ECG heart rate, SpO2), smart infusion pumps, glucose monitors, smart thermometers, and blood-pressure monitors.</w:t>
      </w:r>
    </w:p>
    <w:p>
      <w:pPr>
        <w:pStyle w:val="ListParagraph"/>
        <w:numPr>
          <w:ilvl w:val="0"/>
          <w:numId w:val="1"/>
        </w:numPr>
        <w:spacing w:after="60"/>
      </w:pPr>
      <w:r>
        <w:t xml:space="preserve">The data path from bedside device → hospital gateway → cloud/backend → EHR/dashboard.</w:t>
      </w:r>
    </w:p>
    <w:p>
      <w:pPr>
        <w:pStyle w:val="ListParagraph"/>
        <w:numPr>
          <w:ilvl w:val="0"/>
          <w:numId w:val="1"/>
        </w:numPr>
        <w:spacing w:after="60"/>
      </w:pPr>
      <w:r>
        <w:t xml:space="preserve">Network- and application-layer threats: spoofing, tampering, replay, unauthorized access, denial of service, firmware integrity.</w:t>
      </w:r>
    </w:p>
    <w:p>
      <w:pPr>
        <w:pStyle w:val="ListParagraph"/>
        <w:numPr>
          <w:ilvl w:val="0"/>
          <w:numId w:val="1"/>
        </w:numPr>
        <w:spacing w:after="60"/>
      </w:pPr>
      <w:r>
        <w:t xml:space="preserve">Privacy risks arising from metadata correlation and re-identification, independent of direct identifiers.</w:t>
      </w:r>
    </w:p>
    <w:p>
      <w:pPr>
        <w:pStyle w:val="Heading2"/>
        <w:spacing w:after="100" w:before="220"/>
      </w:pPr>
      <w:r>
        <w:t xml:space="preserve">1.3 Out of Scope</w:t>
      </w:r>
    </w:p>
    <w:p>
      <w:pPr>
        <w:pStyle w:val="ListParagraph"/>
        <w:numPr>
          <w:ilvl w:val="0"/>
          <w:numId w:val="1"/>
        </w:numPr>
        <w:spacing w:after="60"/>
      </w:pPr>
      <w:r>
        <w:t xml:space="preserve">Physical/hardware-level attacks requiring device teardown (side-channel analysis, JTAG extraction).</w:t>
      </w:r>
    </w:p>
    <w:p>
      <w:pPr>
        <w:pStyle w:val="ListParagraph"/>
        <w:numPr>
          <w:ilvl w:val="0"/>
          <w:numId w:val="1"/>
        </w:numPr>
        <w:spacing w:after="60"/>
      </w:pPr>
      <w:r>
        <w:t xml:space="preserve">Real patient data — all data used is synthetically generated (Section 3).</w:t>
      </w:r>
    </w:p>
    <w:p>
      <w:pPr>
        <w:pStyle w:val="ListParagraph"/>
        <w:numPr>
          <w:ilvl w:val="0"/>
          <w:numId w:val="1"/>
        </w:numPr>
        <w:spacing w:after="60"/>
      </w:pPr>
      <w:r>
        <w:t xml:space="preserve">Formal regulatory certification (HIPAA/GDPR audit); frameworks are referenced for risk framing only, not as a compliance attestation.</w:t>
      </w:r>
    </w:p>
    <w:p>
      <w:pPr>
        <w:pStyle w:val="Heading1"/>
        <w:spacing w:after="150" w:before="300"/>
      </w:pPr>
      <w:r>
        <w:t xml:space="preserve">2. Methodology and Tools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4100"/>
      </w:tblGrid>
      <w:tr>
        <w:trPr>
          <w:tblHeader/>
        </w:trPr>
        <w:tc>
          <w:tcPr>
            <w:tcW w:type="dxa" w:w="2300"/>
            <w:shd w:fill="D9E2F3" w:val="clear"/>
          </w:tcPr>
          <w:p>
            <w:pPr>
              <w:jc w:val="left"/>
            </w:pPr>
            <w:r>
              <w:rPr>
                <w:b/>
                <w:bCs/>
                <w:sz w:val="19"/>
                <w:szCs w:val="19"/>
              </w:rPr>
              <w:t xml:space="preserve">Stage</w:t>
            </w:r>
          </w:p>
        </w:tc>
        <w:tc>
          <w:tcPr>
            <w:tcW w:type="dxa" w:w="3500"/>
            <w:shd w:fill="D9E2F3" w:val="clear"/>
          </w:tcPr>
          <w:p>
            <w:pPr>
              <w:jc w:val="left"/>
            </w:pPr>
            <w:r>
              <w:rPr>
                <w:b/>
                <w:bCs/>
                <w:sz w:val="19"/>
                <w:szCs w:val="19"/>
              </w:rPr>
              <w:t xml:space="preserve">Tool / Technique</w:t>
            </w:r>
          </w:p>
        </w:tc>
        <w:tc>
          <w:tcPr>
            <w:tcW w:type="dxa" w:w="4100"/>
            <w:shd w:fill="D9E2F3" w:val="clear"/>
          </w:tcPr>
          <w:p>
            <w:pPr>
              <w:jc w:val="left"/>
            </w:pPr>
            <w:r>
              <w:rPr>
                <w:b/>
                <w:bCs/>
                <w:sz w:val="19"/>
                <w:szCs w:val="19"/>
              </w:rPr>
              <w:t xml:space="preserve">Purpose</w:t>
            </w:r>
          </w:p>
        </w:tc>
      </w:tr>
      <w:tr>
        <w:tc>
          <w:tcPr>
            <w:tcW w:type="dxa" w:w="2300"/>
          </w:tcPr>
          <w:p>
            <w:pPr>
              <w:jc w:val="left"/>
            </w:pPr>
            <w:r>
              <w:rPr>
                <w:b w:val="false"/>
                <w:bCs w:val="false"/>
                <w:sz w:val="19"/>
                <w:szCs w:val="19"/>
              </w:rPr>
              <w:t xml:space="preserve">Data generation</w:t>
            </w:r>
          </w:p>
        </w:tc>
        <w:tc>
          <w:tcPr>
            <w:tcW w:type="dxa" w:w="3500"/>
          </w:tcPr>
          <w:p>
            <w:pPr>
              <w:jc w:val="left"/>
            </w:pPr>
            <w:r>
              <w:rPr>
                <w:b w:val="false"/>
                <w:bCs w:val="false"/>
                <w:sz w:val="19"/>
                <w:szCs w:val="19"/>
              </w:rPr>
              <w:t xml:space="preserve">Python, pandas, numpy</w:t>
            </w:r>
          </w:p>
        </w:tc>
        <w:tc>
          <w:tcPr>
            <w:tcW w:type="dxa" w:w="4100"/>
          </w:tcPr>
          <w:p>
            <w:pPr>
              <w:jc w:val="left"/>
            </w:pPr>
            <w:r>
              <w:rPr>
                <w:b w:val="false"/>
                <w:bCs w:val="false"/>
                <w:sz w:val="19"/>
                <w:szCs w:val="19"/>
              </w:rPr>
              <w:t xml:space="preserve">Simulate 72 devices over 72 hours with injected attack/privacy patterns</w:t>
            </w:r>
          </w:p>
        </w:tc>
      </w:tr>
      <w:tr>
        <w:tc>
          <w:tcPr>
            <w:tcW w:type="dxa" w:w="2300"/>
          </w:tcPr>
          <w:p>
            <w:pPr>
              <w:jc w:val="left"/>
            </w:pPr>
            <w:r>
              <w:rPr>
                <w:b w:val="false"/>
                <w:bCs w:val="false"/>
                <w:sz w:val="19"/>
                <w:szCs w:val="19"/>
              </w:rPr>
              <w:t xml:space="preserve">Threat detection</w:t>
            </w:r>
          </w:p>
        </w:tc>
        <w:tc>
          <w:tcPr>
            <w:tcW w:type="dxa" w:w="3500"/>
          </w:tcPr>
          <w:p>
            <w:pPr>
              <w:jc w:val="left"/>
            </w:pPr>
            <w:r>
              <w:rPr>
                <w:b w:val="false"/>
                <w:bCs w:val="false"/>
                <w:sz w:val="19"/>
                <w:szCs w:val="19"/>
              </w:rPr>
              <w:t xml:space="preserve">pandas rules; scikit-learn Isolation Forest</w:t>
            </w:r>
          </w:p>
        </w:tc>
        <w:tc>
          <w:tcPr>
            <w:tcW w:type="dxa" w:w="4100"/>
          </w:tcPr>
          <w:p>
            <w:pPr>
              <w:jc w:val="left"/>
            </w:pPr>
            <w:r>
              <w:rPr>
                <w:b w:val="false"/>
                <w:bCs w:val="false"/>
                <w:sz w:val="19"/>
                <w:szCs w:val="19"/>
              </w:rPr>
              <w:t xml:space="preserve">Rule-based signature detection + unsupervised ML anomaly detection</w:t>
            </w:r>
          </w:p>
        </w:tc>
      </w:tr>
      <w:tr>
        <w:tc>
          <w:tcPr>
            <w:tcW w:type="dxa" w:w="2300"/>
          </w:tcPr>
          <w:p>
            <w:pPr>
              <w:jc w:val="left"/>
            </w:pPr>
            <w:r>
              <w:rPr>
                <w:b w:val="false"/>
                <w:bCs w:val="false"/>
                <w:sz w:val="19"/>
                <w:szCs w:val="19"/>
              </w:rPr>
              <w:t xml:space="preserve">Privacy analysis</w:t>
            </w:r>
          </w:p>
        </w:tc>
        <w:tc>
          <w:tcPr>
            <w:tcW w:type="dxa" w:w="3500"/>
          </w:tcPr>
          <w:p>
            <w:pPr>
              <w:jc w:val="left"/>
            </w:pPr>
            <w:r>
              <w:rPr>
                <w:b w:val="false"/>
                <w:bCs w:val="false"/>
                <w:sz w:val="19"/>
                <w:szCs w:val="19"/>
              </w:rPr>
              <w:t xml:space="preserve">pandas (k-anonymity grouping)</w:t>
            </w:r>
          </w:p>
        </w:tc>
        <w:tc>
          <w:tcPr>
            <w:tcW w:type="dxa" w:w="4100"/>
          </w:tcPr>
          <w:p>
            <w:pPr>
              <w:jc w:val="left"/>
            </w:pPr>
            <w:r>
              <w:rPr>
                <w:b w:val="false"/>
                <w:bCs w:val="false"/>
                <w:sz w:val="19"/>
                <w:szCs w:val="19"/>
              </w:rPr>
              <w:t xml:space="preserve">Quantify re-identification risk via quasi-identifier grouping</w:t>
            </w:r>
          </w:p>
        </w:tc>
      </w:tr>
      <w:tr>
        <w:tc>
          <w:tcPr>
            <w:tcW w:type="dxa" w:w="2300"/>
          </w:tcPr>
          <w:p>
            <w:pPr>
              <w:jc w:val="left"/>
            </w:pPr>
            <w:r>
              <w:rPr>
                <w:b w:val="false"/>
                <w:bCs w:val="false"/>
                <w:sz w:val="19"/>
                <w:szCs w:val="19"/>
              </w:rPr>
              <w:t xml:space="preserve">Threat modeling</w:t>
            </w:r>
          </w:p>
        </w:tc>
        <w:tc>
          <w:tcPr>
            <w:tcW w:type="dxa" w:w="3500"/>
          </w:tcPr>
          <w:p>
            <w:pPr>
              <w:jc w:val="left"/>
            </w:pPr>
            <w:r>
              <w:rPr>
                <w:b w:val="false"/>
                <w:bCs w:val="false"/>
                <w:sz w:val="19"/>
                <w:szCs w:val="19"/>
              </w:rPr>
              <w:t xml:space="preserve">Draw.io (diagrams.net)</w:t>
            </w:r>
          </w:p>
        </w:tc>
        <w:tc>
          <w:tcPr>
            <w:tcW w:type="dxa" w:w="4100"/>
          </w:tcPr>
          <w:p>
            <w:pPr>
              <w:jc w:val="left"/>
            </w:pPr>
            <w:r>
              <w:rPr>
                <w:b w:val="false"/>
                <w:bCs w:val="false"/>
                <w:sz w:val="19"/>
                <w:szCs w:val="19"/>
              </w:rPr>
              <w:t xml:space="preserve">Data-flow diagram with STRIDE overlay; attack tree for a critical scenario</w:t>
            </w:r>
          </w:p>
        </w:tc>
      </w:tr>
      <w:tr>
        <w:tc>
          <w:tcPr>
            <w:tcW w:type="dxa" w:w="2300"/>
          </w:tcPr>
          <w:p>
            <w:pPr>
              <w:jc w:val="left"/>
            </w:pPr>
            <w:r>
              <w:rPr>
                <w:b w:val="false"/>
                <w:bCs w:val="false"/>
                <w:sz w:val="19"/>
                <w:szCs w:val="19"/>
              </w:rPr>
              <w:t xml:space="preserve">Reporting</w:t>
            </w:r>
          </w:p>
        </w:tc>
        <w:tc>
          <w:tcPr>
            <w:tcW w:type="dxa" w:w="3500"/>
          </w:tcPr>
          <w:p>
            <w:pPr>
              <w:jc w:val="left"/>
            </w:pPr>
            <w:r>
              <w:rPr>
                <w:b w:val="false"/>
                <w:bCs w:val="false"/>
                <w:sz w:val="19"/>
                <w:szCs w:val="19"/>
              </w:rPr>
              <w:t xml:space="preserve">Word (.docx)</w:t>
            </w:r>
          </w:p>
        </w:tc>
        <w:tc>
          <w:tcPr>
            <w:tcW w:type="dxa" w:w="4100"/>
          </w:tcPr>
          <w:p>
            <w:pPr>
              <w:jc w:val="left"/>
            </w:pPr>
            <w:r>
              <w:rPr>
                <w:b w:val="false"/>
                <w:bCs w:val="false"/>
                <w:sz w:val="19"/>
                <w:szCs w:val="19"/>
              </w:rPr>
              <w:t xml:space="preserve">Consolidated threat/privacy assessment deliverable</w:t>
            </w:r>
          </w:p>
        </w:tc>
      </w:tr>
    </w:tbl>
    <w:p>
      <w:pPr>
        <w:spacing w:after="200"/>
      </w:pPr>
    </w:p>
    <w:p>
      <w:pPr>
        <w:spacing w:after="120"/>
      </w:pPr>
      <w:r>
        <w:t xml:space="preserve">Methodology follows four steps: (1) generate synthetic telemetry with known ground-truth threat labels; (2) run detection to test whether labeled events are recoverable from telemetry alone; (3) run a privacy re-identification analysis independent of the security labels; (4) synthesize both into a STRIDE threat model, device risk register, and recommendations.</w:t>
      </w:r>
    </w:p>
    <w:p>
      <w:pPr>
        <w:pStyle w:val="Heading1"/>
        <w:spacing w:after="150" w:before="300"/>
      </w:pPr>
      <w:r>
        <w:t xml:space="preserve">3. Synthetic Dataset and Simulated Ecosystem</w:t>
      </w:r>
    </w:p>
    <w:p>
      <w:pPr>
        <w:spacing w:after="120"/>
      </w:pPr>
      <w:r>
        <w:t xml:space="preserve">The dataset simulates a small hospital network: 6 device types x 12 devices each = 72 devices, each reporting a vital-sign reading every 15 minutes over a 72-hour window (20,872 total records). Each device carries a synthetic patient ID, hospital ward, home subnet, and firmware version.</w:t>
      </w:r>
    </w:p>
    <w:p>
      <w:pPr>
        <w:pStyle w:val="Heading2"/>
        <w:spacing w:after="100" w:before="220"/>
      </w:pPr>
      <w:r>
        <w:t xml:space="preserve">3.1 Injected Threat / Attack Patterns (Ground Truth)</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200"/>
        <w:gridCol w:w="1300"/>
      </w:tblGrid>
      <w:tr>
        <w:trPr>
          <w:tblHeader/>
        </w:trPr>
        <w:tc>
          <w:tcPr>
            <w:tcW w:type="dxa" w:w="2400"/>
            <w:shd w:fill="D9E2F3" w:val="clear"/>
          </w:tcPr>
          <w:p>
            <w:pPr>
              <w:jc w:val="left"/>
            </w:pPr>
            <w:r>
              <w:rPr>
                <w:b/>
                <w:bCs/>
                <w:sz w:val="19"/>
                <w:szCs w:val="19"/>
              </w:rPr>
              <w:t xml:space="preserve">Label</w:t>
            </w:r>
          </w:p>
        </w:tc>
        <w:tc>
          <w:tcPr>
            <w:tcW w:type="dxa" w:w="4000"/>
            <w:shd w:fill="D9E2F3" w:val="clear"/>
          </w:tcPr>
          <w:p>
            <w:pPr>
              <w:jc w:val="left"/>
            </w:pPr>
            <w:r>
              <w:rPr>
                <w:b/>
                <w:bCs/>
                <w:sz w:val="19"/>
                <w:szCs w:val="19"/>
              </w:rPr>
              <w:t xml:space="preserve">Pattern</w:t>
            </w:r>
          </w:p>
        </w:tc>
        <w:tc>
          <w:tcPr>
            <w:tcW w:type="dxa" w:w="2200"/>
            <w:shd w:fill="D9E2F3" w:val="clear"/>
          </w:tcPr>
          <w:p>
            <w:pPr>
              <w:jc w:val="left"/>
            </w:pPr>
            <w:r>
              <w:rPr>
                <w:b/>
                <w:bCs/>
                <w:sz w:val="19"/>
                <w:szCs w:val="19"/>
              </w:rPr>
              <w:t xml:space="preserve">STRIDE category</w:t>
            </w:r>
          </w:p>
        </w:tc>
        <w:tc>
          <w:tcPr>
            <w:tcW w:type="dxa" w:w="1300"/>
            <w:shd w:fill="D9E2F3" w:val="clear"/>
          </w:tcPr>
          <w:p>
            <w:pPr>
              <w:jc w:val="left"/>
            </w:pPr>
            <w:r>
              <w:rPr>
                <w:b/>
                <w:bCs/>
                <w:sz w:val="19"/>
                <w:szCs w:val="19"/>
              </w:rPr>
              <w:t xml:space="preserve">Count</w:t>
            </w:r>
          </w:p>
        </w:tc>
      </w:tr>
      <w:tr>
        <w:tc>
          <w:tcPr>
            <w:tcW w:type="dxa" w:w="2400"/>
          </w:tcPr>
          <w:p>
            <w:pPr>
              <w:jc w:val="left"/>
            </w:pPr>
            <w:r>
              <w:rPr>
                <w:b w:val="false"/>
                <w:bCs w:val="false"/>
                <w:sz w:val="19"/>
                <w:szCs w:val="19"/>
              </w:rPr>
              <w:t xml:space="preserve">spoofed_vital_reading</w:t>
            </w:r>
          </w:p>
        </w:tc>
        <w:tc>
          <w:tcPr>
            <w:tcW w:type="dxa" w:w="4000"/>
          </w:tcPr>
          <w:p>
            <w:pPr>
              <w:jc w:val="left"/>
            </w:pPr>
            <w:r>
              <w:rPr>
                <w:b w:val="false"/>
                <w:bCs w:val="false"/>
                <w:sz w:val="19"/>
                <w:szCs w:val="19"/>
              </w:rPr>
              <w:t xml:space="preserve">Physiologically implausible spike/drop in a vital-sign value</w:t>
            </w:r>
          </w:p>
        </w:tc>
        <w:tc>
          <w:tcPr>
            <w:tcW w:type="dxa" w:w="2200"/>
          </w:tcPr>
          <w:p>
            <w:pPr>
              <w:jc w:val="left"/>
            </w:pPr>
            <w:r>
              <w:rPr>
                <w:b w:val="false"/>
                <w:bCs w:val="false"/>
                <w:sz w:val="19"/>
                <w:szCs w:val="19"/>
              </w:rPr>
              <w:t xml:space="preserve">Tampering</w:t>
            </w:r>
          </w:p>
        </w:tc>
        <w:tc>
          <w:tcPr>
            <w:tcW w:type="dxa" w:w="1300"/>
          </w:tcPr>
          <w:p>
            <w:pPr>
              <w:jc w:val="left"/>
            </w:pPr>
            <w:r>
              <w:rPr>
                <w:b w:val="false"/>
                <w:bCs w:val="false"/>
                <w:sz w:val="19"/>
                <w:szCs w:val="19"/>
              </w:rPr>
              <w:t xml:space="preserve">39</w:t>
            </w:r>
          </w:p>
        </w:tc>
      </w:tr>
      <w:tr>
        <w:tc>
          <w:tcPr>
            <w:tcW w:type="dxa" w:w="2400"/>
          </w:tcPr>
          <w:p>
            <w:pPr>
              <w:jc w:val="left"/>
            </w:pPr>
            <w:r>
              <w:rPr>
                <w:b w:val="false"/>
                <w:bCs w:val="false"/>
                <w:sz w:val="19"/>
                <w:szCs w:val="19"/>
              </w:rPr>
              <w:t xml:space="preserve">brute_force_auth</w:t>
            </w:r>
          </w:p>
        </w:tc>
        <w:tc>
          <w:tcPr>
            <w:tcW w:type="dxa" w:w="4000"/>
          </w:tcPr>
          <w:p>
            <w:pPr>
              <w:jc w:val="left"/>
            </w:pPr>
            <w:r>
              <w:rPr>
                <w:b w:val="false"/>
                <w:bCs w:val="false"/>
                <w:sz w:val="19"/>
                <w:szCs w:val="19"/>
              </w:rPr>
              <w:t xml:space="preserve">Burst of failed authentication attempts before a success</w:t>
            </w:r>
          </w:p>
        </w:tc>
        <w:tc>
          <w:tcPr>
            <w:tcW w:type="dxa" w:w="2200"/>
          </w:tcPr>
          <w:p>
            <w:pPr>
              <w:jc w:val="left"/>
            </w:pPr>
            <w:r>
              <w:rPr>
                <w:b w:val="false"/>
                <w:bCs w:val="false"/>
                <w:sz w:val="19"/>
                <w:szCs w:val="19"/>
              </w:rPr>
              <w:t xml:space="preserve">Spoofing</w:t>
            </w:r>
          </w:p>
        </w:tc>
        <w:tc>
          <w:tcPr>
            <w:tcW w:type="dxa" w:w="1300"/>
          </w:tcPr>
          <w:p>
            <w:pPr>
              <w:jc w:val="left"/>
            </w:pPr>
            <w:r>
              <w:rPr>
                <w:b w:val="false"/>
                <w:bCs w:val="false"/>
                <w:sz w:val="19"/>
                <w:szCs w:val="19"/>
              </w:rPr>
              <w:t xml:space="preserve">116</w:t>
            </w:r>
          </w:p>
        </w:tc>
      </w:tr>
      <w:tr>
        <w:tc>
          <w:tcPr>
            <w:tcW w:type="dxa" w:w="2400"/>
          </w:tcPr>
          <w:p>
            <w:pPr>
              <w:jc w:val="left"/>
            </w:pPr>
            <w:r>
              <w:rPr>
                <w:b w:val="false"/>
                <w:bCs w:val="false"/>
                <w:sz w:val="19"/>
                <w:szCs w:val="19"/>
              </w:rPr>
              <w:t xml:space="preserve">replay_attack</w:t>
            </w:r>
          </w:p>
        </w:tc>
        <w:tc>
          <w:tcPr>
            <w:tcW w:type="dxa" w:w="4000"/>
          </w:tcPr>
          <w:p>
            <w:pPr>
              <w:jc w:val="left"/>
            </w:pPr>
            <w:r>
              <w:rPr>
                <w:b w:val="false"/>
                <w:bCs w:val="false"/>
                <w:sz w:val="19"/>
                <w:szCs w:val="19"/>
              </w:rPr>
              <w:t xml:space="preserve">Exact duplicate reading re-sent out of time order</w:t>
            </w:r>
          </w:p>
        </w:tc>
        <w:tc>
          <w:tcPr>
            <w:tcW w:type="dxa" w:w="2200"/>
          </w:tcPr>
          <w:p>
            <w:pPr>
              <w:jc w:val="left"/>
            </w:pPr>
            <w:r>
              <w:rPr>
                <w:b w:val="false"/>
                <w:bCs w:val="false"/>
                <w:sz w:val="19"/>
                <w:szCs w:val="19"/>
              </w:rPr>
              <w:t xml:space="preserve">Repudiation</w:t>
            </w:r>
          </w:p>
        </w:tc>
        <w:tc>
          <w:tcPr>
            <w:tcW w:type="dxa" w:w="1300"/>
          </w:tcPr>
          <w:p>
            <w:pPr>
              <w:jc w:val="left"/>
            </w:pPr>
            <w:r>
              <w:rPr>
                <w:b w:val="false"/>
                <w:bCs w:val="false"/>
                <w:sz w:val="19"/>
                <w:szCs w:val="19"/>
              </w:rPr>
              <w:t xml:space="preserve">20</w:t>
            </w:r>
          </w:p>
        </w:tc>
      </w:tr>
      <w:tr>
        <w:tc>
          <w:tcPr>
            <w:tcW w:type="dxa" w:w="2400"/>
          </w:tcPr>
          <w:p>
            <w:pPr>
              <w:jc w:val="left"/>
            </w:pPr>
            <w:r>
              <w:rPr>
                <w:b w:val="false"/>
                <w:bCs w:val="false"/>
                <w:sz w:val="19"/>
                <w:szCs w:val="19"/>
              </w:rPr>
              <w:t xml:space="preserve">unauthorized_ip_access</w:t>
            </w:r>
          </w:p>
        </w:tc>
        <w:tc>
          <w:tcPr>
            <w:tcW w:type="dxa" w:w="4000"/>
          </w:tcPr>
          <w:p>
            <w:pPr>
              <w:jc w:val="left"/>
            </w:pPr>
            <w:r>
              <w:rPr>
                <w:b w:val="false"/>
                <w:bCs w:val="false"/>
                <w:sz w:val="19"/>
                <w:szCs w:val="19"/>
              </w:rPr>
              <w:t xml:space="preserve">Device traffic from a non-hospital / external IP range</w:t>
            </w:r>
          </w:p>
        </w:tc>
        <w:tc>
          <w:tcPr>
            <w:tcW w:type="dxa" w:w="2200"/>
          </w:tcPr>
          <w:p>
            <w:pPr>
              <w:jc w:val="left"/>
            </w:pPr>
            <w:r>
              <w:rPr>
                <w:b w:val="false"/>
                <w:bCs w:val="false"/>
                <w:sz w:val="19"/>
                <w:szCs w:val="19"/>
              </w:rPr>
              <w:t xml:space="preserve">Elevation of Privilege</w:t>
            </w:r>
          </w:p>
        </w:tc>
        <w:tc>
          <w:tcPr>
            <w:tcW w:type="dxa" w:w="1300"/>
          </w:tcPr>
          <w:p>
            <w:pPr>
              <w:jc w:val="left"/>
            </w:pPr>
            <w:r>
              <w:rPr>
                <w:b w:val="false"/>
                <w:bCs w:val="false"/>
                <w:sz w:val="19"/>
                <w:szCs w:val="19"/>
              </w:rPr>
              <w:t xml:space="preserve">24</w:t>
            </w:r>
          </w:p>
        </w:tc>
      </w:tr>
      <w:tr>
        <w:tc>
          <w:tcPr>
            <w:tcW w:type="dxa" w:w="2400"/>
          </w:tcPr>
          <w:p>
            <w:pPr>
              <w:jc w:val="left"/>
            </w:pPr>
            <w:r>
              <w:rPr>
                <w:b w:val="false"/>
                <w:bCs w:val="false"/>
                <w:sz w:val="19"/>
                <w:szCs w:val="19"/>
              </w:rPr>
              <w:t xml:space="preserve">denial_of_service_burst</w:t>
            </w:r>
          </w:p>
        </w:tc>
        <w:tc>
          <w:tcPr>
            <w:tcW w:type="dxa" w:w="4000"/>
          </w:tcPr>
          <w:p>
            <w:pPr>
              <w:jc w:val="left"/>
            </w:pPr>
            <w:r>
              <w:rPr>
                <w:b w:val="false"/>
                <w:bCs w:val="false"/>
                <w:sz w:val="19"/>
                <w:szCs w:val="19"/>
              </w:rPr>
              <w:t xml:space="preserve">Abnormally high request rate (150–400 req/min)</w:t>
            </w:r>
          </w:p>
        </w:tc>
        <w:tc>
          <w:tcPr>
            <w:tcW w:type="dxa" w:w="2200"/>
          </w:tcPr>
          <w:p>
            <w:pPr>
              <w:jc w:val="left"/>
            </w:pPr>
            <w:r>
              <w:rPr>
                <w:b w:val="false"/>
                <w:bCs w:val="false"/>
                <w:sz w:val="19"/>
                <w:szCs w:val="19"/>
              </w:rPr>
              <w:t xml:space="preserve">Denial of Service</w:t>
            </w:r>
          </w:p>
        </w:tc>
        <w:tc>
          <w:tcPr>
            <w:tcW w:type="dxa" w:w="1300"/>
          </w:tcPr>
          <w:p>
            <w:pPr>
              <w:jc w:val="left"/>
            </w:pPr>
            <w:r>
              <w:rPr>
                <w:b w:val="false"/>
                <w:bCs w:val="false"/>
                <w:sz w:val="19"/>
                <w:szCs w:val="19"/>
              </w:rPr>
              <w:t xml:space="preserve">86</w:t>
            </w:r>
          </w:p>
        </w:tc>
      </w:tr>
      <w:tr>
        <w:tc>
          <w:tcPr>
            <w:tcW w:type="dxa" w:w="2400"/>
          </w:tcPr>
          <w:p>
            <w:pPr>
              <w:jc w:val="left"/>
            </w:pPr>
            <w:r>
              <w:rPr>
                <w:b w:val="false"/>
                <w:bCs w:val="false"/>
                <w:sz w:val="19"/>
                <w:szCs w:val="19"/>
              </w:rPr>
              <w:t xml:space="preserve">firmware_downgrade</w:t>
            </w:r>
          </w:p>
        </w:tc>
        <w:tc>
          <w:tcPr>
            <w:tcW w:type="dxa" w:w="4000"/>
          </w:tcPr>
          <w:p>
            <w:pPr>
              <w:jc w:val="left"/>
            </w:pPr>
            <w:r>
              <w:rPr>
                <w:b w:val="false"/>
                <w:bCs w:val="false"/>
                <w:sz w:val="19"/>
                <w:szCs w:val="19"/>
              </w:rPr>
              <w:t xml:space="preserve">Device reports rollback to known-vulnerable firmware</w:t>
            </w:r>
          </w:p>
        </w:tc>
        <w:tc>
          <w:tcPr>
            <w:tcW w:type="dxa" w:w="2200"/>
          </w:tcPr>
          <w:p>
            <w:pPr>
              <w:jc w:val="left"/>
            </w:pPr>
            <w:r>
              <w:rPr>
                <w:b w:val="false"/>
                <w:bCs w:val="false"/>
                <w:sz w:val="19"/>
                <w:szCs w:val="19"/>
              </w:rPr>
              <w:t xml:space="preserve">Tampering</w:t>
            </w:r>
          </w:p>
        </w:tc>
        <w:tc>
          <w:tcPr>
            <w:tcW w:type="dxa" w:w="1300"/>
          </w:tcPr>
          <w:p>
            <w:pPr>
              <w:jc w:val="left"/>
            </w:pPr>
            <w:r>
              <w:rPr>
                <w:b w:val="false"/>
                <w:bCs w:val="false"/>
                <w:sz w:val="19"/>
                <w:szCs w:val="19"/>
              </w:rPr>
              <w:t xml:space="preserve">18</w:t>
            </w:r>
          </w:p>
        </w:tc>
      </w:tr>
    </w:tbl>
    <w:p>
      <w:pPr>
        <w:spacing w:after="200"/>
      </w:pPr>
    </w:p>
    <w:p>
      <w:pPr>
        <w:spacing w:after="80"/>
        <w:jc w:val="center"/>
      </w:pPr>
      <w:r>
        <w:drawing>
          <wp:inline distT="0" distB="0" distL="0" distR="0">
            <wp:extent cx="447675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800350"/>
                    </a:xfrm>
                    <a:prstGeom prst="rect">
                      <a:avLst/>
                    </a:prstGeom>
                  </pic:spPr>
                </pic:pic>
              </a:graphicData>
            </a:graphic>
          </wp:inline>
        </w:drawing>
      </w:r>
    </w:p>
    <w:p>
      <w:pPr>
        <w:spacing w:after="240"/>
        <w:jc w:val="center"/>
      </w:pPr>
      <w:r>
        <w:rPr>
          <w:i/>
          <w:iCs/>
          <w:color w:val="555555"/>
          <w:sz w:val="18"/>
          <w:szCs w:val="18"/>
        </w:rPr>
        <w:t xml:space="preserve">Figure 1. Injected threat events by type (ground truth), out of 303 total labeled events.</w:t>
      </w:r>
    </w:p>
    <w:p>
      <w:r>
        <w:br w:type="page"/>
      </w:r>
    </w:p>
    <w:p>
      <w:pPr>
        <w:pStyle w:val="Heading1"/>
        <w:spacing w:after="150" w:before="300"/>
      </w:pPr>
      <w:r>
        <w:t xml:space="preserve">4. Threat Model: Data-Flow Diagram and STRIDE Analysis</w:t>
      </w:r>
    </w:p>
    <w:p>
      <w:pPr>
        <w:spacing w:after="120"/>
      </w:pPr>
      <w:r>
        <w:t xml:space="preserve">A data-flow diagram (DFD) was built in Draw.io covering the full path from patient to clinician: Patient → IoT Device → Hospital Gateway → Cloud/Backend API → EHR/Dashboard → Clinician, with three trust boundaries (bedside, hospital network, cloud/vendor) and three data stores (telemetry store, device identity store, audit log). The file dfd_stride_threat_model.drawio (delivered alongside this report; open at diagrams.net or desktop Draw.io) overlays STRIDE threats at each boundary crossing.</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100"/>
        <w:gridCol w:w="4400"/>
        <w:gridCol w:w="3300"/>
      </w:tblGrid>
      <w:tr>
        <w:trPr>
          <w:tblHeader/>
        </w:trPr>
        <w:tc>
          <w:tcPr>
            <w:tcW w:type="dxa" w:w="2100"/>
            <w:shd w:fill="D9E2F3" w:val="clear"/>
          </w:tcPr>
          <w:p>
            <w:pPr>
              <w:jc w:val="left"/>
            </w:pPr>
            <w:r>
              <w:rPr>
                <w:b/>
                <w:bCs/>
                <w:sz w:val="19"/>
                <w:szCs w:val="19"/>
              </w:rPr>
              <w:t xml:space="preserve">STRIDE category</w:t>
            </w:r>
          </w:p>
        </w:tc>
        <w:tc>
          <w:tcPr>
            <w:tcW w:type="dxa" w:w="4400"/>
            <w:shd w:fill="D9E2F3" w:val="clear"/>
          </w:tcPr>
          <w:p>
            <w:pPr>
              <w:jc w:val="left"/>
            </w:pPr>
            <w:r>
              <w:rPr>
                <w:b/>
                <w:bCs/>
                <w:sz w:val="19"/>
                <w:szCs w:val="19"/>
              </w:rPr>
              <w:t xml:space="preserve">Example threat in this system</w:t>
            </w:r>
          </w:p>
        </w:tc>
        <w:tc>
          <w:tcPr>
            <w:tcW w:type="dxa" w:w="3300"/>
            <w:shd w:fill="D9E2F3" w:val="clear"/>
          </w:tcPr>
          <w:p>
            <w:pPr>
              <w:jc w:val="left"/>
            </w:pPr>
            <w:r>
              <w:rPr>
                <w:b/>
                <w:bCs/>
                <w:sz w:val="19"/>
                <w:szCs w:val="19"/>
              </w:rPr>
              <w:t xml:space="preserve">Primary control</w:t>
            </w:r>
          </w:p>
        </w:tc>
      </w:tr>
      <w:tr>
        <w:tc>
          <w:tcPr>
            <w:tcW w:type="dxa" w:w="2100"/>
          </w:tcPr>
          <w:p>
            <w:pPr>
              <w:jc w:val="left"/>
            </w:pPr>
            <w:r>
              <w:rPr>
                <w:b w:val="false"/>
                <w:bCs w:val="false"/>
                <w:sz w:val="19"/>
                <w:szCs w:val="19"/>
              </w:rPr>
              <w:t xml:space="preserve">Spoofing</w:t>
            </w:r>
          </w:p>
        </w:tc>
        <w:tc>
          <w:tcPr>
            <w:tcW w:type="dxa" w:w="4400"/>
          </w:tcPr>
          <w:p>
            <w:pPr>
              <w:jc w:val="left"/>
            </w:pPr>
            <w:r>
              <w:rPr>
                <w:b w:val="false"/>
                <w:bCs w:val="false"/>
                <w:sz w:val="19"/>
                <w:szCs w:val="19"/>
              </w:rPr>
              <w:t xml:space="preserve">Attacker impersonates a device using brute-forced or default credentials</w:t>
            </w:r>
          </w:p>
        </w:tc>
        <w:tc>
          <w:tcPr>
            <w:tcW w:type="dxa" w:w="3300"/>
          </w:tcPr>
          <w:p>
            <w:pPr>
              <w:jc w:val="left"/>
            </w:pPr>
            <w:r>
              <w:rPr>
                <w:b w:val="false"/>
                <w:bCs w:val="false"/>
                <w:sz w:val="19"/>
                <w:szCs w:val="19"/>
              </w:rPr>
              <w:t xml:space="preserve">Unique per-device certificates/keys; account lockout; mutual TLS</w:t>
            </w:r>
          </w:p>
        </w:tc>
      </w:tr>
      <w:tr>
        <w:tc>
          <w:tcPr>
            <w:tcW w:type="dxa" w:w="2100"/>
          </w:tcPr>
          <w:p>
            <w:pPr>
              <w:jc w:val="left"/>
            </w:pPr>
            <w:r>
              <w:rPr>
                <w:b w:val="false"/>
                <w:bCs w:val="false"/>
                <w:sz w:val="19"/>
                <w:szCs w:val="19"/>
              </w:rPr>
              <w:t xml:space="preserve">Tampering</w:t>
            </w:r>
          </w:p>
        </w:tc>
        <w:tc>
          <w:tcPr>
            <w:tcW w:type="dxa" w:w="4400"/>
          </w:tcPr>
          <w:p>
            <w:pPr>
              <w:jc w:val="left"/>
            </w:pPr>
            <w:r>
              <w:rPr>
                <w:b w:val="false"/>
                <w:bCs w:val="false"/>
                <w:sz w:val="19"/>
                <w:szCs w:val="19"/>
              </w:rPr>
              <w:t xml:space="preserve">Vital-sign values altered in transit, or firmware rolled back to a vulnerable version</w:t>
            </w:r>
          </w:p>
        </w:tc>
        <w:tc>
          <w:tcPr>
            <w:tcW w:type="dxa" w:w="3300"/>
          </w:tcPr>
          <w:p>
            <w:pPr>
              <w:jc w:val="left"/>
            </w:pPr>
            <w:r>
              <w:rPr>
                <w:b w:val="false"/>
                <w:bCs w:val="false"/>
                <w:sz w:val="19"/>
                <w:szCs w:val="19"/>
              </w:rPr>
              <w:t xml:space="preserve">Message integrity (HMAC/signing); signed firmware; anti-rollback protection</w:t>
            </w:r>
          </w:p>
        </w:tc>
      </w:tr>
      <w:tr>
        <w:tc>
          <w:tcPr>
            <w:tcW w:type="dxa" w:w="2100"/>
          </w:tcPr>
          <w:p>
            <w:pPr>
              <w:jc w:val="left"/>
            </w:pPr>
            <w:r>
              <w:rPr>
                <w:b w:val="false"/>
                <w:bCs w:val="false"/>
                <w:sz w:val="19"/>
                <w:szCs w:val="19"/>
              </w:rPr>
              <w:t xml:space="preserve">Repudiation</w:t>
            </w:r>
          </w:p>
        </w:tc>
        <w:tc>
          <w:tcPr>
            <w:tcW w:type="dxa" w:w="4400"/>
          </w:tcPr>
          <w:p>
            <w:pPr>
              <w:jc w:val="left"/>
            </w:pPr>
            <w:r>
              <w:rPr>
                <w:b w:val="false"/>
                <w:bCs w:val="false"/>
                <w:sz w:val="19"/>
                <w:szCs w:val="19"/>
              </w:rPr>
              <w:t xml:space="preserve">A replayed/duplicated reading cannot be distinguished from a genuine new one</w:t>
            </w:r>
          </w:p>
        </w:tc>
        <w:tc>
          <w:tcPr>
            <w:tcW w:type="dxa" w:w="3300"/>
          </w:tcPr>
          <w:p>
            <w:pPr>
              <w:jc w:val="left"/>
            </w:pPr>
            <w:r>
              <w:rPr>
                <w:b w:val="false"/>
                <w:bCs w:val="false"/>
                <w:sz w:val="19"/>
                <w:szCs w:val="19"/>
              </w:rPr>
              <w:t xml:space="preserve">Sequence numbers / nonces; server-side timestamp validation; audit logging</w:t>
            </w:r>
          </w:p>
        </w:tc>
      </w:tr>
      <w:tr>
        <w:tc>
          <w:tcPr>
            <w:tcW w:type="dxa" w:w="2100"/>
          </w:tcPr>
          <w:p>
            <w:pPr>
              <w:jc w:val="left"/>
            </w:pPr>
            <w:r>
              <w:rPr>
                <w:b w:val="false"/>
                <w:bCs w:val="false"/>
                <w:sz w:val="19"/>
                <w:szCs w:val="19"/>
              </w:rPr>
              <w:t xml:space="preserve">Information Disclosure</w:t>
            </w:r>
          </w:p>
        </w:tc>
        <w:tc>
          <w:tcPr>
            <w:tcW w:type="dxa" w:w="4400"/>
          </w:tcPr>
          <w:p>
            <w:pPr>
              <w:jc w:val="left"/>
            </w:pPr>
            <w:r>
              <w:rPr>
                <w:b w:val="false"/>
                <w:bCs w:val="false"/>
                <w:sz w:val="19"/>
                <w:szCs w:val="19"/>
              </w:rPr>
              <w:t xml:space="preserve">PHI-bearing telemetry intercepted over unencrypted or misconfigured links</w:t>
            </w:r>
          </w:p>
        </w:tc>
        <w:tc>
          <w:tcPr>
            <w:tcW w:type="dxa" w:w="3300"/>
          </w:tcPr>
          <w:p>
            <w:pPr>
              <w:jc w:val="left"/>
            </w:pPr>
            <w:r>
              <w:rPr>
                <w:b w:val="false"/>
                <w:bCs w:val="false"/>
                <w:sz w:val="19"/>
                <w:szCs w:val="19"/>
              </w:rPr>
              <w:t xml:space="preserve">TLS/DTLS everywhere; encryption at rest; strict access control on data stores</w:t>
            </w:r>
          </w:p>
        </w:tc>
      </w:tr>
      <w:tr>
        <w:tc>
          <w:tcPr>
            <w:tcW w:type="dxa" w:w="2100"/>
          </w:tcPr>
          <w:p>
            <w:pPr>
              <w:jc w:val="left"/>
            </w:pPr>
            <w:r>
              <w:rPr>
                <w:b w:val="false"/>
                <w:bCs w:val="false"/>
                <w:sz w:val="19"/>
                <w:szCs w:val="19"/>
              </w:rPr>
              <w:t xml:space="preserve">Denial of Service</w:t>
            </w:r>
          </w:p>
        </w:tc>
        <w:tc>
          <w:tcPr>
            <w:tcW w:type="dxa" w:w="4400"/>
          </w:tcPr>
          <w:p>
            <w:pPr>
              <w:jc w:val="left"/>
            </w:pPr>
            <w:r>
              <w:rPr>
                <w:b w:val="false"/>
                <w:bCs w:val="false"/>
                <w:sz w:val="19"/>
                <w:szCs w:val="19"/>
              </w:rPr>
              <w:t xml:space="preserve">A device or attacker floods the gateway/cloud with requests</w:t>
            </w:r>
          </w:p>
        </w:tc>
        <w:tc>
          <w:tcPr>
            <w:tcW w:type="dxa" w:w="3300"/>
          </w:tcPr>
          <w:p>
            <w:pPr>
              <w:jc w:val="left"/>
            </w:pPr>
            <w:r>
              <w:rPr>
                <w:b w:val="false"/>
                <w:bCs w:val="false"/>
                <w:sz w:val="19"/>
                <w:szCs w:val="19"/>
              </w:rPr>
              <w:t xml:space="preserve">Rate limiting; anomaly-based throttling; network segmentation</w:t>
            </w:r>
          </w:p>
        </w:tc>
      </w:tr>
      <w:tr>
        <w:tc>
          <w:tcPr>
            <w:tcW w:type="dxa" w:w="2100"/>
          </w:tcPr>
          <w:p>
            <w:pPr>
              <w:jc w:val="left"/>
            </w:pPr>
            <w:r>
              <w:rPr>
                <w:b w:val="false"/>
                <w:bCs w:val="false"/>
                <w:sz w:val="19"/>
                <w:szCs w:val="19"/>
              </w:rPr>
              <w:t xml:space="preserve">Elevation of Privilege</w:t>
            </w:r>
          </w:p>
        </w:tc>
        <w:tc>
          <w:tcPr>
            <w:tcW w:type="dxa" w:w="4400"/>
          </w:tcPr>
          <w:p>
            <w:pPr>
              <w:jc w:val="left"/>
            </w:pPr>
            <w:r>
              <w:rPr>
                <w:b w:val="false"/>
                <w:bCs w:val="false"/>
                <w:sz w:val="19"/>
                <w:szCs w:val="19"/>
              </w:rPr>
              <w:t xml:space="preserve">Traffic from an external/unauthorized IP is accepted as a trusted device</w:t>
            </w:r>
          </w:p>
        </w:tc>
        <w:tc>
          <w:tcPr>
            <w:tcW w:type="dxa" w:w="3300"/>
          </w:tcPr>
          <w:p>
            <w:pPr>
              <w:jc w:val="left"/>
            </w:pPr>
            <w:r>
              <w:rPr>
                <w:b w:val="false"/>
                <w:bCs w:val="false"/>
                <w:sz w:val="19"/>
                <w:szCs w:val="19"/>
              </w:rPr>
              <w:t xml:space="preserve">Network allow-listing by subnet; zero-trust device authentication; least privilege on APIs</w:t>
            </w:r>
          </w:p>
        </w:tc>
      </w:tr>
    </w:tbl>
    <w:p>
      <w:pPr>
        <w:spacing w:after="200"/>
      </w:pPr>
    </w:p>
    <w:p>
      <w:pPr>
        <w:pStyle w:val="Heading2"/>
        <w:spacing w:after="100" w:before="220"/>
      </w:pPr>
      <w:r>
        <w:t xml:space="preserve">4.1 Attack Tree: Compromising a Smart Infusion Pump</w:t>
      </w:r>
    </w:p>
    <w:p>
      <w:pPr>
        <w:spacing w:after="120"/>
      </w:pPr>
      <w:r>
        <w:t xml:space="preserve">Because an infusion pump directly controls medication dosing, it represents the highest-consequence single-device compromise in this ecosystem. An attack tree (attack_tree_infusion_pump.drawio, delivered alongside this report) decomposes the goal “deliver an incorrect medication dose” into four alternative attack paths: (A1) compromising pump network communications to inject a spoofed dosage command, (A2) exploiting weak or default device authentication to push a malicious configuration, (A3) forcing a firmware rollback and exploiting a known vulnerability in the older version, and (A4) misusing legitimate clinician credentials (insider or stolen-credential path). Each path lists its concrete sub-steps and a corresponding mitigation, directly reusable as a design checklist for procurement or hardening of infusion-pump deployments.</w:t>
      </w:r>
    </w:p>
    <w:p>
      <w:r>
        <w:br w:type="page"/>
      </w:r>
    </w:p>
    <w:p>
      <w:pPr>
        <w:pStyle w:val="Heading1"/>
        <w:spacing w:after="150" w:before="300"/>
      </w:pPr>
      <w:r>
        <w:t xml:space="preserve">5. AI-Assisted Threat Detection Results</w:t>
      </w:r>
    </w:p>
    <w:p>
      <w:pPr>
        <w:spacing w:after="120"/>
      </w:pPr>
      <w:r>
        <w:t xml:space="preserve">Two detectors were run over the full telemetry set and scored against the injected ground-truth labels (303 true threat events out of 20,872 records):</w:t>
      </w:r>
    </w:p>
    <w:p>
      <w:pPr>
        <w:pStyle w:val="ListParagraph"/>
        <w:numPr>
          <w:ilvl w:val="0"/>
          <w:numId w:val="1"/>
        </w:numPr>
        <w:spacing w:after="60"/>
      </w:pPr>
      <w:r>
        <w:t xml:space="preserve">Rule-based: source IP outside hospital subnets; request rate &gt; 20/min; failed authentication; known-vulnerable firmware version; vital-sign z-score &gt; 4 within device type.</w:t>
      </w:r>
    </w:p>
    <w:p>
      <w:pPr>
        <w:pStyle w:val="ListParagraph"/>
        <w:numPr>
          <w:ilvl w:val="0"/>
          <w:numId w:val="1"/>
        </w:numPr>
        <w:spacing w:after="60"/>
      </w:pPr>
      <w:r>
        <w:t xml:space="preserve">Isolation Forest (scikit-learn): unsupervised outlier detection over reading value, battery %, signal strength, and request rate, with contamination = 2%.</w:t>
      </w:r>
    </w:p>
    <w:p>
      <w:pPr>
        <w:spacing w:after="120"/>
      </w:pP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300"/>
        <w:gridCol w:w="1300"/>
        <w:gridCol w:w="1300"/>
        <w:gridCol w:w="1180"/>
        <w:gridCol w:w="1180"/>
      </w:tblGrid>
      <w:tr>
        <w:trPr>
          <w:tblHeader/>
        </w:trPr>
        <w:tc>
          <w:tcPr>
            <w:tcW w:type="dxa" w:w="2500"/>
            <w:shd w:fill="D9E2F3" w:val="clear"/>
          </w:tcPr>
          <w:p>
            <w:pPr>
              <w:jc w:val="left"/>
            </w:pPr>
            <w:r>
              <w:rPr>
                <w:b/>
                <w:bCs/>
                <w:sz w:val="19"/>
                <w:szCs w:val="19"/>
              </w:rPr>
              <w:t xml:space="preserve">Detector</w:t>
            </w:r>
          </w:p>
        </w:tc>
        <w:tc>
          <w:tcPr>
            <w:tcW w:type="dxa" w:w="1300"/>
            <w:shd w:fill="D9E2F3" w:val="clear"/>
          </w:tcPr>
          <w:p>
            <w:pPr>
              <w:jc w:val="left"/>
            </w:pPr>
            <w:r>
              <w:rPr>
                <w:b/>
                <w:bCs/>
                <w:sz w:val="19"/>
                <w:szCs w:val="19"/>
              </w:rPr>
              <w:t xml:space="preserve">True Pos.</w:t>
            </w:r>
          </w:p>
        </w:tc>
        <w:tc>
          <w:tcPr>
            <w:tcW w:type="dxa" w:w="1300"/>
            <w:shd w:fill="D9E2F3" w:val="clear"/>
          </w:tcPr>
          <w:p>
            <w:pPr>
              <w:jc w:val="left"/>
            </w:pPr>
            <w:r>
              <w:rPr>
                <w:b/>
                <w:bCs/>
                <w:sz w:val="19"/>
                <w:szCs w:val="19"/>
              </w:rPr>
              <w:t xml:space="preserve">False Pos.</w:t>
            </w:r>
          </w:p>
        </w:tc>
        <w:tc>
          <w:tcPr>
            <w:tcW w:type="dxa" w:w="1300"/>
            <w:shd w:fill="D9E2F3" w:val="clear"/>
          </w:tcPr>
          <w:p>
            <w:pPr>
              <w:jc w:val="left"/>
            </w:pPr>
            <w:r>
              <w:rPr>
                <w:b/>
                <w:bCs/>
                <w:sz w:val="19"/>
                <w:szCs w:val="19"/>
              </w:rPr>
              <w:t xml:space="preserve">False Neg.</w:t>
            </w:r>
          </w:p>
        </w:tc>
        <w:tc>
          <w:tcPr>
            <w:tcW w:type="dxa" w:w="1300"/>
            <w:shd w:fill="D9E2F3" w:val="clear"/>
          </w:tcPr>
          <w:p>
            <w:pPr>
              <w:jc w:val="left"/>
            </w:pPr>
            <w:r>
              <w:rPr>
                <w:b/>
                <w:bCs/>
                <w:sz w:val="19"/>
                <w:szCs w:val="19"/>
              </w:rPr>
              <w:t xml:space="preserve">Precision</w:t>
            </w:r>
          </w:p>
        </w:tc>
        <w:tc>
          <w:tcPr>
            <w:tcW w:type="dxa" w:w="1180"/>
            <w:shd w:fill="D9E2F3" w:val="clear"/>
          </w:tcPr>
          <w:p>
            <w:pPr>
              <w:jc w:val="left"/>
            </w:pPr>
            <w:r>
              <w:rPr>
                <w:b/>
                <w:bCs/>
                <w:sz w:val="19"/>
                <w:szCs w:val="19"/>
              </w:rPr>
              <w:t xml:space="preserve">Recall</w:t>
            </w:r>
          </w:p>
        </w:tc>
        <w:tc>
          <w:tcPr>
            <w:tcW w:type="dxa" w:w="1180"/>
            <w:shd w:fill="D9E2F3" w:val="clear"/>
          </w:tcPr>
          <w:p>
            <w:pPr>
              <w:jc w:val="left"/>
            </w:pPr>
            <w:r>
              <w:rPr>
                <w:b/>
                <w:bCs/>
                <w:sz w:val="19"/>
                <w:szCs w:val="19"/>
              </w:rPr>
              <w:t xml:space="preserve">F1</w:t>
            </w:r>
          </w:p>
        </w:tc>
      </w:tr>
      <w:tr>
        <w:tc>
          <w:tcPr>
            <w:tcW w:type="dxa" w:w="2500"/>
          </w:tcPr>
          <w:p>
            <w:pPr>
              <w:jc w:val="left"/>
            </w:pPr>
            <w:r>
              <w:rPr>
                <w:b w:val="false"/>
                <w:bCs w:val="false"/>
                <w:sz w:val="19"/>
                <w:szCs w:val="19"/>
              </w:rPr>
              <w:t xml:space="preserve">Rule-based</w:t>
            </w:r>
          </w:p>
        </w:tc>
        <w:tc>
          <w:tcPr>
            <w:tcW w:type="dxa" w:w="1300"/>
          </w:tcPr>
          <w:p>
            <w:pPr>
              <w:jc w:val="left"/>
            </w:pPr>
            <w:r>
              <w:rPr>
                <w:b w:val="false"/>
                <w:bCs w:val="false"/>
                <w:sz w:val="19"/>
                <w:szCs w:val="19"/>
              </w:rPr>
              <w:t xml:space="preserve">278</w:t>
            </w:r>
          </w:p>
        </w:tc>
        <w:tc>
          <w:tcPr>
            <w:tcW w:type="dxa" w:w="1300"/>
          </w:tcPr>
          <w:p>
            <w:pPr>
              <w:jc w:val="left"/>
            </w:pPr>
            <w:r>
              <w:rPr>
                <w:b w:val="false"/>
                <w:bCs w:val="false"/>
                <w:sz w:val="19"/>
                <w:szCs w:val="19"/>
              </w:rPr>
              <w:t xml:space="preserve">0</w:t>
            </w:r>
          </w:p>
        </w:tc>
        <w:tc>
          <w:tcPr>
            <w:tcW w:type="dxa" w:w="1300"/>
          </w:tcPr>
          <w:p>
            <w:pPr>
              <w:jc w:val="left"/>
            </w:pPr>
            <w:r>
              <w:rPr>
                <w:b w:val="false"/>
                <w:bCs w:val="false"/>
                <w:sz w:val="19"/>
                <w:szCs w:val="19"/>
              </w:rPr>
              <w:t xml:space="preserve">25</w:t>
            </w:r>
          </w:p>
        </w:tc>
        <w:tc>
          <w:tcPr>
            <w:tcW w:type="dxa" w:w="1300"/>
          </w:tcPr>
          <w:p>
            <w:pPr>
              <w:jc w:val="left"/>
            </w:pPr>
            <w:r>
              <w:rPr>
                <w:b w:val="false"/>
                <w:bCs w:val="false"/>
                <w:sz w:val="19"/>
                <w:szCs w:val="19"/>
              </w:rPr>
              <w:t xml:space="preserve">1.00</w:t>
            </w:r>
          </w:p>
        </w:tc>
        <w:tc>
          <w:tcPr>
            <w:tcW w:type="dxa" w:w="1180"/>
          </w:tcPr>
          <w:p>
            <w:pPr>
              <w:jc w:val="left"/>
            </w:pPr>
            <w:r>
              <w:rPr>
                <w:b w:val="false"/>
                <w:bCs w:val="false"/>
                <w:sz w:val="19"/>
                <w:szCs w:val="19"/>
              </w:rPr>
              <w:t xml:space="preserve">0.92</w:t>
            </w:r>
          </w:p>
        </w:tc>
        <w:tc>
          <w:tcPr>
            <w:tcW w:type="dxa" w:w="1180"/>
          </w:tcPr>
          <w:p>
            <w:pPr>
              <w:jc w:val="left"/>
            </w:pPr>
            <w:r>
              <w:rPr>
                <w:b w:val="false"/>
                <w:bCs w:val="false"/>
                <w:sz w:val="19"/>
                <w:szCs w:val="19"/>
              </w:rPr>
              <w:t xml:space="preserve">0.96</w:t>
            </w:r>
          </w:p>
        </w:tc>
      </w:tr>
      <w:tr>
        <w:tc>
          <w:tcPr>
            <w:tcW w:type="dxa" w:w="2500"/>
          </w:tcPr>
          <w:p>
            <w:pPr>
              <w:jc w:val="left"/>
            </w:pPr>
            <w:r>
              <w:rPr>
                <w:b w:val="false"/>
                <w:bCs w:val="false"/>
                <w:sz w:val="19"/>
                <w:szCs w:val="19"/>
              </w:rPr>
              <w:t xml:space="preserve">Isolation Forest</w:t>
            </w:r>
          </w:p>
        </w:tc>
        <w:tc>
          <w:tcPr>
            <w:tcW w:type="dxa" w:w="1300"/>
          </w:tcPr>
          <w:p>
            <w:pPr>
              <w:jc w:val="left"/>
            </w:pPr>
            <w:r>
              <w:rPr>
                <w:b w:val="false"/>
                <w:bCs w:val="false"/>
                <w:sz w:val="19"/>
                <w:szCs w:val="19"/>
              </w:rPr>
              <w:t xml:space="preserve">141</w:t>
            </w:r>
          </w:p>
        </w:tc>
        <w:tc>
          <w:tcPr>
            <w:tcW w:type="dxa" w:w="1300"/>
          </w:tcPr>
          <w:p>
            <w:pPr>
              <w:jc w:val="left"/>
            </w:pPr>
            <w:r>
              <w:rPr>
                <w:b w:val="false"/>
                <w:bCs w:val="false"/>
                <w:sz w:val="19"/>
                <w:szCs w:val="19"/>
              </w:rPr>
              <w:t xml:space="preserve">277</w:t>
            </w:r>
          </w:p>
        </w:tc>
        <w:tc>
          <w:tcPr>
            <w:tcW w:type="dxa" w:w="1300"/>
          </w:tcPr>
          <w:p>
            <w:pPr>
              <w:jc w:val="left"/>
            </w:pPr>
            <w:r>
              <w:rPr>
                <w:b w:val="false"/>
                <w:bCs w:val="false"/>
                <w:sz w:val="19"/>
                <w:szCs w:val="19"/>
              </w:rPr>
              <w:t xml:space="preserve">162</w:t>
            </w:r>
          </w:p>
        </w:tc>
        <w:tc>
          <w:tcPr>
            <w:tcW w:type="dxa" w:w="1300"/>
          </w:tcPr>
          <w:p>
            <w:pPr>
              <w:jc w:val="left"/>
            </w:pPr>
            <w:r>
              <w:rPr>
                <w:b w:val="false"/>
                <w:bCs w:val="false"/>
                <w:sz w:val="19"/>
                <w:szCs w:val="19"/>
              </w:rPr>
              <w:t xml:space="preserve">0.34</w:t>
            </w:r>
          </w:p>
        </w:tc>
        <w:tc>
          <w:tcPr>
            <w:tcW w:type="dxa" w:w="1180"/>
          </w:tcPr>
          <w:p>
            <w:pPr>
              <w:jc w:val="left"/>
            </w:pPr>
            <w:r>
              <w:rPr>
                <w:b w:val="false"/>
                <w:bCs w:val="false"/>
                <w:sz w:val="19"/>
                <w:szCs w:val="19"/>
              </w:rPr>
              <w:t xml:space="preserve">0.47</w:t>
            </w:r>
          </w:p>
        </w:tc>
        <w:tc>
          <w:tcPr>
            <w:tcW w:type="dxa" w:w="1180"/>
          </w:tcPr>
          <w:p>
            <w:pPr>
              <w:jc w:val="left"/>
            </w:pPr>
            <w:r>
              <w:rPr>
                <w:b w:val="false"/>
                <w:bCs w:val="false"/>
                <w:sz w:val="19"/>
                <w:szCs w:val="19"/>
              </w:rPr>
              <w:t xml:space="preserve">0.39</w:t>
            </w:r>
          </w:p>
        </w:tc>
      </w:tr>
      <w:tr>
        <w:tc>
          <w:tcPr>
            <w:tcW w:type="dxa" w:w="2500"/>
          </w:tcPr>
          <w:p>
            <w:pPr>
              <w:jc w:val="left"/>
            </w:pPr>
            <w:r>
              <w:rPr>
                <w:b w:val="false"/>
                <w:bCs w:val="false"/>
                <w:sz w:val="19"/>
                <w:szCs w:val="19"/>
              </w:rPr>
              <w:t xml:space="preserve">Combined (rule OR ML)</w:t>
            </w:r>
          </w:p>
        </w:tc>
        <w:tc>
          <w:tcPr>
            <w:tcW w:type="dxa" w:w="1300"/>
          </w:tcPr>
          <w:p>
            <w:pPr>
              <w:jc w:val="left"/>
            </w:pPr>
            <w:r>
              <w:rPr>
                <w:b w:val="false"/>
                <w:bCs w:val="false"/>
                <w:sz w:val="19"/>
                <w:szCs w:val="19"/>
              </w:rPr>
              <w:t xml:space="preserve">280</w:t>
            </w:r>
          </w:p>
        </w:tc>
        <w:tc>
          <w:tcPr>
            <w:tcW w:type="dxa" w:w="1300"/>
          </w:tcPr>
          <w:p>
            <w:pPr>
              <w:jc w:val="left"/>
            </w:pPr>
            <w:r>
              <w:rPr>
                <w:b w:val="false"/>
                <w:bCs w:val="false"/>
                <w:sz w:val="19"/>
                <w:szCs w:val="19"/>
              </w:rPr>
              <w:t xml:space="preserve">277</w:t>
            </w:r>
          </w:p>
        </w:tc>
        <w:tc>
          <w:tcPr>
            <w:tcW w:type="dxa" w:w="1300"/>
          </w:tcPr>
          <w:p>
            <w:pPr>
              <w:jc w:val="left"/>
            </w:pPr>
            <w:r>
              <w:rPr>
                <w:b w:val="false"/>
                <w:bCs w:val="false"/>
                <w:sz w:val="19"/>
                <w:szCs w:val="19"/>
              </w:rPr>
              <w:t xml:space="preserve">23</w:t>
            </w:r>
          </w:p>
        </w:tc>
        <w:tc>
          <w:tcPr>
            <w:tcW w:type="dxa" w:w="1300"/>
          </w:tcPr>
          <w:p>
            <w:pPr>
              <w:jc w:val="left"/>
            </w:pPr>
            <w:r>
              <w:rPr>
                <w:b w:val="false"/>
                <w:bCs w:val="false"/>
                <w:sz w:val="19"/>
                <w:szCs w:val="19"/>
              </w:rPr>
              <w:t xml:space="preserve">0.50</w:t>
            </w:r>
          </w:p>
        </w:tc>
        <w:tc>
          <w:tcPr>
            <w:tcW w:type="dxa" w:w="1180"/>
          </w:tcPr>
          <w:p>
            <w:pPr>
              <w:jc w:val="left"/>
            </w:pPr>
            <w:r>
              <w:rPr>
                <w:b w:val="false"/>
                <w:bCs w:val="false"/>
                <w:sz w:val="19"/>
                <w:szCs w:val="19"/>
              </w:rPr>
              <w:t xml:space="preserve">0.92</w:t>
            </w:r>
          </w:p>
        </w:tc>
        <w:tc>
          <w:tcPr>
            <w:tcW w:type="dxa" w:w="1180"/>
          </w:tcPr>
          <w:p>
            <w:pPr>
              <w:jc w:val="left"/>
            </w:pPr>
            <w:r>
              <w:rPr>
                <w:b w:val="false"/>
                <w:bCs w:val="false"/>
                <w:sz w:val="19"/>
                <w:szCs w:val="19"/>
              </w:rPr>
              <w:t xml:space="preserve">0.65</w:t>
            </w:r>
          </w:p>
        </w:tc>
      </w:tr>
    </w:tbl>
    <w:p>
      <w:pPr>
        <w:spacing w:after="200"/>
      </w:pPr>
    </w:p>
    <w:p>
      <w:pPr>
        <w:spacing w:after="120"/>
      </w:pPr>
      <w:r>
        <w:t xml:space="preserve">Interpretation: the rule-based layer alone catches 92% of injected threats with zero false positives, because the injected patterns (bad IPs, failed logins, vulnerable firmware, extreme values) are exactly the signatures it was written to catch. The Isolation Forest, used generically without tuning to these specific attacks, has weaker precision — expected, since unsupervised anomaly detection flags any statistical outlier, including benign edge cases (e.g., a genuinely sick patient's extreme vitals). In a production deployment, the two are complementary: rules handle known attack signatures cheaply and precisely, while ML anomaly detection is retained specifically to catch novel attacks that have no existing signature — accepting a higher false-positive rate as the cost of that coverage.</w:t>
      </w:r>
    </w:p>
    <w:p>
      <w:pPr>
        <w:spacing w:after="80"/>
        <w:jc w:val="center"/>
      </w:pPr>
      <w:r>
        <w:drawing>
          <wp:inline distT="0" distB="0" distL="0" distR="0">
            <wp:extent cx="4476750" cy="28003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800350"/>
                    </a:xfrm>
                    <a:prstGeom prst="rect">
                      <a:avLst/>
                    </a:prstGeom>
                  </pic:spPr>
                </pic:pic>
              </a:graphicData>
            </a:graphic>
          </wp:inline>
        </w:drawing>
      </w:r>
    </w:p>
    <w:p>
      <w:pPr>
        <w:spacing w:after="240"/>
        <w:jc w:val="center"/>
      </w:pPr>
      <w:r>
        <w:rPr>
          <w:i/>
          <w:iCs/>
          <w:color w:val="555555"/>
          <w:sz w:val="18"/>
          <w:szCs w:val="18"/>
        </w:rPr>
        <w:t xml:space="preserve">Figure 2. Request-rate distribution across all devices; the red line marks the DoS rule threshold used by the rule-based detector.</w:t>
      </w:r>
    </w:p>
    <w:p>
      <w:pPr>
        <w:spacing w:after="80"/>
        <w:jc w:val="center"/>
      </w:pPr>
      <w:r>
        <w:drawing>
          <wp:inline distT="0" distB="0" distL="0" distR="0">
            <wp:extent cx="4476750" cy="280035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800350"/>
                    </a:xfrm>
                    <a:prstGeom prst="rect">
                      <a:avLst/>
                    </a:prstGeom>
                  </pic:spPr>
                </pic:pic>
              </a:graphicData>
            </a:graphic>
          </wp:inline>
        </w:drawing>
      </w:r>
    </w:p>
    <w:p>
      <w:pPr>
        <w:spacing w:after="240"/>
        <w:jc w:val="center"/>
      </w:pPr>
      <w:r>
        <w:rPr>
          <w:i/>
          <w:iCs/>
          <w:color w:val="555555"/>
          <w:sz w:val="18"/>
          <w:szCs w:val="18"/>
        </w:rPr>
        <w:t xml:space="preserve">Figure 3. Percentage of readings flagged (rule OR ML) by device type — glucose monitors show the highest flag rate.</w:t>
      </w:r>
    </w:p>
    <w:p>
      <w:pPr>
        <w:pStyle w:val="Heading2"/>
        <w:spacing w:after="100" w:before="220"/>
      </w:pPr>
      <w:r>
        <w:t xml:space="preserve">5.1 Device-Level Risk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800"/>
      </w:tblGrid>
      <w:tr>
        <w:trPr>
          <w:tblHeader/>
        </w:trPr>
        <w:tc>
          <w:tcPr>
            <w:tcW w:type="dxa" w:w="3000"/>
            <w:shd w:fill="D9E2F3" w:val="clear"/>
          </w:tcPr>
          <w:p>
            <w:pPr>
              <w:jc w:val="left"/>
            </w:pPr>
            <w:r>
              <w:rPr>
                <w:b/>
                <w:bCs/>
                <w:sz w:val="19"/>
                <w:szCs w:val="19"/>
              </w:rPr>
              <w:t xml:space="preserve">Device type</w:t>
            </w:r>
          </w:p>
        </w:tc>
        <w:tc>
          <w:tcPr>
            <w:tcW w:type="dxa" w:w="2400"/>
            <w:shd w:fill="D9E2F3" w:val="clear"/>
          </w:tcPr>
          <w:p>
            <w:pPr>
              <w:jc w:val="left"/>
            </w:pPr>
            <w:r>
              <w:rPr>
                <w:b/>
                <w:bCs/>
                <w:sz w:val="19"/>
                <w:szCs w:val="19"/>
              </w:rPr>
              <w:t xml:space="preserve">Total readings</w:t>
            </w:r>
          </w:p>
        </w:tc>
        <w:tc>
          <w:tcPr>
            <w:tcW w:type="dxa" w:w="2400"/>
            <w:shd w:fill="D9E2F3" w:val="clear"/>
          </w:tcPr>
          <w:p>
            <w:pPr>
              <w:jc w:val="left"/>
            </w:pPr>
            <w:r>
              <w:rPr>
                <w:b/>
                <w:bCs/>
                <w:sz w:val="19"/>
                <w:szCs w:val="19"/>
              </w:rPr>
              <w:t xml:space="preserve">Flagged events</w:t>
            </w:r>
          </w:p>
        </w:tc>
        <w:tc>
          <w:tcPr>
            <w:tcW w:type="dxa" w:w="1800"/>
            <w:shd w:fill="D9E2F3" w:val="clear"/>
          </w:tcPr>
          <w:p>
            <w:pPr>
              <w:jc w:val="left"/>
            </w:pPr>
            <w:r>
              <w:rPr>
                <w:b/>
                <w:bCs/>
                <w:sz w:val="19"/>
                <w:szCs w:val="19"/>
              </w:rPr>
              <w:t xml:space="preserve">Flag rate</w:t>
            </w:r>
          </w:p>
        </w:tc>
      </w:tr>
      <w:tr>
        <w:tc>
          <w:tcPr>
            <w:tcW w:type="dxa" w:w="3000"/>
          </w:tcPr>
          <w:p>
            <w:pPr>
              <w:jc w:val="left"/>
            </w:pPr>
            <w:r>
              <w:rPr>
                <w:b w:val="false"/>
                <w:bCs w:val="false"/>
                <w:sz w:val="19"/>
                <w:szCs w:val="19"/>
              </w:rPr>
              <w:t xml:space="preserve">glucose_monitor</w:t>
            </w:r>
          </w:p>
        </w:tc>
        <w:tc>
          <w:tcPr>
            <w:tcW w:type="dxa" w:w="2400"/>
          </w:tcPr>
          <w:p>
            <w:pPr>
              <w:jc w:val="left"/>
            </w:pPr>
            <w:r>
              <w:rPr>
                <w:b w:val="false"/>
                <w:bCs w:val="false"/>
                <w:sz w:val="19"/>
                <w:szCs w:val="19"/>
              </w:rPr>
              <w:t xml:space="preserve">3,475</w:t>
            </w:r>
          </w:p>
        </w:tc>
        <w:tc>
          <w:tcPr>
            <w:tcW w:type="dxa" w:w="2400"/>
          </w:tcPr>
          <w:p>
            <w:pPr>
              <w:jc w:val="left"/>
            </w:pPr>
            <w:r>
              <w:rPr>
                <w:b w:val="false"/>
                <w:bCs w:val="false"/>
                <w:sz w:val="19"/>
                <w:szCs w:val="19"/>
              </w:rPr>
              <w:t xml:space="preserve">251</w:t>
            </w:r>
          </w:p>
        </w:tc>
        <w:tc>
          <w:tcPr>
            <w:tcW w:type="dxa" w:w="1800"/>
          </w:tcPr>
          <w:p>
            <w:pPr>
              <w:jc w:val="left"/>
            </w:pPr>
            <w:r>
              <w:rPr>
                <w:b w:val="false"/>
                <w:bCs w:val="false"/>
                <w:sz w:val="19"/>
                <w:szCs w:val="19"/>
              </w:rPr>
              <w:t xml:space="preserve">7.22%</w:t>
            </w:r>
          </w:p>
        </w:tc>
      </w:tr>
      <w:tr>
        <w:tc>
          <w:tcPr>
            <w:tcW w:type="dxa" w:w="3000"/>
          </w:tcPr>
          <w:p>
            <w:pPr>
              <w:jc w:val="left"/>
            </w:pPr>
            <w:r>
              <w:rPr>
                <w:b w:val="false"/>
                <w:bCs w:val="false"/>
                <w:sz w:val="19"/>
                <w:szCs w:val="19"/>
              </w:rPr>
              <w:t xml:space="preserve">smart_thermometer</w:t>
            </w:r>
          </w:p>
        </w:tc>
        <w:tc>
          <w:tcPr>
            <w:tcW w:type="dxa" w:w="2400"/>
          </w:tcPr>
          <w:p>
            <w:pPr>
              <w:jc w:val="left"/>
            </w:pPr>
            <w:r>
              <w:rPr>
                <w:b w:val="false"/>
                <w:bCs w:val="false"/>
                <w:sz w:val="19"/>
                <w:szCs w:val="19"/>
              </w:rPr>
              <w:t xml:space="preserve">3,487</w:t>
            </w:r>
          </w:p>
        </w:tc>
        <w:tc>
          <w:tcPr>
            <w:tcW w:type="dxa" w:w="2400"/>
          </w:tcPr>
          <w:p>
            <w:pPr>
              <w:jc w:val="left"/>
            </w:pPr>
            <w:r>
              <w:rPr>
                <w:b w:val="false"/>
                <w:bCs w:val="false"/>
                <w:sz w:val="19"/>
                <w:szCs w:val="19"/>
              </w:rPr>
              <w:t xml:space="preserve">84</w:t>
            </w:r>
          </w:p>
        </w:tc>
        <w:tc>
          <w:tcPr>
            <w:tcW w:type="dxa" w:w="1800"/>
          </w:tcPr>
          <w:p>
            <w:pPr>
              <w:jc w:val="left"/>
            </w:pPr>
            <w:r>
              <w:rPr>
                <w:b w:val="false"/>
                <w:bCs w:val="false"/>
                <w:sz w:val="19"/>
                <w:szCs w:val="19"/>
              </w:rPr>
              <w:t xml:space="preserve">2.41%</w:t>
            </w:r>
          </w:p>
        </w:tc>
      </w:tr>
      <w:tr>
        <w:tc>
          <w:tcPr>
            <w:tcW w:type="dxa" w:w="3000"/>
          </w:tcPr>
          <w:p>
            <w:pPr>
              <w:jc w:val="left"/>
            </w:pPr>
            <w:r>
              <w:rPr>
                <w:b w:val="false"/>
                <w:bCs w:val="false"/>
                <w:sz w:val="19"/>
                <w:szCs w:val="19"/>
              </w:rPr>
              <w:t xml:space="preserve">smart_infusion_pump</w:t>
            </w:r>
          </w:p>
        </w:tc>
        <w:tc>
          <w:tcPr>
            <w:tcW w:type="dxa" w:w="2400"/>
          </w:tcPr>
          <w:p>
            <w:pPr>
              <w:jc w:val="left"/>
            </w:pPr>
            <w:r>
              <w:rPr>
                <w:b w:val="false"/>
                <w:bCs w:val="false"/>
                <w:sz w:val="19"/>
                <w:szCs w:val="19"/>
              </w:rPr>
              <w:t xml:space="preserve">3,471</w:t>
            </w:r>
          </w:p>
        </w:tc>
        <w:tc>
          <w:tcPr>
            <w:tcW w:type="dxa" w:w="2400"/>
          </w:tcPr>
          <w:p>
            <w:pPr>
              <w:jc w:val="left"/>
            </w:pPr>
            <w:r>
              <w:rPr>
                <w:b w:val="false"/>
                <w:bCs w:val="false"/>
                <w:sz w:val="19"/>
                <w:szCs w:val="19"/>
              </w:rPr>
              <w:t xml:space="preserve">74</w:t>
            </w:r>
          </w:p>
        </w:tc>
        <w:tc>
          <w:tcPr>
            <w:tcW w:type="dxa" w:w="1800"/>
          </w:tcPr>
          <w:p>
            <w:pPr>
              <w:jc w:val="left"/>
            </w:pPr>
            <w:r>
              <w:rPr>
                <w:b w:val="false"/>
                <w:bCs w:val="false"/>
                <w:sz w:val="19"/>
                <w:szCs w:val="19"/>
              </w:rPr>
              <w:t xml:space="preserve">2.13%</w:t>
            </w:r>
          </w:p>
        </w:tc>
      </w:tr>
      <w:tr>
        <w:tc>
          <w:tcPr>
            <w:tcW w:type="dxa" w:w="3000"/>
          </w:tcPr>
          <w:p>
            <w:pPr>
              <w:jc w:val="left"/>
            </w:pPr>
            <w:r>
              <w:rPr>
                <w:b w:val="false"/>
                <w:bCs w:val="false"/>
                <w:sz w:val="19"/>
                <w:szCs w:val="19"/>
              </w:rPr>
              <w:t xml:space="preserve">wearable_ecg</w:t>
            </w:r>
          </w:p>
        </w:tc>
        <w:tc>
          <w:tcPr>
            <w:tcW w:type="dxa" w:w="2400"/>
          </w:tcPr>
          <w:p>
            <w:pPr>
              <w:jc w:val="left"/>
            </w:pPr>
            <w:r>
              <w:rPr>
                <w:b w:val="false"/>
                <w:bCs w:val="false"/>
                <w:sz w:val="19"/>
                <w:szCs w:val="19"/>
              </w:rPr>
              <w:t xml:space="preserve">3,478</w:t>
            </w:r>
          </w:p>
        </w:tc>
        <w:tc>
          <w:tcPr>
            <w:tcW w:type="dxa" w:w="2400"/>
          </w:tcPr>
          <w:p>
            <w:pPr>
              <w:jc w:val="left"/>
            </w:pPr>
            <w:r>
              <w:rPr>
                <w:b w:val="false"/>
                <w:bCs w:val="false"/>
                <w:sz w:val="19"/>
                <w:szCs w:val="19"/>
              </w:rPr>
              <w:t xml:space="preserve">63</w:t>
            </w:r>
          </w:p>
        </w:tc>
        <w:tc>
          <w:tcPr>
            <w:tcW w:type="dxa" w:w="1800"/>
          </w:tcPr>
          <w:p>
            <w:pPr>
              <w:jc w:val="left"/>
            </w:pPr>
            <w:r>
              <w:rPr>
                <w:b w:val="false"/>
                <w:bCs w:val="false"/>
                <w:sz w:val="19"/>
                <w:szCs w:val="19"/>
              </w:rPr>
              <w:t xml:space="preserve">1.81%</w:t>
            </w:r>
          </w:p>
        </w:tc>
      </w:tr>
      <w:tr>
        <w:tc>
          <w:tcPr>
            <w:tcW w:type="dxa" w:w="3000"/>
          </w:tcPr>
          <w:p>
            <w:pPr>
              <w:jc w:val="left"/>
            </w:pPr>
            <w:r>
              <w:rPr>
                <w:b w:val="false"/>
                <w:bCs w:val="false"/>
                <w:sz w:val="19"/>
                <w:szCs w:val="19"/>
              </w:rPr>
              <w:t xml:space="preserve">bp_monitor</w:t>
            </w:r>
          </w:p>
        </w:tc>
        <w:tc>
          <w:tcPr>
            <w:tcW w:type="dxa" w:w="2400"/>
          </w:tcPr>
          <w:p>
            <w:pPr>
              <w:jc w:val="left"/>
            </w:pPr>
            <w:r>
              <w:rPr>
                <w:b w:val="false"/>
                <w:bCs w:val="false"/>
                <w:sz w:val="19"/>
                <w:szCs w:val="19"/>
              </w:rPr>
              <w:t xml:space="preserve">3,475</w:t>
            </w:r>
          </w:p>
        </w:tc>
        <w:tc>
          <w:tcPr>
            <w:tcW w:type="dxa" w:w="2400"/>
          </w:tcPr>
          <w:p>
            <w:pPr>
              <w:jc w:val="left"/>
            </w:pPr>
            <w:r>
              <w:rPr>
                <w:b w:val="false"/>
                <w:bCs w:val="false"/>
                <w:sz w:val="19"/>
                <w:szCs w:val="19"/>
              </w:rPr>
              <w:t xml:space="preserve">49</w:t>
            </w:r>
          </w:p>
        </w:tc>
        <w:tc>
          <w:tcPr>
            <w:tcW w:type="dxa" w:w="1800"/>
          </w:tcPr>
          <w:p>
            <w:pPr>
              <w:jc w:val="left"/>
            </w:pPr>
            <w:r>
              <w:rPr>
                <w:b w:val="false"/>
                <w:bCs w:val="false"/>
                <w:sz w:val="19"/>
                <w:szCs w:val="19"/>
              </w:rPr>
              <w:t xml:space="preserve">1.41%</w:t>
            </w:r>
          </w:p>
        </w:tc>
      </w:tr>
      <w:tr>
        <w:tc>
          <w:tcPr>
            <w:tcW w:type="dxa" w:w="3000"/>
          </w:tcPr>
          <w:p>
            <w:pPr>
              <w:jc w:val="left"/>
            </w:pPr>
            <w:r>
              <w:rPr>
                <w:b w:val="false"/>
                <w:bCs w:val="false"/>
                <w:sz w:val="19"/>
                <w:szCs w:val="19"/>
              </w:rPr>
              <w:t xml:space="preserve">wearable_spo2</w:t>
            </w:r>
          </w:p>
        </w:tc>
        <w:tc>
          <w:tcPr>
            <w:tcW w:type="dxa" w:w="2400"/>
          </w:tcPr>
          <w:p>
            <w:pPr>
              <w:jc w:val="left"/>
            </w:pPr>
            <w:r>
              <w:rPr>
                <w:b w:val="false"/>
                <w:bCs w:val="false"/>
                <w:sz w:val="19"/>
                <w:szCs w:val="19"/>
              </w:rPr>
              <w:t xml:space="preserve">3,486</w:t>
            </w:r>
          </w:p>
        </w:tc>
        <w:tc>
          <w:tcPr>
            <w:tcW w:type="dxa" w:w="2400"/>
          </w:tcPr>
          <w:p>
            <w:pPr>
              <w:jc w:val="left"/>
            </w:pPr>
            <w:r>
              <w:rPr>
                <w:b w:val="false"/>
                <w:bCs w:val="false"/>
                <w:sz w:val="19"/>
                <w:szCs w:val="19"/>
              </w:rPr>
              <w:t xml:space="preserve">36</w:t>
            </w:r>
          </w:p>
        </w:tc>
        <w:tc>
          <w:tcPr>
            <w:tcW w:type="dxa" w:w="1800"/>
          </w:tcPr>
          <w:p>
            <w:pPr>
              <w:jc w:val="left"/>
            </w:pPr>
            <w:r>
              <w:rPr>
                <w:b w:val="false"/>
                <w:bCs w:val="false"/>
                <w:sz w:val="19"/>
                <w:szCs w:val="19"/>
              </w:rPr>
              <w:t xml:space="preserve">1.03%</w:t>
            </w:r>
          </w:p>
        </w:tc>
      </w:tr>
    </w:tbl>
    <w:p>
      <w:pPr>
        <w:spacing w:after="200"/>
      </w:pPr>
    </w:p>
    <w:p>
      <w:pPr>
        <w:spacing w:after="120"/>
      </w:pPr>
      <w:r>
        <w:t xml:space="preserve">Glucose monitors show the highest flag rate in this simulation; combined with the fact that glucose data directly drives insulin-dosing decisions, this device class is treated as elevated priority in the risk register below (Section 7).</w:t>
      </w:r>
    </w:p>
    <w:p>
      <w:r>
        <w:br w:type="page"/>
      </w:r>
    </w:p>
    <w:p>
      <w:pPr>
        <w:pStyle w:val="Heading1"/>
        <w:spacing w:after="150" w:before="300"/>
      </w:pPr>
      <w:r>
        <w:t xml:space="preserve">6. Privacy Risk Assessment</w:t>
      </w:r>
    </w:p>
    <w:p>
      <w:pPr>
        <w:pStyle w:val="Heading2"/>
        <w:spacing w:after="100" w:before="220"/>
      </w:pPr>
      <w:r>
        <w:t xml:space="preserve">6.1 Data Sensitivity Classification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2700"/>
        <w:gridCol w:w="1500"/>
        <w:gridCol w:w="2500"/>
      </w:tblGrid>
      <w:tr>
        <w:trPr>
          <w:tblHeader/>
        </w:trPr>
        <w:tc>
          <w:tcPr>
            <w:tcW w:type="dxa" w:w="3000"/>
            <w:shd w:fill="D9E2F3" w:val="clear"/>
          </w:tcPr>
          <w:p>
            <w:pPr>
              <w:jc w:val="left"/>
            </w:pPr>
            <w:r>
              <w:rPr>
                <w:b/>
                <w:bCs/>
                <w:sz w:val="19"/>
                <w:szCs w:val="19"/>
              </w:rPr>
              <w:t xml:space="preserve">Field</w:t>
            </w:r>
          </w:p>
        </w:tc>
        <w:tc>
          <w:tcPr>
            <w:tcW w:type="dxa" w:w="2700"/>
            <w:shd w:fill="D9E2F3" w:val="clear"/>
          </w:tcPr>
          <w:p>
            <w:pPr>
              <w:jc w:val="left"/>
            </w:pPr>
            <w:r>
              <w:rPr>
                <w:b/>
                <w:bCs/>
                <w:sz w:val="19"/>
                <w:szCs w:val="19"/>
              </w:rPr>
              <w:t xml:space="preserve">Category</w:t>
            </w:r>
          </w:p>
        </w:tc>
        <w:tc>
          <w:tcPr>
            <w:tcW w:type="dxa" w:w="1500"/>
            <w:shd w:fill="D9E2F3" w:val="clear"/>
          </w:tcPr>
          <w:p>
            <w:pPr>
              <w:jc w:val="left"/>
            </w:pPr>
            <w:r>
              <w:rPr>
                <w:b/>
                <w:bCs/>
                <w:sz w:val="19"/>
                <w:szCs w:val="19"/>
              </w:rPr>
              <w:t xml:space="preserve">Sensitivity</w:t>
            </w:r>
          </w:p>
        </w:tc>
        <w:tc>
          <w:tcPr>
            <w:tcW w:type="dxa" w:w="2500"/>
            <w:shd w:fill="D9E2F3" w:val="clear"/>
          </w:tcPr>
          <w:p>
            <w:pPr>
              <w:jc w:val="left"/>
            </w:pPr>
            <w:r>
              <w:rPr>
                <w:b/>
                <w:bCs/>
                <w:sz w:val="19"/>
                <w:szCs w:val="19"/>
              </w:rPr>
              <w:t xml:space="preserve">PHI/HIPAA-relevant?</w:t>
            </w:r>
          </w:p>
        </w:tc>
      </w:tr>
      <w:tr>
        <w:tc>
          <w:tcPr>
            <w:tcW w:type="dxa" w:w="3000"/>
          </w:tcPr>
          <w:p>
            <w:pPr>
              <w:jc w:val="left"/>
            </w:pPr>
            <w:r>
              <w:rPr>
                <w:b w:val="false"/>
                <w:bCs w:val="false"/>
                <w:sz w:val="19"/>
                <w:szCs w:val="19"/>
              </w:rPr>
              <w:t xml:space="preserve">patient_id</w:t>
            </w:r>
          </w:p>
        </w:tc>
        <w:tc>
          <w:tcPr>
            <w:tcW w:type="dxa" w:w="2700"/>
          </w:tcPr>
          <w:p>
            <w:pPr>
              <w:jc w:val="left"/>
            </w:pPr>
            <w:r>
              <w:rPr>
                <w:b w:val="false"/>
                <w:bCs w:val="false"/>
                <w:sz w:val="19"/>
                <w:szCs w:val="19"/>
              </w:rPr>
              <w:t xml:space="preserve">Pseudonymous identifier</w:t>
            </w:r>
          </w:p>
        </w:tc>
        <w:tc>
          <w:tcPr>
            <w:tcW w:type="dxa" w:w="1500"/>
          </w:tcPr>
          <w:p>
            <w:pPr>
              <w:jc w:val="left"/>
            </w:pPr>
            <w:r>
              <w:rPr>
                <w:b w:val="false"/>
                <w:bCs w:val="false"/>
                <w:sz w:val="19"/>
                <w:szCs w:val="19"/>
              </w:rPr>
              <w:t xml:space="preserve">High</w:t>
            </w:r>
          </w:p>
        </w:tc>
        <w:tc>
          <w:tcPr>
            <w:tcW w:type="dxa" w:w="2500"/>
          </w:tcPr>
          <w:p>
            <w:pPr>
              <w:jc w:val="left"/>
            </w:pPr>
            <w:r>
              <w:rPr>
                <w:b w:val="false"/>
                <w:bCs w:val="false"/>
                <w:sz w:val="19"/>
                <w:szCs w:val="19"/>
              </w:rPr>
              <w:t xml:space="preserve">Yes (linkable)</w:t>
            </w:r>
          </w:p>
        </w:tc>
      </w:tr>
      <w:tr>
        <w:tc>
          <w:tcPr>
            <w:tcW w:type="dxa" w:w="3000"/>
          </w:tcPr>
          <w:p>
            <w:pPr>
              <w:jc w:val="left"/>
            </w:pPr>
            <w:r>
              <w:rPr>
                <w:b w:val="false"/>
                <w:bCs w:val="false"/>
                <w:sz w:val="19"/>
                <w:szCs w:val="19"/>
              </w:rPr>
              <w:t xml:space="preserve">reading_value (vitals)</w:t>
            </w:r>
          </w:p>
        </w:tc>
        <w:tc>
          <w:tcPr>
            <w:tcW w:type="dxa" w:w="2700"/>
          </w:tcPr>
          <w:p>
            <w:pPr>
              <w:jc w:val="left"/>
            </w:pPr>
            <w:r>
              <w:rPr>
                <w:b w:val="false"/>
                <w:bCs w:val="false"/>
                <w:sz w:val="19"/>
                <w:szCs w:val="19"/>
              </w:rPr>
              <w:t xml:space="preserve">Health data</w:t>
            </w:r>
          </w:p>
        </w:tc>
        <w:tc>
          <w:tcPr>
            <w:tcW w:type="dxa" w:w="1500"/>
          </w:tcPr>
          <w:p>
            <w:pPr>
              <w:jc w:val="left"/>
            </w:pPr>
            <w:r>
              <w:rPr>
                <w:b w:val="false"/>
                <w:bCs w:val="false"/>
                <w:sz w:val="19"/>
                <w:szCs w:val="19"/>
              </w:rPr>
              <w:t xml:space="preserve">High</w:t>
            </w:r>
          </w:p>
        </w:tc>
        <w:tc>
          <w:tcPr>
            <w:tcW w:type="dxa" w:w="2500"/>
          </w:tcPr>
          <w:p>
            <w:pPr>
              <w:jc w:val="left"/>
            </w:pPr>
            <w:r>
              <w:rPr>
                <w:b w:val="false"/>
                <w:bCs w:val="false"/>
                <w:sz w:val="19"/>
                <w:szCs w:val="19"/>
              </w:rPr>
              <w:t xml:space="preserve">Yes</w:t>
            </w:r>
          </w:p>
        </w:tc>
      </w:tr>
      <w:tr>
        <w:tc>
          <w:tcPr>
            <w:tcW w:type="dxa" w:w="3000"/>
          </w:tcPr>
          <w:p>
            <w:pPr>
              <w:jc w:val="left"/>
            </w:pPr>
            <w:r>
              <w:rPr>
                <w:b w:val="false"/>
                <w:bCs w:val="false"/>
                <w:sz w:val="19"/>
                <w:szCs w:val="19"/>
              </w:rPr>
              <w:t xml:space="preserve">device_id</w:t>
            </w:r>
          </w:p>
        </w:tc>
        <w:tc>
          <w:tcPr>
            <w:tcW w:type="dxa" w:w="2700"/>
          </w:tcPr>
          <w:p>
            <w:pPr>
              <w:jc w:val="left"/>
            </w:pPr>
            <w:r>
              <w:rPr>
                <w:b w:val="false"/>
                <w:bCs w:val="false"/>
                <w:sz w:val="19"/>
                <w:szCs w:val="19"/>
              </w:rPr>
              <w:t xml:space="preserve">Device metadata</w:t>
            </w:r>
          </w:p>
        </w:tc>
        <w:tc>
          <w:tcPr>
            <w:tcW w:type="dxa" w:w="1500"/>
          </w:tcPr>
          <w:p>
            <w:pPr>
              <w:jc w:val="left"/>
            </w:pPr>
            <w:r>
              <w:rPr>
                <w:b w:val="false"/>
                <w:bCs w:val="false"/>
                <w:sz w:val="19"/>
                <w:szCs w:val="19"/>
              </w:rPr>
              <w:t xml:space="preserve">Medium</w:t>
            </w:r>
          </w:p>
        </w:tc>
        <w:tc>
          <w:tcPr>
            <w:tcW w:type="dxa" w:w="2500"/>
          </w:tcPr>
          <w:p>
            <w:pPr>
              <w:jc w:val="left"/>
            </w:pPr>
            <w:r>
              <w:rPr>
                <w:b w:val="false"/>
                <w:bCs w:val="false"/>
                <w:sz w:val="19"/>
                <w:szCs w:val="19"/>
              </w:rPr>
              <w:t xml:space="preserve">Indirect</w:t>
            </w:r>
          </w:p>
        </w:tc>
      </w:tr>
      <w:tr>
        <w:tc>
          <w:tcPr>
            <w:tcW w:type="dxa" w:w="3000"/>
          </w:tcPr>
          <w:p>
            <w:pPr>
              <w:jc w:val="left"/>
            </w:pPr>
            <w:r>
              <w:rPr>
                <w:b w:val="false"/>
                <w:bCs w:val="false"/>
                <w:sz w:val="19"/>
                <w:szCs w:val="19"/>
              </w:rPr>
              <w:t xml:space="preserve">ward</w:t>
            </w:r>
          </w:p>
        </w:tc>
        <w:tc>
          <w:tcPr>
            <w:tcW w:type="dxa" w:w="2700"/>
          </w:tcPr>
          <w:p>
            <w:pPr>
              <w:jc w:val="left"/>
            </w:pPr>
            <w:r>
              <w:rPr>
                <w:b w:val="false"/>
                <w:bCs w:val="false"/>
                <w:sz w:val="19"/>
                <w:szCs w:val="19"/>
              </w:rPr>
              <w:t xml:space="preserve">Location metadata</w:t>
            </w:r>
          </w:p>
        </w:tc>
        <w:tc>
          <w:tcPr>
            <w:tcW w:type="dxa" w:w="1500"/>
          </w:tcPr>
          <w:p>
            <w:pPr>
              <w:jc w:val="left"/>
            </w:pPr>
            <w:r>
              <w:rPr>
                <w:b w:val="false"/>
                <w:bCs w:val="false"/>
                <w:sz w:val="19"/>
                <w:szCs w:val="19"/>
              </w:rPr>
              <w:t xml:space="preserve">Medium</w:t>
            </w:r>
          </w:p>
        </w:tc>
        <w:tc>
          <w:tcPr>
            <w:tcW w:type="dxa" w:w="2500"/>
          </w:tcPr>
          <w:p>
            <w:pPr>
              <w:jc w:val="left"/>
            </w:pPr>
            <w:r>
              <w:rPr>
                <w:b w:val="false"/>
                <w:bCs w:val="false"/>
                <w:sz w:val="19"/>
                <w:szCs w:val="19"/>
              </w:rPr>
              <w:t xml:space="preserve">Indirect</w:t>
            </w:r>
          </w:p>
        </w:tc>
      </w:tr>
      <w:tr>
        <w:tc>
          <w:tcPr>
            <w:tcW w:type="dxa" w:w="3000"/>
          </w:tcPr>
          <w:p>
            <w:pPr>
              <w:jc w:val="left"/>
            </w:pPr>
            <w:r>
              <w:rPr>
                <w:b w:val="false"/>
                <w:bCs w:val="false"/>
                <w:sz w:val="19"/>
                <w:szCs w:val="19"/>
              </w:rPr>
              <w:t xml:space="preserve">timestamp</w:t>
            </w:r>
          </w:p>
        </w:tc>
        <w:tc>
          <w:tcPr>
            <w:tcW w:type="dxa" w:w="2700"/>
          </w:tcPr>
          <w:p>
            <w:pPr>
              <w:jc w:val="left"/>
            </w:pPr>
            <w:r>
              <w:rPr>
                <w:b w:val="false"/>
                <w:bCs w:val="false"/>
                <w:sz w:val="19"/>
                <w:szCs w:val="19"/>
              </w:rPr>
              <w:t xml:space="preserve">Temporal metadata</w:t>
            </w:r>
          </w:p>
        </w:tc>
        <w:tc>
          <w:tcPr>
            <w:tcW w:type="dxa" w:w="1500"/>
          </w:tcPr>
          <w:p>
            <w:pPr>
              <w:jc w:val="left"/>
            </w:pPr>
            <w:r>
              <w:rPr>
                <w:b w:val="false"/>
                <w:bCs w:val="false"/>
                <w:sz w:val="19"/>
                <w:szCs w:val="19"/>
              </w:rPr>
              <w:t xml:space="preserve">Medium</w:t>
            </w:r>
          </w:p>
        </w:tc>
        <w:tc>
          <w:tcPr>
            <w:tcW w:type="dxa" w:w="2500"/>
          </w:tcPr>
          <w:p>
            <w:pPr>
              <w:jc w:val="left"/>
            </w:pPr>
            <w:r>
              <w:rPr>
                <w:b w:val="false"/>
                <w:bCs w:val="false"/>
                <w:sz w:val="19"/>
                <w:szCs w:val="19"/>
              </w:rPr>
              <w:t xml:space="preserve">Indirect</w:t>
            </w:r>
          </w:p>
        </w:tc>
      </w:tr>
      <w:tr>
        <w:tc>
          <w:tcPr>
            <w:tcW w:type="dxa" w:w="3000"/>
          </w:tcPr>
          <w:p>
            <w:pPr>
              <w:jc w:val="left"/>
            </w:pPr>
            <w:r>
              <w:rPr>
                <w:b w:val="false"/>
                <w:bCs w:val="false"/>
                <w:sz w:val="19"/>
                <w:szCs w:val="19"/>
              </w:rPr>
              <w:t xml:space="preserve">source_ip</w:t>
            </w:r>
          </w:p>
        </w:tc>
        <w:tc>
          <w:tcPr>
            <w:tcW w:type="dxa" w:w="2700"/>
          </w:tcPr>
          <w:p>
            <w:pPr>
              <w:jc w:val="left"/>
            </w:pPr>
            <w:r>
              <w:rPr>
                <w:b w:val="false"/>
                <w:bCs w:val="false"/>
                <w:sz w:val="19"/>
                <w:szCs w:val="19"/>
              </w:rPr>
              <w:t xml:space="preserve">Network metadata</w:t>
            </w:r>
          </w:p>
        </w:tc>
        <w:tc>
          <w:tcPr>
            <w:tcW w:type="dxa" w:w="1500"/>
          </w:tcPr>
          <w:p>
            <w:pPr>
              <w:jc w:val="left"/>
            </w:pPr>
            <w:r>
              <w:rPr>
                <w:b w:val="false"/>
                <w:bCs w:val="false"/>
                <w:sz w:val="19"/>
                <w:szCs w:val="19"/>
              </w:rPr>
              <w:t xml:space="preserve">Medium</w:t>
            </w:r>
          </w:p>
        </w:tc>
        <w:tc>
          <w:tcPr>
            <w:tcW w:type="dxa" w:w="2500"/>
          </w:tcPr>
          <w:p>
            <w:pPr>
              <w:jc w:val="left"/>
            </w:pPr>
            <w:r>
              <w:rPr>
                <w:b w:val="false"/>
                <w:bCs w:val="false"/>
                <w:sz w:val="19"/>
                <w:szCs w:val="19"/>
              </w:rPr>
              <w:t xml:space="preserve">No (security-relevant)</w:t>
            </w:r>
          </w:p>
        </w:tc>
      </w:tr>
      <w:tr>
        <w:tc>
          <w:tcPr>
            <w:tcW w:type="dxa" w:w="3000"/>
          </w:tcPr>
          <w:p>
            <w:pPr>
              <w:jc w:val="left"/>
            </w:pPr>
            <w:r>
              <w:rPr>
                <w:b w:val="false"/>
                <w:bCs w:val="false"/>
                <w:sz w:val="19"/>
                <w:szCs w:val="19"/>
              </w:rPr>
              <w:t xml:space="preserve">firmware_version</w:t>
            </w:r>
          </w:p>
        </w:tc>
        <w:tc>
          <w:tcPr>
            <w:tcW w:type="dxa" w:w="2700"/>
          </w:tcPr>
          <w:p>
            <w:pPr>
              <w:jc w:val="left"/>
            </w:pPr>
            <w:r>
              <w:rPr>
                <w:b w:val="false"/>
                <w:bCs w:val="false"/>
                <w:sz w:val="19"/>
                <w:szCs w:val="19"/>
              </w:rPr>
              <w:t xml:space="preserve">Device metadata</w:t>
            </w:r>
          </w:p>
        </w:tc>
        <w:tc>
          <w:tcPr>
            <w:tcW w:type="dxa" w:w="1500"/>
          </w:tcPr>
          <w:p>
            <w:pPr>
              <w:jc w:val="left"/>
            </w:pPr>
            <w:r>
              <w:rPr>
                <w:b w:val="false"/>
                <w:bCs w:val="false"/>
                <w:sz w:val="19"/>
                <w:szCs w:val="19"/>
              </w:rPr>
              <w:t xml:space="preserve">Low</w:t>
            </w:r>
          </w:p>
        </w:tc>
        <w:tc>
          <w:tcPr>
            <w:tcW w:type="dxa" w:w="2500"/>
          </w:tcPr>
          <w:p>
            <w:pPr>
              <w:jc w:val="left"/>
            </w:pPr>
            <w:r>
              <w:rPr>
                <w:b w:val="false"/>
                <w:bCs w:val="false"/>
                <w:sz w:val="19"/>
                <w:szCs w:val="19"/>
              </w:rPr>
              <w:t xml:space="preserve">No</w:t>
            </w:r>
          </w:p>
        </w:tc>
      </w:tr>
      <w:tr>
        <w:tc>
          <w:tcPr>
            <w:tcW w:type="dxa" w:w="3000"/>
          </w:tcPr>
          <w:p>
            <w:pPr>
              <w:jc w:val="left"/>
            </w:pPr>
            <w:r>
              <w:rPr>
                <w:b w:val="false"/>
                <w:bCs w:val="false"/>
                <w:sz w:val="19"/>
                <w:szCs w:val="19"/>
              </w:rPr>
              <w:t xml:space="preserve">battery_pct / signal</w:t>
            </w:r>
          </w:p>
        </w:tc>
        <w:tc>
          <w:tcPr>
            <w:tcW w:type="dxa" w:w="2700"/>
          </w:tcPr>
          <w:p>
            <w:pPr>
              <w:jc w:val="left"/>
            </w:pPr>
            <w:r>
              <w:rPr>
                <w:b w:val="false"/>
                <w:bCs w:val="false"/>
                <w:sz w:val="19"/>
                <w:szCs w:val="19"/>
              </w:rPr>
              <w:t xml:space="preserve">Telemetry metadata</w:t>
            </w:r>
          </w:p>
        </w:tc>
        <w:tc>
          <w:tcPr>
            <w:tcW w:type="dxa" w:w="1500"/>
          </w:tcPr>
          <w:p>
            <w:pPr>
              <w:jc w:val="left"/>
            </w:pPr>
            <w:r>
              <w:rPr>
                <w:b w:val="false"/>
                <w:bCs w:val="false"/>
                <w:sz w:val="19"/>
                <w:szCs w:val="19"/>
              </w:rPr>
              <w:t xml:space="preserve">Low</w:t>
            </w:r>
          </w:p>
        </w:tc>
        <w:tc>
          <w:tcPr>
            <w:tcW w:type="dxa" w:w="2500"/>
          </w:tcPr>
          <w:p>
            <w:pPr>
              <w:jc w:val="left"/>
            </w:pPr>
            <w:r>
              <w:rPr>
                <w:b w:val="false"/>
                <w:bCs w:val="false"/>
                <w:sz w:val="19"/>
                <w:szCs w:val="19"/>
              </w:rPr>
              <w:t xml:space="preserve">No</w:t>
            </w:r>
          </w:p>
        </w:tc>
      </w:tr>
    </w:tbl>
    <w:p>
      <w:pPr>
        <w:spacing w:after="200"/>
      </w:pPr>
    </w:p>
    <w:p>
      <w:pPr>
        <w:pStyle w:val="Heading2"/>
        <w:spacing w:after="100" w:before="220"/>
      </w:pPr>
      <w:r>
        <w:t xml:space="preserve">6.2 Re-identification Risk (k-Anonymity Analysis)</w:t>
      </w:r>
    </w:p>
    <w:p>
      <w:pPr>
        <w:spacing w:after="120"/>
      </w:pPr>
      <w:r>
        <w:t xml:space="preserve">Even when a patient identifier is pseudonymous, combining a handful of indirect attributes can single out an individual's records. This was tested by grouping records on three quasi-identifiers — ward, device type, and hour-of-day — and counting how many distinct patients share each combination (k). A small k means few individuals could produce that combination, so an observer who knows just those attributes (e.g., “ICU, infusion pump, around 2 PM”) can narrow a record down to one or two possible patients.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2500"/>
      </w:tblGrid>
      <w:tr>
        <w:trPr>
          <w:tblHeader/>
        </w:trPr>
        <w:tc>
          <w:tcPr>
            <w:tcW w:type="dxa" w:w="2400"/>
            <w:shd w:fill="D9E2F3" w:val="clear"/>
          </w:tcPr>
          <w:p>
            <w:pPr>
              <w:jc w:val="left"/>
            </w:pPr>
            <w:r>
              <w:rPr>
                <w:b/>
                <w:bCs/>
                <w:sz w:val="19"/>
                <w:szCs w:val="19"/>
              </w:rPr>
              <w:t xml:space="preserve">k range</w:t>
            </w:r>
          </w:p>
        </w:tc>
        <w:tc>
          <w:tcPr>
            <w:tcW w:type="dxa" w:w="5000"/>
            <w:shd w:fill="D9E2F3" w:val="clear"/>
          </w:tcPr>
          <w:p>
            <w:pPr>
              <w:jc w:val="left"/>
            </w:pPr>
            <w:r>
              <w:rPr>
                <w:b/>
                <w:bCs/>
                <w:sz w:val="19"/>
                <w:szCs w:val="19"/>
              </w:rPr>
              <w:t xml:space="preserve">Risk level</w:t>
            </w:r>
          </w:p>
        </w:tc>
        <w:tc>
          <w:tcPr>
            <w:tcW w:type="dxa" w:w="2500"/>
            <w:shd w:fill="D9E2F3" w:val="clear"/>
          </w:tcPr>
          <w:p>
            <w:pPr>
              <w:jc w:val="left"/>
            </w:pPr>
            <w:r>
              <w:rPr>
                <w:b/>
                <w:bCs/>
                <w:sz w:val="19"/>
                <w:szCs w:val="19"/>
              </w:rPr>
              <w:t xml:space="preserve">Groups observed (of 672)</w:t>
            </w:r>
          </w:p>
        </w:tc>
      </w:tr>
      <w:tr>
        <w:tc>
          <w:tcPr>
            <w:tcW w:type="dxa" w:w="2400"/>
          </w:tcPr>
          <w:p>
            <w:pPr>
              <w:jc w:val="left"/>
            </w:pPr>
            <w:r>
              <w:rPr>
                <w:b w:val="false"/>
                <w:bCs w:val="false"/>
                <w:sz w:val="19"/>
                <w:szCs w:val="19"/>
              </w:rPr>
              <w:t xml:space="preserve">k ≤ 2</w:t>
            </w:r>
          </w:p>
        </w:tc>
        <w:tc>
          <w:tcPr>
            <w:tcW w:type="dxa" w:w="5000"/>
          </w:tcPr>
          <w:p>
            <w:pPr>
              <w:jc w:val="left"/>
            </w:pPr>
            <w:r>
              <w:rPr>
                <w:b w:val="false"/>
                <w:bCs w:val="false"/>
                <w:sz w:val="19"/>
                <w:szCs w:val="19"/>
              </w:rPr>
              <w:t xml:space="preserve">CRITICAL — near-unique re-identification</w:t>
            </w:r>
          </w:p>
        </w:tc>
        <w:tc>
          <w:tcPr>
            <w:tcW w:type="dxa" w:w="2500"/>
          </w:tcPr>
          <w:p>
            <w:pPr>
              <w:jc w:val="left"/>
            </w:pPr>
            <w:r>
              <w:rPr>
                <w:b w:val="false"/>
                <w:bCs w:val="false"/>
                <w:sz w:val="19"/>
                <w:szCs w:val="19"/>
              </w:rPr>
              <w:t xml:space="preserve">336 (50%)</w:t>
            </w:r>
          </w:p>
        </w:tc>
      </w:tr>
      <w:tr>
        <w:tc>
          <w:tcPr>
            <w:tcW w:type="dxa" w:w="2400"/>
          </w:tcPr>
          <w:p>
            <w:pPr>
              <w:jc w:val="left"/>
            </w:pPr>
            <w:r>
              <w:rPr>
                <w:b w:val="false"/>
                <w:bCs w:val="false"/>
                <w:sz w:val="19"/>
                <w:szCs w:val="19"/>
              </w:rPr>
              <w:t xml:space="preserve">k ≤ 5 (and &gt; 2)</w:t>
            </w:r>
          </w:p>
        </w:tc>
        <w:tc>
          <w:tcPr>
            <w:tcW w:type="dxa" w:w="5000"/>
          </w:tcPr>
          <w:p>
            <w:pPr>
              <w:jc w:val="left"/>
            </w:pPr>
            <w:r>
              <w:rPr>
                <w:b w:val="false"/>
                <w:bCs w:val="false"/>
                <w:sz w:val="19"/>
                <w:szCs w:val="19"/>
              </w:rPr>
              <w:t xml:space="preserve">HIGH</w:t>
            </w:r>
          </w:p>
        </w:tc>
        <w:tc>
          <w:tcPr>
            <w:tcW w:type="dxa" w:w="2500"/>
          </w:tcPr>
          <w:p>
            <w:pPr>
              <w:jc w:val="left"/>
            </w:pPr>
            <w:r>
              <w:rPr>
                <w:b w:val="false"/>
                <w:bCs w:val="false"/>
                <w:sz w:val="19"/>
                <w:szCs w:val="19"/>
              </w:rPr>
              <w:t xml:space="preserve">336 (50%)</w:t>
            </w:r>
          </w:p>
        </w:tc>
      </w:tr>
      <w:tr>
        <w:tc>
          <w:tcPr>
            <w:tcW w:type="dxa" w:w="2400"/>
          </w:tcPr>
          <w:p>
            <w:pPr>
              <w:jc w:val="left"/>
            </w:pPr>
            <w:r>
              <w:rPr>
                <w:b w:val="false"/>
                <w:bCs w:val="false"/>
                <w:sz w:val="19"/>
                <w:szCs w:val="19"/>
              </w:rPr>
              <w:t xml:space="preserve">k ≤ 10 (and &gt; 5)</w:t>
            </w:r>
          </w:p>
        </w:tc>
        <w:tc>
          <w:tcPr>
            <w:tcW w:type="dxa" w:w="5000"/>
          </w:tcPr>
          <w:p>
            <w:pPr>
              <w:jc w:val="left"/>
            </w:pPr>
            <w:r>
              <w:rPr>
                <w:b w:val="false"/>
                <w:bCs w:val="false"/>
                <w:sz w:val="19"/>
                <w:szCs w:val="19"/>
              </w:rPr>
              <w:t xml:space="preserve">MODERATE</w:t>
            </w:r>
          </w:p>
        </w:tc>
        <w:tc>
          <w:tcPr>
            <w:tcW w:type="dxa" w:w="2500"/>
          </w:tcPr>
          <w:p>
            <w:pPr>
              <w:jc w:val="left"/>
            </w:pPr>
            <w:r>
              <w:rPr>
                <w:b w:val="false"/>
                <w:bCs w:val="false"/>
                <w:sz w:val="19"/>
                <w:szCs w:val="19"/>
              </w:rPr>
              <w:t xml:space="preserve">0</w:t>
            </w:r>
          </w:p>
        </w:tc>
      </w:tr>
      <w:tr>
        <w:tc>
          <w:tcPr>
            <w:tcW w:type="dxa" w:w="2400"/>
          </w:tcPr>
          <w:p>
            <w:pPr>
              <w:jc w:val="left"/>
            </w:pPr>
            <w:r>
              <w:rPr>
                <w:b w:val="false"/>
                <w:bCs w:val="false"/>
                <w:sz w:val="19"/>
                <w:szCs w:val="19"/>
              </w:rPr>
              <w:t xml:space="preserve">k &gt; 10</w:t>
            </w:r>
          </w:p>
        </w:tc>
        <w:tc>
          <w:tcPr>
            <w:tcW w:type="dxa" w:w="5000"/>
          </w:tcPr>
          <w:p>
            <w:pPr>
              <w:jc w:val="left"/>
            </w:pPr>
            <w:r>
              <w:rPr>
                <w:b w:val="false"/>
                <w:bCs w:val="false"/>
                <w:sz w:val="19"/>
                <w:szCs w:val="19"/>
              </w:rPr>
              <w:t xml:space="preserve">LOW</w:t>
            </w:r>
          </w:p>
        </w:tc>
        <w:tc>
          <w:tcPr>
            <w:tcW w:type="dxa" w:w="2500"/>
          </w:tcPr>
          <w:p>
            <w:pPr>
              <w:jc w:val="left"/>
            </w:pPr>
            <w:r>
              <w:rPr>
                <w:b w:val="false"/>
                <w:bCs w:val="false"/>
                <w:sz w:val="19"/>
                <w:szCs w:val="19"/>
              </w:rPr>
              <w:t xml:space="preserve">0</w:t>
            </w:r>
          </w:p>
        </w:tc>
      </w:tr>
    </w:tbl>
    <w:p>
      <w:pPr>
        <w:spacing w:after="200"/>
      </w:pPr>
    </w:p>
    <w:p>
      <w:pPr>
        <w:spacing w:after="120"/>
      </w:pPr>
      <w:r>
        <w:t xml:space="preserve">Finding: 100% of quasi-identifier combinations tested fall into the CRITICAL or HIGH re-identification risk bands. This is the report's single most significant privacy finding — it shows that ward + device type + hour of day alone, all of which are operationally necessary and routinely logged, are already sufficient to re-identify a specific patient's telemetry in a hospital of this size. Smaller wards (e.g., Pediatrics) and less common device types (e.g., smart_infusion_pump, glucose_monitor) are the most exposed, since fewer patients share those combinations at a given hour.</w:t>
      </w:r>
    </w:p>
    <w:p>
      <w:pPr>
        <w:spacing w:after="120"/>
      </w:pPr>
      <w:r>
        <w:rPr>
          <w:b/>
          <w:bCs/>
        </w:rPr>
        <w:t xml:space="preserve">Recommended mitigations: </w:t>
      </w:r>
      <w:r>
        <w:t xml:space="preserve">generalize timestamps to coarser buckets (e.g., shift/quarter-day rather than hour) before sharing with any secondary system or analytics vendor; suppress or generalize ward for small wards below a minimum patient count; apply k-anonymity or differential-privacy techniques before any telemetry leaves the primary clinical system; and treat device-level metadata (device_id, ward, timestamp together) as PHI-adjacent for access-control purposes, not merely as “operational data.”</w:t>
      </w:r>
    </w:p>
    <w:p>
      <w:r>
        <w:br w:type="page"/>
      </w:r>
    </w:p>
    <w:p>
      <w:pPr>
        <w:pStyle w:val="Heading1"/>
        <w:spacing w:after="150" w:before="300"/>
      </w:pPr>
      <w:r>
        <w:t xml:space="preserve">7. Consolidated Risk Register</w:t>
      </w:r>
    </w:p>
    <w:tbl>
      <w:tblPr>
        <w:tblW w:type="dxa" w:w="9950"/>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1450"/>
        <w:gridCol w:w="1450"/>
        <w:gridCol w:w="1350"/>
      </w:tblGrid>
      <w:tr>
        <w:trPr>
          <w:tblHeader/>
        </w:trPr>
        <w:tc>
          <w:tcPr>
            <w:tcW w:type="dxa" w:w="700"/>
            <w:shd w:fill="D9E2F3" w:val="clear"/>
          </w:tcPr>
          <w:p>
            <w:pPr>
              <w:jc w:val="left"/>
            </w:pPr>
            <w:r>
              <w:rPr>
                <w:b/>
                <w:bCs/>
                <w:sz w:val="19"/>
                <w:szCs w:val="19"/>
              </w:rPr>
              <w:t xml:space="preserve">#</w:t>
            </w:r>
          </w:p>
        </w:tc>
        <w:tc>
          <w:tcPr>
            <w:tcW w:type="dxa" w:w="5000"/>
            <w:shd w:fill="D9E2F3" w:val="clear"/>
          </w:tcPr>
          <w:p>
            <w:pPr>
              <w:jc w:val="left"/>
            </w:pPr>
            <w:r>
              <w:rPr>
                <w:b/>
                <w:bCs/>
                <w:sz w:val="19"/>
                <w:szCs w:val="19"/>
              </w:rPr>
              <w:t xml:space="preserve">Risk</w:t>
            </w:r>
          </w:p>
        </w:tc>
        <w:tc>
          <w:tcPr>
            <w:tcW w:type="dxa" w:w="1450"/>
            <w:shd w:fill="D9E2F3" w:val="clear"/>
          </w:tcPr>
          <w:p>
            <w:pPr>
              <w:jc w:val="left"/>
            </w:pPr>
            <w:r>
              <w:rPr>
                <w:b/>
                <w:bCs/>
                <w:sz w:val="19"/>
                <w:szCs w:val="19"/>
              </w:rPr>
              <w:t xml:space="preserve">Likelihood</w:t>
            </w:r>
          </w:p>
        </w:tc>
        <w:tc>
          <w:tcPr>
            <w:tcW w:type="dxa" w:w="1450"/>
            <w:shd w:fill="D9E2F3" w:val="clear"/>
          </w:tcPr>
          <w:p>
            <w:pPr>
              <w:jc w:val="left"/>
            </w:pPr>
            <w:r>
              <w:rPr>
                <w:b/>
                <w:bCs/>
                <w:sz w:val="19"/>
                <w:szCs w:val="19"/>
              </w:rPr>
              <w:t xml:space="preserve">Impact</w:t>
            </w:r>
          </w:p>
        </w:tc>
        <w:tc>
          <w:tcPr>
            <w:tcW w:type="dxa" w:w="1350"/>
            <w:shd w:fill="D9E2F3" w:val="clear"/>
          </w:tcPr>
          <w:p>
            <w:pPr>
              <w:jc w:val="left"/>
            </w:pPr>
            <w:r>
              <w:rPr>
                <w:b/>
                <w:bCs/>
                <w:sz w:val="19"/>
                <w:szCs w:val="19"/>
              </w:rPr>
              <w:t xml:space="preserve">Priority</w:t>
            </w:r>
          </w:p>
        </w:tc>
      </w:tr>
      <w:tr>
        <w:tc>
          <w:tcPr>
            <w:tcW w:type="dxa" w:w="700"/>
          </w:tcPr>
          <w:p>
            <w:pPr>
              <w:jc w:val="left"/>
            </w:pPr>
            <w:r>
              <w:rPr>
                <w:b w:val="false"/>
                <w:bCs w:val="false"/>
                <w:sz w:val="19"/>
                <w:szCs w:val="19"/>
              </w:rPr>
              <w:t xml:space="preserve">R1</w:t>
            </w:r>
          </w:p>
        </w:tc>
        <w:tc>
          <w:tcPr>
            <w:tcW w:type="dxa" w:w="5000"/>
          </w:tcPr>
          <w:p>
            <w:pPr>
              <w:jc w:val="left"/>
            </w:pPr>
            <w:r>
              <w:rPr>
                <w:b w:val="false"/>
                <w:bCs w:val="false"/>
                <w:sz w:val="19"/>
                <w:szCs w:val="19"/>
              </w:rPr>
              <w:t xml:space="preserve">Re-identification of patients via ward/device/time metadata correlation (k-anonymity failure)</w:t>
            </w:r>
          </w:p>
        </w:tc>
        <w:tc>
          <w:tcPr>
            <w:tcW w:type="dxa" w:w="1450"/>
          </w:tcPr>
          <w:p>
            <w:pPr>
              <w:jc w:val="left"/>
            </w:pPr>
            <w:r>
              <w:rPr>
                <w:b w:val="false"/>
                <w:bCs w:val="false"/>
                <w:sz w:val="19"/>
                <w:szCs w:val="19"/>
              </w:rPr>
              <w:t xml:space="preserve">High</w:t>
            </w:r>
          </w:p>
        </w:tc>
        <w:tc>
          <w:tcPr>
            <w:tcW w:type="dxa" w:w="1450"/>
          </w:tcPr>
          <w:p>
            <w:pPr>
              <w:jc w:val="left"/>
            </w:pPr>
            <w:r>
              <w:rPr>
                <w:b w:val="false"/>
                <w:bCs w:val="false"/>
                <w:sz w:val="19"/>
                <w:szCs w:val="19"/>
              </w:rPr>
              <w:t xml:space="preserve">High</w:t>
            </w:r>
          </w:p>
        </w:tc>
        <w:tc>
          <w:tcPr>
            <w:tcW w:type="dxa" w:w="1350"/>
          </w:tcPr>
          <w:p>
            <w:pPr>
              <w:jc w:val="left"/>
            </w:pPr>
            <w:r>
              <w:rPr>
                <w:b w:val="false"/>
                <w:bCs w:val="false"/>
                <w:sz w:val="19"/>
                <w:szCs w:val="19"/>
              </w:rPr>
              <w:t xml:space="preserve">Critical</w:t>
            </w:r>
          </w:p>
        </w:tc>
      </w:tr>
      <w:tr>
        <w:tc>
          <w:tcPr>
            <w:tcW w:type="dxa" w:w="700"/>
          </w:tcPr>
          <w:p>
            <w:pPr>
              <w:jc w:val="left"/>
            </w:pPr>
            <w:r>
              <w:rPr>
                <w:b w:val="false"/>
                <w:bCs w:val="false"/>
                <w:sz w:val="19"/>
                <w:szCs w:val="19"/>
              </w:rPr>
              <w:t xml:space="preserve">R2</w:t>
            </w:r>
          </w:p>
        </w:tc>
        <w:tc>
          <w:tcPr>
            <w:tcW w:type="dxa" w:w="5000"/>
          </w:tcPr>
          <w:p>
            <w:pPr>
              <w:jc w:val="left"/>
            </w:pPr>
            <w:r>
              <w:rPr>
                <w:b w:val="false"/>
                <w:bCs w:val="false"/>
                <w:sz w:val="19"/>
                <w:szCs w:val="19"/>
              </w:rPr>
              <w:t xml:space="preserve">Tampered/spoofed vital-sign readings leading to incorrect clinical decisions</w:t>
            </w:r>
          </w:p>
        </w:tc>
        <w:tc>
          <w:tcPr>
            <w:tcW w:type="dxa" w:w="1450"/>
          </w:tcPr>
          <w:p>
            <w:pPr>
              <w:jc w:val="left"/>
            </w:pPr>
            <w:r>
              <w:rPr>
                <w:b w:val="false"/>
                <w:bCs w:val="false"/>
                <w:sz w:val="19"/>
                <w:szCs w:val="19"/>
              </w:rPr>
              <w:t xml:space="preserve">Medium</w:t>
            </w:r>
          </w:p>
        </w:tc>
        <w:tc>
          <w:tcPr>
            <w:tcW w:type="dxa" w:w="1450"/>
          </w:tcPr>
          <w:p>
            <w:pPr>
              <w:jc w:val="left"/>
            </w:pPr>
            <w:r>
              <w:rPr>
                <w:b w:val="false"/>
                <w:bCs w:val="false"/>
                <w:sz w:val="19"/>
                <w:szCs w:val="19"/>
              </w:rPr>
              <w:t xml:space="preserve">High</w:t>
            </w:r>
          </w:p>
        </w:tc>
        <w:tc>
          <w:tcPr>
            <w:tcW w:type="dxa" w:w="1350"/>
          </w:tcPr>
          <w:p>
            <w:pPr>
              <w:jc w:val="left"/>
            </w:pPr>
            <w:r>
              <w:rPr>
                <w:b w:val="false"/>
                <w:bCs w:val="false"/>
                <w:sz w:val="19"/>
                <w:szCs w:val="19"/>
              </w:rPr>
              <w:t xml:space="preserve">Critical</w:t>
            </w:r>
          </w:p>
        </w:tc>
      </w:tr>
      <w:tr>
        <w:tc>
          <w:tcPr>
            <w:tcW w:type="dxa" w:w="700"/>
          </w:tcPr>
          <w:p>
            <w:pPr>
              <w:jc w:val="left"/>
            </w:pPr>
            <w:r>
              <w:rPr>
                <w:b w:val="false"/>
                <w:bCs w:val="false"/>
                <w:sz w:val="19"/>
                <w:szCs w:val="19"/>
              </w:rPr>
              <w:t xml:space="preserve">R3</w:t>
            </w:r>
          </w:p>
        </w:tc>
        <w:tc>
          <w:tcPr>
            <w:tcW w:type="dxa" w:w="5000"/>
          </w:tcPr>
          <w:p>
            <w:pPr>
              <w:jc w:val="left"/>
            </w:pPr>
            <w:r>
              <w:rPr>
                <w:b w:val="false"/>
                <w:bCs w:val="false"/>
                <w:sz w:val="19"/>
                <w:szCs w:val="19"/>
              </w:rPr>
              <w:t xml:space="preserve">Infusion pump command injection or firmware rollback leading to incorrect dosing</w:t>
            </w:r>
          </w:p>
        </w:tc>
        <w:tc>
          <w:tcPr>
            <w:tcW w:type="dxa" w:w="1450"/>
          </w:tcPr>
          <w:p>
            <w:pPr>
              <w:jc w:val="left"/>
            </w:pPr>
            <w:r>
              <w:rPr>
                <w:b w:val="false"/>
                <w:bCs w:val="false"/>
                <w:sz w:val="19"/>
                <w:szCs w:val="19"/>
              </w:rPr>
              <w:t xml:space="preserve">Low–Medium</w:t>
            </w:r>
          </w:p>
        </w:tc>
        <w:tc>
          <w:tcPr>
            <w:tcW w:type="dxa" w:w="1450"/>
          </w:tcPr>
          <w:p>
            <w:pPr>
              <w:jc w:val="left"/>
            </w:pPr>
            <w:r>
              <w:rPr>
                <w:b w:val="false"/>
                <w:bCs w:val="false"/>
                <w:sz w:val="19"/>
                <w:szCs w:val="19"/>
              </w:rPr>
              <w:t xml:space="preserve">Very High</w:t>
            </w:r>
          </w:p>
        </w:tc>
        <w:tc>
          <w:tcPr>
            <w:tcW w:type="dxa" w:w="1350"/>
          </w:tcPr>
          <w:p>
            <w:pPr>
              <w:jc w:val="left"/>
            </w:pPr>
            <w:r>
              <w:rPr>
                <w:b w:val="false"/>
                <w:bCs w:val="false"/>
                <w:sz w:val="19"/>
                <w:szCs w:val="19"/>
              </w:rPr>
              <w:t xml:space="preserve">Critical</w:t>
            </w:r>
          </w:p>
        </w:tc>
      </w:tr>
      <w:tr>
        <w:tc>
          <w:tcPr>
            <w:tcW w:type="dxa" w:w="700"/>
          </w:tcPr>
          <w:p>
            <w:pPr>
              <w:jc w:val="left"/>
            </w:pPr>
            <w:r>
              <w:rPr>
                <w:b w:val="false"/>
                <w:bCs w:val="false"/>
                <w:sz w:val="19"/>
                <w:szCs w:val="19"/>
              </w:rPr>
              <w:t xml:space="preserve">R4</w:t>
            </w:r>
          </w:p>
        </w:tc>
        <w:tc>
          <w:tcPr>
            <w:tcW w:type="dxa" w:w="5000"/>
          </w:tcPr>
          <w:p>
            <w:pPr>
              <w:jc w:val="left"/>
            </w:pPr>
            <w:r>
              <w:rPr>
                <w:b w:val="false"/>
                <w:bCs w:val="false"/>
                <w:sz w:val="19"/>
                <w:szCs w:val="19"/>
              </w:rPr>
              <w:t xml:space="preserve">Brute-force or credential-reuse attacks against device authentication</w:t>
            </w:r>
          </w:p>
        </w:tc>
        <w:tc>
          <w:tcPr>
            <w:tcW w:type="dxa" w:w="1450"/>
          </w:tcPr>
          <w:p>
            <w:pPr>
              <w:jc w:val="left"/>
            </w:pPr>
            <w:r>
              <w:rPr>
                <w:b w:val="false"/>
                <w:bCs w:val="false"/>
                <w:sz w:val="19"/>
                <w:szCs w:val="19"/>
              </w:rPr>
              <w:t xml:space="preserve">High</w:t>
            </w:r>
          </w:p>
        </w:tc>
        <w:tc>
          <w:tcPr>
            <w:tcW w:type="dxa" w:w="1450"/>
          </w:tcPr>
          <w:p>
            <w:pPr>
              <w:jc w:val="left"/>
            </w:pPr>
            <w:r>
              <w:rPr>
                <w:b w:val="false"/>
                <w:bCs w:val="false"/>
                <w:sz w:val="19"/>
                <w:szCs w:val="19"/>
              </w:rPr>
              <w:t xml:space="preserve">Medium</w:t>
            </w:r>
          </w:p>
        </w:tc>
        <w:tc>
          <w:tcPr>
            <w:tcW w:type="dxa" w:w="1350"/>
          </w:tcPr>
          <w:p>
            <w:pPr>
              <w:jc w:val="left"/>
            </w:pPr>
            <w:r>
              <w:rPr>
                <w:b w:val="false"/>
                <w:bCs w:val="false"/>
                <w:sz w:val="19"/>
                <w:szCs w:val="19"/>
              </w:rPr>
              <w:t xml:space="preserve">High</w:t>
            </w:r>
          </w:p>
        </w:tc>
      </w:tr>
      <w:tr>
        <w:tc>
          <w:tcPr>
            <w:tcW w:type="dxa" w:w="700"/>
          </w:tcPr>
          <w:p>
            <w:pPr>
              <w:jc w:val="left"/>
            </w:pPr>
            <w:r>
              <w:rPr>
                <w:b w:val="false"/>
                <w:bCs w:val="false"/>
                <w:sz w:val="19"/>
                <w:szCs w:val="19"/>
              </w:rPr>
              <w:t xml:space="preserve">R5</w:t>
            </w:r>
          </w:p>
        </w:tc>
        <w:tc>
          <w:tcPr>
            <w:tcW w:type="dxa" w:w="5000"/>
          </w:tcPr>
          <w:p>
            <w:pPr>
              <w:jc w:val="left"/>
            </w:pPr>
            <w:r>
              <w:rPr>
                <w:b w:val="false"/>
                <w:bCs w:val="false"/>
                <w:sz w:val="19"/>
                <w:szCs w:val="19"/>
              </w:rPr>
              <w:t xml:space="preserve">Unauthorized external network access accepted as trusted device traffic</w:t>
            </w:r>
          </w:p>
        </w:tc>
        <w:tc>
          <w:tcPr>
            <w:tcW w:type="dxa" w:w="1450"/>
          </w:tcPr>
          <w:p>
            <w:pPr>
              <w:jc w:val="left"/>
            </w:pPr>
            <w:r>
              <w:rPr>
                <w:b w:val="false"/>
                <w:bCs w:val="false"/>
                <w:sz w:val="19"/>
                <w:szCs w:val="19"/>
              </w:rPr>
              <w:t xml:space="preserve">Medium</w:t>
            </w:r>
          </w:p>
        </w:tc>
        <w:tc>
          <w:tcPr>
            <w:tcW w:type="dxa" w:w="1450"/>
          </w:tcPr>
          <w:p>
            <w:pPr>
              <w:jc w:val="left"/>
            </w:pPr>
            <w:r>
              <w:rPr>
                <w:b w:val="false"/>
                <w:bCs w:val="false"/>
                <w:sz w:val="19"/>
                <w:szCs w:val="19"/>
              </w:rPr>
              <w:t xml:space="preserve">High</w:t>
            </w:r>
          </w:p>
        </w:tc>
        <w:tc>
          <w:tcPr>
            <w:tcW w:type="dxa" w:w="1350"/>
          </w:tcPr>
          <w:p>
            <w:pPr>
              <w:jc w:val="left"/>
            </w:pPr>
            <w:r>
              <w:rPr>
                <w:b w:val="false"/>
                <w:bCs w:val="false"/>
                <w:sz w:val="19"/>
                <w:szCs w:val="19"/>
              </w:rPr>
              <w:t xml:space="preserve">High</w:t>
            </w:r>
          </w:p>
        </w:tc>
      </w:tr>
      <w:tr>
        <w:tc>
          <w:tcPr>
            <w:tcW w:type="dxa" w:w="700"/>
          </w:tcPr>
          <w:p>
            <w:pPr>
              <w:jc w:val="left"/>
            </w:pPr>
            <w:r>
              <w:rPr>
                <w:b w:val="false"/>
                <w:bCs w:val="false"/>
                <w:sz w:val="19"/>
                <w:szCs w:val="19"/>
              </w:rPr>
              <w:t xml:space="preserve">R6</w:t>
            </w:r>
          </w:p>
        </w:tc>
        <w:tc>
          <w:tcPr>
            <w:tcW w:type="dxa" w:w="5000"/>
          </w:tcPr>
          <w:p>
            <w:pPr>
              <w:jc w:val="left"/>
            </w:pPr>
            <w:r>
              <w:rPr>
                <w:b w:val="false"/>
                <w:bCs w:val="false"/>
                <w:sz w:val="19"/>
                <w:szCs w:val="19"/>
              </w:rPr>
              <w:t xml:space="preserve">Denial-of-service floods disrupting telemetry availability for clinical monitoring</w:t>
            </w:r>
          </w:p>
        </w:tc>
        <w:tc>
          <w:tcPr>
            <w:tcW w:type="dxa" w:w="1450"/>
          </w:tcPr>
          <w:p>
            <w:pPr>
              <w:jc w:val="left"/>
            </w:pPr>
            <w:r>
              <w:rPr>
                <w:b w:val="false"/>
                <w:bCs w:val="false"/>
                <w:sz w:val="19"/>
                <w:szCs w:val="19"/>
              </w:rPr>
              <w:t xml:space="preserve">Medium</w:t>
            </w:r>
          </w:p>
        </w:tc>
        <w:tc>
          <w:tcPr>
            <w:tcW w:type="dxa" w:w="1450"/>
          </w:tcPr>
          <w:p>
            <w:pPr>
              <w:jc w:val="left"/>
            </w:pPr>
            <w:r>
              <w:rPr>
                <w:b w:val="false"/>
                <w:bCs w:val="false"/>
                <w:sz w:val="19"/>
                <w:szCs w:val="19"/>
              </w:rPr>
              <w:t xml:space="preserve">Medium</w:t>
            </w:r>
          </w:p>
        </w:tc>
        <w:tc>
          <w:tcPr>
            <w:tcW w:type="dxa" w:w="1350"/>
          </w:tcPr>
          <w:p>
            <w:pPr>
              <w:jc w:val="left"/>
            </w:pPr>
            <w:r>
              <w:rPr>
                <w:b w:val="false"/>
                <w:bCs w:val="false"/>
                <w:sz w:val="19"/>
                <w:szCs w:val="19"/>
              </w:rPr>
              <w:t xml:space="preserve">Medium</w:t>
            </w:r>
          </w:p>
        </w:tc>
      </w:tr>
      <w:tr>
        <w:tc>
          <w:tcPr>
            <w:tcW w:type="dxa" w:w="700"/>
          </w:tcPr>
          <w:p>
            <w:pPr>
              <w:jc w:val="left"/>
            </w:pPr>
            <w:r>
              <w:rPr>
                <w:b w:val="false"/>
                <w:bCs w:val="false"/>
                <w:sz w:val="19"/>
                <w:szCs w:val="19"/>
              </w:rPr>
              <w:t xml:space="preserve">R7</w:t>
            </w:r>
          </w:p>
        </w:tc>
        <w:tc>
          <w:tcPr>
            <w:tcW w:type="dxa" w:w="5000"/>
          </w:tcPr>
          <w:p>
            <w:pPr>
              <w:jc w:val="left"/>
            </w:pPr>
            <w:r>
              <w:rPr>
                <w:b w:val="false"/>
                <w:bCs w:val="false"/>
                <w:sz w:val="19"/>
                <w:szCs w:val="19"/>
              </w:rPr>
              <w:t xml:space="preserve">Replay of old readings masking a real deterioration or masking an attack</w:t>
            </w:r>
          </w:p>
        </w:tc>
        <w:tc>
          <w:tcPr>
            <w:tcW w:type="dxa" w:w="1450"/>
          </w:tcPr>
          <w:p>
            <w:pPr>
              <w:jc w:val="left"/>
            </w:pPr>
            <w:r>
              <w:rPr>
                <w:b w:val="false"/>
                <w:bCs w:val="false"/>
                <w:sz w:val="19"/>
                <w:szCs w:val="19"/>
              </w:rPr>
              <w:t xml:space="preserve">Low</w:t>
            </w:r>
          </w:p>
        </w:tc>
        <w:tc>
          <w:tcPr>
            <w:tcW w:type="dxa" w:w="1450"/>
          </w:tcPr>
          <w:p>
            <w:pPr>
              <w:jc w:val="left"/>
            </w:pPr>
            <w:r>
              <w:rPr>
                <w:b w:val="false"/>
                <w:bCs w:val="false"/>
                <w:sz w:val="19"/>
                <w:szCs w:val="19"/>
              </w:rPr>
              <w:t xml:space="preserve">Medium</w:t>
            </w:r>
          </w:p>
        </w:tc>
        <w:tc>
          <w:tcPr>
            <w:tcW w:type="dxa" w:w="1350"/>
          </w:tcPr>
          <w:p>
            <w:pPr>
              <w:jc w:val="left"/>
            </w:pPr>
            <w:r>
              <w:rPr>
                <w:b w:val="false"/>
                <w:bCs w:val="false"/>
                <w:sz w:val="19"/>
                <w:szCs w:val="19"/>
              </w:rPr>
              <w:t xml:space="preserve">Medium</w:t>
            </w:r>
          </w:p>
        </w:tc>
      </w:tr>
      <w:tr>
        <w:tc>
          <w:tcPr>
            <w:tcW w:type="dxa" w:w="700"/>
          </w:tcPr>
          <w:p>
            <w:pPr>
              <w:jc w:val="left"/>
            </w:pPr>
            <w:r>
              <w:rPr>
                <w:b w:val="false"/>
                <w:bCs w:val="false"/>
                <w:sz w:val="19"/>
                <w:szCs w:val="19"/>
              </w:rPr>
              <w:t xml:space="preserve">R8</w:t>
            </w:r>
          </w:p>
        </w:tc>
        <w:tc>
          <w:tcPr>
            <w:tcW w:type="dxa" w:w="5000"/>
          </w:tcPr>
          <w:p>
            <w:pPr>
              <w:jc w:val="left"/>
            </w:pPr>
            <w:r>
              <w:rPr>
                <w:b w:val="false"/>
                <w:bCs w:val="false"/>
                <w:sz w:val="19"/>
                <w:szCs w:val="19"/>
              </w:rPr>
              <w:t xml:space="preserve">Insider misuse of legitimate clinical credentials on high-consequence devices</w:t>
            </w:r>
          </w:p>
        </w:tc>
        <w:tc>
          <w:tcPr>
            <w:tcW w:type="dxa" w:w="1450"/>
          </w:tcPr>
          <w:p>
            <w:pPr>
              <w:jc w:val="left"/>
            </w:pPr>
            <w:r>
              <w:rPr>
                <w:b w:val="false"/>
                <w:bCs w:val="false"/>
                <w:sz w:val="19"/>
                <w:szCs w:val="19"/>
              </w:rPr>
              <w:t xml:space="preserve">Low</w:t>
            </w:r>
          </w:p>
        </w:tc>
        <w:tc>
          <w:tcPr>
            <w:tcW w:type="dxa" w:w="1450"/>
          </w:tcPr>
          <w:p>
            <w:pPr>
              <w:jc w:val="left"/>
            </w:pPr>
            <w:r>
              <w:rPr>
                <w:b w:val="false"/>
                <w:bCs w:val="false"/>
                <w:sz w:val="19"/>
                <w:szCs w:val="19"/>
              </w:rPr>
              <w:t xml:space="preserve">High</w:t>
            </w:r>
          </w:p>
        </w:tc>
        <w:tc>
          <w:tcPr>
            <w:tcW w:type="dxa" w:w="1350"/>
          </w:tcPr>
          <w:p>
            <w:pPr>
              <w:jc w:val="left"/>
            </w:pPr>
            <w:r>
              <w:rPr>
                <w:b w:val="false"/>
                <w:bCs w:val="false"/>
                <w:sz w:val="19"/>
                <w:szCs w:val="19"/>
              </w:rPr>
              <w:t xml:space="preserve">Medium–High</w:t>
            </w:r>
          </w:p>
        </w:tc>
      </w:tr>
    </w:tbl>
    <w:p>
      <w:pPr>
        <w:spacing w:after="200"/>
      </w:pPr>
    </w:p>
    <w:p>
      <w:pPr>
        <w:pStyle w:val="Heading1"/>
        <w:spacing w:after="150" w:before="300"/>
      </w:pPr>
      <w:r>
        <w:t xml:space="preserve">8. Recommendations</w:t>
      </w:r>
    </w:p>
    <w:p>
      <w:pPr>
        <w:pStyle w:val="Heading2"/>
        <w:spacing w:after="100" w:before="220"/>
      </w:pPr>
      <w:r>
        <w:t xml:space="preserve">8.1 Technical Controls</w:t>
      </w:r>
    </w:p>
    <w:p>
      <w:pPr>
        <w:pStyle w:val="ListParagraph"/>
        <w:numPr>
          <w:ilvl w:val="0"/>
          <w:numId w:val="1"/>
        </w:numPr>
        <w:spacing w:after="60"/>
      </w:pPr>
      <w:r>
        <w:t xml:space="preserve">Encrypt all device-to-gateway and gateway-to-cloud traffic (TLS/DTLS with mutual certificate authentication); never rely on network isolation alone.</w:t>
      </w:r>
    </w:p>
    <w:p>
      <w:pPr>
        <w:pStyle w:val="ListParagraph"/>
        <w:numPr>
          <w:ilvl w:val="0"/>
          <w:numId w:val="1"/>
        </w:numPr>
        <w:spacing w:after="60"/>
      </w:pPr>
      <w:r>
        <w:t xml:space="preserve">Issue unique per-device credentials/certificates; enforce account lockout and rate-limit authentication attempts to blunt brute-force attacks (R4).</w:t>
      </w:r>
    </w:p>
    <w:p>
      <w:pPr>
        <w:pStyle w:val="ListParagraph"/>
        <w:numPr>
          <w:ilvl w:val="0"/>
          <w:numId w:val="1"/>
        </w:numPr>
        <w:spacing w:after="60"/>
      </w:pPr>
      <w:r>
        <w:t xml:space="preserve">Require signed firmware images with anti-rollback protection so devices cannot be downgraded to versions with known vulnerabilities (R2, R3).</w:t>
      </w:r>
    </w:p>
    <w:p>
      <w:pPr>
        <w:pStyle w:val="ListParagraph"/>
        <w:numPr>
          <w:ilvl w:val="0"/>
          <w:numId w:val="1"/>
        </w:numPr>
        <w:spacing w:after="60"/>
      </w:pPr>
      <w:r>
        <w:t xml:space="preserve">Add sequence numbers or timestamps with server-side freshness checks to reject replayed packets (R7).</w:t>
      </w:r>
    </w:p>
    <w:p>
      <w:pPr>
        <w:pStyle w:val="ListParagraph"/>
        <w:numPr>
          <w:ilvl w:val="0"/>
          <w:numId w:val="1"/>
        </w:numPr>
        <w:spacing w:after="60"/>
      </w:pPr>
      <w:r>
        <w:t xml:space="preserve">Enforce network allow-listing by hospital subnet and treat any device traffic from an unrecognized IP range as high-priority alert, not silently accepted data (R5).</w:t>
      </w:r>
    </w:p>
    <w:p>
      <w:pPr>
        <w:pStyle w:val="ListParagraph"/>
        <w:numPr>
          <w:ilvl w:val="0"/>
          <w:numId w:val="1"/>
        </w:numPr>
        <w:spacing w:after="60"/>
      </w:pPr>
      <w:r>
        <w:t xml:space="preserve">Deploy the rule-based detector as a first-line, low-false-positive filter, and layer an ML anomaly detector behind it to catch attacks with no existing signature — tune contamination/thresholds per device type rather than globally, since flag rates varied 7x across device types in this analysis.</w:t>
      </w:r>
    </w:p>
    <w:p>
      <w:pPr>
        <w:pStyle w:val="ListParagraph"/>
        <w:numPr>
          <w:ilvl w:val="0"/>
          <w:numId w:val="1"/>
        </w:numPr>
        <w:spacing w:after="60"/>
      </w:pPr>
      <w:r>
        <w:t xml:space="preserve">Apply rate limiting and anomaly-based throttling at the gateway to contain DoS bursts before they reach the backend (R6).</w:t>
      </w:r>
    </w:p>
    <w:p>
      <w:pPr>
        <w:pStyle w:val="Heading2"/>
        <w:spacing w:after="100" w:before="220"/>
      </w:pPr>
      <w:r>
        <w:t xml:space="preserve">8.2 Privacy / Governance Controls</w:t>
      </w:r>
    </w:p>
    <w:p>
      <w:pPr>
        <w:pStyle w:val="ListParagraph"/>
        <w:numPr>
          <w:ilvl w:val="0"/>
          <w:numId w:val="1"/>
        </w:numPr>
        <w:spacing w:after="60"/>
      </w:pPr>
      <w:r>
        <w:t xml:space="preserve">Treat ward + device type + timestamp as quasi-identifiers requiring the same access controls as PHI, given the k-anonymity findings in Section 6.2 (R1).</w:t>
      </w:r>
    </w:p>
    <w:p>
      <w:pPr>
        <w:pStyle w:val="ListParagraph"/>
        <w:numPr>
          <w:ilvl w:val="0"/>
          <w:numId w:val="1"/>
        </w:numPr>
        <w:spacing w:after="60"/>
      </w:pPr>
      <w:r>
        <w:t xml:space="preserve">Generalize or bucket timestamps (e.g., shift-level rather than exact time) and suppress ward detail for low-population wards before data leaves the primary clinical system for analytics, research, or vendor use.</w:t>
      </w:r>
    </w:p>
    <w:p>
      <w:pPr>
        <w:pStyle w:val="ListParagraph"/>
        <w:numPr>
          <w:ilvl w:val="0"/>
          <w:numId w:val="1"/>
        </w:numPr>
        <w:spacing w:after="60"/>
      </w:pPr>
      <w:r>
        <w:t xml:space="preserve">Apply data minimization: only forward the fields a downstream consumer (e.g., a billing or research system) actually needs, rather than the full telemetry record.</w:t>
      </w:r>
    </w:p>
    <w:p>
      <w:pPr>
        <w:pStyle w:val="ListParagraph"/>
        <w:numPr>
          <w:ilvl w:val="0"/>
          <w:numId w:val="1"/>
        </w:numPr>
        <w:spacing w:after="60"/>
      </w:pPr>
      <w:r>
        <w:t xml:space="preserve">Maintain an immutable audit log of all access to the telemetry and identity data stores, and review it against the STRIDE Repudiation and Information Disclosure categories on a regular cadence.</w:t>
      </w:r>
    </w:p>
    <w:p>
      <w:pPr>
        <w:pStyle w:val="ListParagraph"/>
        <w:numPr>
          <w:ilvl w:val="0"/>
          <w:numId w:val="1"/>
        </w:numPr>
        <w:spacing w:after="60"/>
      </w:pPr>
      <w:r>
        <w:t xml:space="preserve">Require dual authorization or an additional confirmation step for dosing-relevant configuration changes on infusion pumps, independent of network-layer controls (R3, R8).</w:t>
      </w:r>
    </w:p>
    <w:p>
      <w:pPr>
        <w:pStyle w:val="Heading2"/>
        <w:spacing w:after="100" w:before="220"/>
      </w:pPr>
      <w:r>
        <w:t xml:space="preserve">8.3 Priority Order</w:t>
      </w:r>
    </w:p>
    <w:p>
      <w:pPr>
        <w:spacing w:after="120"/>
      </w:pPr>
      <w:r>
        <w:t xml:space="preserve">Given the risk register in Section 7, remediation priority should be: (1) infusion-pump/dosing-device hardening and firmware integrity (R2, R3) given very-high clinical impact; (2) telemetry re-identification mitigation (R1) given it affects 100% of analyzed groups; (3) device authentication hardening (R4, R5); (4) availability/DoS controls (R6); (5) replay and insider-misuse controls (R7, R8).</w:t>
      </w:r>
    </w:p>
    <w:p>
      <w:pPr>
        <w:pStyle w:val="Heading1"/>
        <w:spacing w:after="150" w:before="300"/>
      </w:pPr>
      <w:r>
        <w:t xml:space="preserve">9. Conclusion</w:t>
      </w:r>
    </w:p>
    <w:p>
      <w:pPr>
        <w:spacing w:after="120"/>
      </w:pPr>
      <w:r>
        <w:t xml:space="preserve">This assessment demonstrates that combining synthetic telemetry generation, rule-based and ML-based anomaly detection, k-anonymity privacy analysis, and STRIDE/attack-tree threat modeling produces a concrete, evidence-based risk picture for a healthcare IoT deployment — without requiring access to real patient data. The clearest findings are that (a) known attack signatures are detected reliably by explainable rules, with ML anomaly detection serving as a complementary safety net for unknown attacks, and (b) metadata alone, not just direct identifiers, creates a severe patient re-identification risk that most healthcare IoT deployments do not currently treat as PHI. Both findings translate directly into the prioritized recommendations in Section 8.</w:t>
      </w:r>
    </w:p>
    <w:p>
      <w:r>
        <w:br w:type="page"/>
      </w:r>
    </w:p>
    <w:p>
      <w:pPr>
        <w:pStyle w:val="Heading1"/>
        <w:spacing w:after="150" w:before="300"/>
      </w:pPr>
      <w:r>
        <w:t xml:space="preserve">Appendix A: Deliverable Files</w:t>
      </w:r>
    </w:p>
    <w:p>
      <w:pPr>
        <w:pStyle w:val="ListParagraph"/>
        <w:numPr>
          <w:ilvl w:val="0"/>
          <w:numId w:val="1"/>
        </w:numPr>
        <w:spacing w:after="60"/>
      </w:pPr>
      <w:r>
        <w:t xml:space="preserve">scripts/generate_data.py — synthetic dataset generator with embedded attack/privacy patterns</w:t>
      </w:r>
    </w:p>
    <w:p>
      <w:pPr>
        <w:pStyle w:val="ListParagraph"/>
        <w:numPr>
          <w:ilvl w:val="0"/>
          <w:numId w:val="1"/>
        </w:numPr>
        <w:spacing w:after="60"/>
      </w:pPr>
      <w:r>
        <w:t xml:space="preserve">scripts/analysis.py — rule-based + Isolation Forest threat detection and evaluation</w:t>
      </w:r>
    </w:p>
    <w:p>
      <w:pPr>
        <w:pStyle w:val="ListParagraph"/>
        <w:numPr>
          <w:ilvl w:val="0"/>
          <w:numId w:val="1"/>
        </w:numPr>
        <w:spacing w:after="60"/>
      </w:pPr>
      <w:r>
        <w:t xml:space="preserve">scripts/privacy_analysis.py — k-anonymity re-identification analysis and data classification</w:t>
      </w:r>
    </w:p>
    <w:p>
      <w:pPr>
        <w:pStyle w:val="ListParagraph"/>
        <w:numPr>
          <w:ilvl w:val="0"/>
          <w:numId w:val="1"/>
        </w:numPr>
        <w:spacing w:after="60"/>
      </w:pPr>
      <w:r>
        <w:t xml:space="preserve">data/healthcare_iot_telemetry.csv — 20,872-row synthetic telemetry dataset</w:t>
      </w:r>
    </w:p>
    <w:p>
      <w:pPr>
        <w:pStyle w:val="ListParagraph"/>
        <w:numPr>
          <w:ilvl w:val="0"/>
          <w:numId w:val="1"/>
        </w:numPr>
        <w:spacing w:after="60"/>
      </w:pPr>
      <w:r>
        <w:t xml:space="preserve">data/device_inventory.csv — 72-device fleet metadata</w:t>
      </w:r>
    </w:p>
    <w:p>
      <w:pPr>
        <w:pStyle w:val="ListParagraph"/>
        <w:numPr>
          <w:ilvl w:val="0"/>
          <w:numId w:val="1"/>
        </w:numPr>
        <w:spacing w:after="60"/>
      </w:pPr>
      <w:r>
        <w:t xml:space="preserve">outputs/flagged_threats.csv — all detector-flagged events with STRIDE category and detection source</w:t>
      </w:r>
    </w:p>
    <w:p>
      <w:pPr>
        <w:pStyle w:val="ListParagraph"/>
        <w:numPr>
          <w:ilvl w:val="0"/>
          <w:numId w:val="1"/>
        </w:numPr>
        <w:spacing w:after="60"/>
      </w:pPr>
      <w:r>
        <w:t xml:space="preserve">outputs/detection_performance.csv, device_risk_summary.csv, k_anonymity_report.csv, data_classification.csv</w:t>
      </w:r>
    </w:p>
    <w:p>
      <w:pPr>
        <w:pStyle w:val="ListParagraph"/>
        <w:numPr>
          <w:ilvl w:val="0"/>
          <w:numId w:val="1"/>
        </w:numPr>
        <w:spacing w:after="60"/>
      </w:pPr>
      <w:r>
        <w:t xml:space="preserve">diagrams/dfd_stride_threat_model.drawio — data-flow diagram with STRIDE overlay (open in diagrams.net)</w:t>
      </w:r>
    </w:p>
    <w:p>
      <w:pPr>
        <w:pStyle w:val="ListParagraph"/>
        <w:numPr>
          <w:ilvl w:val="0"/>
          <w:numId w:val="1"/>
        </w:numPr>
        <w:spacing w:after="60"/>
      </w:pPr>
      <w:r>
        <w:t xml:space="preserve">diagrams/attack_tree_infusion_pump.drawio — attack tree for the infusion-pump compromise scenario</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288"/>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c3c675e0c854bf9aefff6d768adfc0c7ddc86ca.png"/><Relationship Id="rId8" Type="http://schemas.openxmlformats.org/officeDocument/2006/relationships/image" Target="media/dd9d47e7a8ab6317465a69c48fc04724331a5d6c.png"/><Relationship Id="rId9" Type="http://schemas.openxmlformats.org/officeDocument/2006/relationships/image" Target="media/8fa1b772ce472d700ee493025e39430211d465d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2026-10-05T11:01:40.215Z</dcterms:created>
  <dcterms:modified xsi:type="dcterms:W3CDTF">2026-10-05T11:01:40.216Z</dcterms:modified>
</cp:coreProperties>
</file>

<file path=docProps/custom.xml><?xml version="1.0" encoding="utf-8"?>
<Properties xmlns="http://schemas.openxmlformats.org/officeDocument/2006/custom-properties" xmlns:vt="http://schemas.openxmlformats.org/officeDocument/2006/docPropsVTypes"/>
</file>