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240"/>
      </w:pPr>
      <w:r>
        <w:rPr>
          <w:rFonts w:ascii="Segoe UI" w:hAnsi="Segoe UI"/>
          <w:b/>
          <w:color w:val="C89547"/>
          <w:sz w:val="20"/>
        </w:rPr>
        <w:t>INDUSTRY 4.0 SMART MANUFACTURING OPERATING SYSTEM</w:t>
      </w:r>
    </w:p>
    <w:p>
      <w:pPr>
        <w:spacing w:before="80" w:after="160"/>
      </w:pPr>
      <w:r>
        <w:rPr>
          <w:rFonts w:ascii="Segoe UI" w:hAnsi="Segoe UI"/>
          <w:b/>
          <w:color w:val="0F172A"/>
          <w:sz w:val="72"/>
        </w:rPr>
        <w:t>MaintenX-OS</w:t>
      </w:r>
    </w:p>
    <w:p>
      <w:pPr>
        <w:spacing w:before="0" w:after="400"/>
      </w:pPr>
      <w:r>
        <w:rPr>
          <w:rFonts w:ascii="Segoe UI" w:hAnsi="Segoe UI"/>
          <w:color w:val="1E3A8A"/>
          <w:sz w:val="26"/>
        </w:rPr>
        <w:t>Unified Enterprise Manufacturing Execution, Maintenance, Quality, Warehouse, Finite Planning &amp; Continuous Improvement Platform</w:t>
      </w:r>
    </w:p>
    <w:tbl>
      <w:tblPr>
        <w:tblW w:type="auto" w:w="0"/>
        <w:jc w:val="center"/>
        <w:tblLayout w:type="fixed"/>
        <w:tblLook w:firstColumn="1" w:firstRow="1" w:lastColumn="0" w:lastRow="0" w:noHBand="0" w:noVBand="1" w:val="04A0"/>
      </w:tblPr>
      <w:tblGrid>
        <w:gridCol w:w="9936"/>
      </w:tblGrid>
      <w:tr>
        <w:tc>
          <w:tcPr>
            <w:tcW w:type="dxa" w:w="9936"/>
            <w:shd w:fill="C89547"/>
            <w:tcMar>
              <w:top w:w="15" w:type="dxa"/>
              <w:bottom w:w="15" w:type="dxa"/>
              <w:left w:w="0" w:type="dxa"/>
              <w:right w:w="0" w:type="dxa"/>
            </w:tcMar>
          </w:tcPr>
          <w:p>
            <w:pPr>
              <w:spacing w:before="0" w:after="0"/>
            </w:pPr>
          </w:p>
        </w:tc>
      </w:tr>
    </w:tbl>
    <w:p>
      <w:pPr>
        <w:spacing w:before="560" w:after="0"/>
      </w:pPr>
    </w:p>
    <w:tbl>
      <w:tblPr>
        <w:tblW w:type="auto" w:w="0"/>
        <w:jc w:val="center"/>
        <w:tblLayout w:type="fixed"/>
        <w:tblLook w:firstColumn="1" w:firstRow="1" w:lastColumn="0" w:lastRow="0" w:noHBand="0" w:noVBand="1" w:val="04A0"/>
      </w:tblPr>
      <w:tblGrid>
        <w:gridCol w:w="4968"/>
        <w:gridCol w:w="4968"/>
      </w:tblGrid>
      <w:tr>
        <w:tc>
          <w:tcPr>
            <w:tcW w:type="dxa" w:w="3168"/>
            <w:shd w:fill="F8FAFC"/>
            <w:tcMar>
              <w:top w:w="80" w:type="dxa"/>
              <w:bottom w:w="80" w:type="dxa"/>
              <w:left w:w="120" w:type="dxa"/>
              <w:right w:w="120" w:type="dxa"/>
            </w:tcMar>
            <w:tcBorders>
              <w:top w:val="none"/>
              <w:left w:val="none"/>
              <w:bottom w:val="single" w:sz="4" w:space="0" w:color="CBD5E1"/>
              <w:right w:val="none"/>
            </w:tcBorders>
          </w:tcPr>
          <w:p>
            <w:pPr>
              <w:spacing w:after="0"/>
            </w:pPr>
            <w:r>
              <w:rPr>
                <w:rFonts w:ascii="Segoe UI" w:hAnsi="Segoe UI"/>
                <w:b/>
                <w:color w:val="0F172A"/>
                <w:sz w:val="19"/>
              </w:rPr>
              <w:t>Document Classification:</w:t>
            </w:r>
          </w:p>
        </w:tc>
        <w:tc>
          <w:tcPr>
            <w:tcW w:type="dxa" w:w="6768"/>
            <w:shd w:fill="F8FAFC"/>
            <w:tcMar>
              <w:top w:w="80" w:type="dxa"/>
              <w:bottom w:w="80" w:type="dxa"/>
              <w:left w:w="120" w:type="dxa"/>
              <w:right w:w="120" w:type="dxa"/>
            </w:tcMar>
            <w:tcBorders>
              <w:top w:val="none"/>
              <w:left w:val="none"/>
              <w:bottom w:val="single" w:sz="4" w:space="0" w:color="CBD5E1"/>
              <w:right w:val="none"/>
            </w:tcBorders>
          </w:tcPr>
          <w:p>
            <w:pPr>
              <w:spacing w:after="0"/>
            </w:pPr>
            <w:r>
              <w:rPr>
                <w:rFonts w:ascii="Segoe UI" w:hAnsi="Segoe UI"/>
                <w:color w:val="334155"/>
                <w:sz w:val="19"/>
              </w:rPr>
              <w:t>Commercial In-Confidence / Master Technical Architecture &amp; Handover</w:t>
            </w:r>
          </w:p>
        </w:tc>
      </w:tr>
      <w:tr>
        <w:tc>
          <w:tcPr>
            <w:tcW w:type="dxa" w:w="3168"/>
            <w:shd w:fill="F8FAFC"/>
            <w:tcMar>
              <w:top w:w="80" w:type="dxa"/>
              <w:bottom w:w="80" w:type="dxa"/>
              <w:left w:w="120" w:type="dxa"/>
              <w:right w:w="120" w:type="dxa"/>
            </w:tcMar>
            <w:tcBorders>
              <w:top w:val="none"/>
              <w:left w:val="none"/>
              <w:bottom w:val="single" w:sz="4" w:space="0" w:color="CBD5E1"/>
              <w:right w:val="none"/>
            </w:tcBorders>
          </w:tcPr>
          <w:p>
            <w:pPr>
              <w:spacing w:after="0"/>
            </w:pPr>
            <w:r>
              <w:rPr>
                <w:rFonts w:ascii="Segoe UI" w:hAnsi="Segoe UI"/>
                <w:b/>
                <w:color w:val="0F172A"/>
                <w:sz w:val="19"/>
              </w:rPr>
              <w:t>Target Audience:</w:t>
            </w:r>
          </w:p>
        </w:tc>
        <w:tc>
          <w:tcPr>
            <w:tcW w:type="dxa" w:w="6768"/>
            <w:shd w:fill="F8FAFC"/>
            <w:tcMar>
              <w:top w:w="80" w:type="dxa"/>
              <w:bottom w:w="80" w:type="dxa"/>
              <w:left w:w="120" w:type="dxa"/>
              <w:right w:w="120" w:type="dxa"/>
            </w:tcMar>
            <w:tcBorders>
              <w:top w:val="none"/>
              <w:left w:val="none"/>
              <w:bottom w:val="single" w:sz="4" w:space="0" w:color="CBD5E1"/>
              <w:right w:val="none"/>
            </w:tcBorders>
          </w:tcPr>
          <w:p>
            <w:pPr>
              <w:spacing w:after="0"/>
            </w:pPr>
            <w:r>
              <w:rPr>
                <w:rFonts w:ascii="Segoe UI" w:hAnsi="Segoe UI"/>
                <w:color w:val="334155"/>
                <w:sz w:val="19"/>
              </w:rPr>
              <w:t>Executive Leadership, Plant Directors, VP Operations, Engineering Leads, IT Architects</w:t>
            </w:r>
          </w:p>
        </w:tc>
      </w:tr>
      <w:tr>
        <w:tc>
          <w:tcPr>
            <w:tcW w:type="dxa" w:w="3168"/>
            <w:shd w:fill="F8FAFC"/>
            <w:tcMar>
              <w:top w:w="80" w:type="dxa"/>
              <w:bottom w:w="80" w:type="dxa"/>
              <w:left w:w="120" w:type="dxa"/>
              <w:right w:w="120" w:type="dxa"/>
            </w:tcMar>
            <w:tcBorders>
              <w:top w:val="none"/>
              <w:left w:val="none"/>
              <w:bottom w:val="single" w:sz="4" w:space="0" w:color="CBD5E1"/>
              <w:right w:val="none"/>
            </w:tcBorders>
          </w:tcPr>
          <w:p>
            <w:pPr>
              <w:spacing w:after="0"/>
            </w:pPr>
            <w:r>
              <w:rPr>
                <w:rFonts w:ascii="Segoe UI" w:hAnsi="Segoe UI"/>
                <w:b/>
                <w:color w:val="0F172A"/>
                <w:sz w:val="19"/>
              </w:rPr>
              <w:t>Platform Scope:</w:t>
            </w:r>
          </w:p>
        </w:tc>
        <w:tc>
          <w:tcPr>
            <w:tcW w:type="dxa" w:w="6768"/>
            <w:shd w:fill="F8FAFC"/>
            <w:tcMar>
              <w:top w:w="80" w:type="dxa"/>
              <w:bottom w:w="80" w:type="dxa"/>
              <w:left w:w="120" w:type="dxa"/>
              <w:right w:w="120" w:type="dxa"/>
            </w:tcMar>
            <w:tcBorders>
              <w:top w:val="none"/>
              <w:left w:val="none"/>
              <w:bottom w:val="single" w:sz="4" w:space="0" w:color="CBD5E1"/>
              <w:right w:val="none"/>
            </w:tcBorders>
          </w:tcPr>
          <w:p>
            <w:pPr>
              <w:spacing w:after="0"/>
            </w:pPr>
            <w:r>
              <w:rPr>
                <w:rFonts w:ascii="Segoe UI" w:hAnsi="Segoe UI"/>
                <w:color w:val="334155"/>
                <w:sz w:val="19"/>
              </w:rPr>
              <w:t>MES (Execution) • CMMS (Maintenance) • QMS (Quality) • WMS (Warehouse) • APS/MRP • CI</w:t>
            </w:r>
          </w:p>
        </w:tc>
      </w:tr>
      <w:tr>
        <w:tc>
          <w:tcPr>
            <w:tcW w:type="dxa" w:w="3168"/>
            <w:shd w:fill="F8FAFC"/>
            <w:tcMar>
              <w:top w:w="80" w:type="dxa"/>
              <w:bottom w:w="80" w:type="dxa"/>
              <w:left w:w="120" w:type="dxa"/>
              <w:right w:w="120" w:type="dxa"/>
            </w:tcMar>
            <w:tcBorders>
              <w:top w:val="none"/>
              <w:left w:val="none"/>
              <w:bottom w:val="single" w:sz="4" w:space="0" w:color="CBD5E1"/>
              <w:right w:val="none"/>
            </w:tcBorders>
          </w:tcPr>
          <w:p>
            <w:pPr>
              <w:spacing w:after="0"/>
            </w:pPr>
            <w:r>
              <w:rPr>
                <w:rFonts w:ascii="Segoe UI" w:hAnsi="Segoe UI"/>
                <w:b/>
                <w:color w:val="0F172A"/>
                <w:sz w:val="19"/>
              </w:rPr>
              <w:t>Current System Status:</w:t>
            </w:r>
          </w:p>
        </w:tc>
        <w:tc>
          <w:tcPr>
            <w:tcW w:type="dxa" w:w="6768"/>
            <w:shd w:fill="F8FAFC"/>
            <w:tcMar>
              <w:top w:w="80" w:type="dxa"/>
              <w:bottom w:w="80" w:type="dxa"/>
              <w:left w:w="120" w:type="dxa"/>
              <w:right w:w="120" w:type="dxa"/>
            </w:tcMar>
            <w:tcBorders>
              <w:top w:val="none"/>
              <w:left w:val="none"/>
              <w:bottom w:val="single" w:sz="4" w:space="0" w:color="CBD5E1"/>
              <w:right w:val="none"/>
            </w:tcBorders>
          </w:tcPr>
          <w:p>
            <w:pPr>
              <w:spacing w:after="0"/>
            </w:pPr>
            <w:r>
              <w:rPr>
                <w:rFonts w:ascii="Segoe UI" w:hAnsi="Segoe UI"/>
                <w:color w:val="334155"/>
                <w:sz w:val="19"/>
              </w:rPr>
              <w:t>Production-Ready Verified Release (100% Endpoint &amp; Workflow Pass Rate)</w:t>
            </w:r>
          </w:p>
        </w:tc>
      </w:tr>
      <w:tr>
        <w:tc>
          <w:tcPr>
            <w:tcW w:type="dxa" w:w="3168"/>
            <w:shd w:fill="F8FAFC"/>
            <w:tcMar>
              <w:top w:w="80" w:type="dxa"/>
              <w:bottom w:w="80" w:type="dxa"/>
              <w:left w:w="120" w:type="dxa"/>
              <w:right w:w="120" w:type="dxa"/>
            </w:tcMar>
            <w:tcBorders>
              <w:top w:val="none"/>
              <w:left w:val="none"/>
              <w:bottom w:val="single" w:sz="4" w:space="0" w:color="CBD5E1"/>
              <w:right w:val="none"/>
            </w:tcBorders>
          </w:tcPr>
          <w:p>
            <w:pPr>
              <w:spacing w:after="0"/>
            </w:pPr>
            <w:r>
              <w:rPr>
                <w:rFonts w:ascii="Segoe UI" w:hAnsi="Segoe UI"/>
                <w:b/>
                <w:color w:val="0F172A"/>
                <w:sz w:val="19"/>
              </w:rPr>
              <w:t>Release Version:</w:t>
            </w:r>
          </w:p>
        </w:tc>
        <w:tc>
          <w:tcPr>
            <w:tcW w:type="dxa" w:w="6768"/>
            <w:shd w:fill="F8FAFC"/>
            <w:tcMar>
              <w:top w:w="80" w:type="dxa"/>
              <w:bottom w:w="80" w:type="dxa"/>
              <w:left w:w="120" w:type="dxa"/>
              <w:right w:w="120" w:type="dxa"/>
            </w:tcMar>
            <w:tcBorders>
              <w:top w:val="none"/>
              <w:left w:val="none"/>
              <w:bottom w:val="single" w:sz="4" w:space="0" w:color="CBD5E1"/>
              <w:right w:val="none"/>
            </w:tcBorders>
          </w:tcPr>
          <w:p>
            <w:pPr>
              <w:spacing w:after="0"/>
            </w:pPr>
            <w:r>
              <w:rPr>
                <w:rFonts w:ascii="Segoe UI" w:hAnsi="Segoe UI"/>
                <w:color w:val="334155"/>
                <w:sz w:val="19"/>
              </w:rPr>
              <w:t>Version 1.0 — Enterprise Edition (Indore &amp; Global Plant Deployments)</w:t>
            </w:r>
          </w:p>
        </w:tc>
      </w:tr>
    </w:tbl>
    <w:p>
      <w:pPr>
        <w:spacing w:before="1000" w:after="0"/>
      </w:pPr>
      <w:r>
        <w:rPr>
          <w:rFonts w:ascii="Segoe UI" w:hAnsi="Segoe UI"/>
          <w:b/>
          <w:color w:val="94A3B8"/>
          <w:sz w:val="17"/>
        </w:rPr>
        <w:t>CONFIDENTIAL &amp; PROPRIETARY  •  ALL RIGHTS RESERVED</w:t>
      </w:r>
    </w:p>
    <w:p>
      <w:r>
        <w:br w:type="page"/>
      </w:r>
    </w:p>
    <w:p>
      <w:pPr>
        <w:pStyle w:val="Heading1"/>
        <w:keepNext/>
        <w:spacing w:before="360" w:after="120"/>
      </w:pPr>
      <w:r>
        <w:rPr>
          <w:rFonts w:ascii="Segoe UI" w:hAnsi="Segoe UI"/>
          <w:b/>
          <w:color w:val="0F172A"/>
          <w:sz w:val="34"/>
        </w:rPr>
        <w:t>Executive Document Roadmap &amp; Navigation</w:t>
      </w:r>
    </w:p>
    <w:p>
      <w:pPr>
        <w:spacing w:before="0" w:after="120" w:line="283" w:lineRule="auto"/>
      </w:pPr>
      <w:r>
        <w:rPr>
          <w:rFonts w:ascii="Segoe UI" w:hAnsi="Segoe UI"/>
          <w:b/>
          <w:color w:val="0F172A"/>
          <w:sz w:val="20"/>
        </w:rPr>
        <w:t xml:space="preserve">Purpose of this Document: </w:t>
      </w:r>
      <w:r>
        <w:rPr>
          <w:rFonts w:ascii="Segoe UI" w:hAnsi="Segoe UI"/>
          <w:color w:val="334155"/>
          <w:sz w:val="20"/>
        </w:rPr>
        <w:t>This master specification provides a complete, 360-degree architectural and operational overview of MaintenX-OS. It is designed to serve both business decision-makers (understanding ROI, operational control, and compliance) and technical evaluators (validating schema models, REST APIs, mathematical engines, and resilience).</w:t>
      </w:r>
    </w:p>
    <w:tbl>
      <w:tblPr>
        <w:tblW w:type="auto" w:w="0"/>
        <w:jc w:val="center"/>
        <w:tblLayout w:type="fixed"/>
        <w:tblLook w:firstColumn="1" w:firstRow="1" w:lastColumn="0" w:lastRow="0" w:noHBand="0" w:noVBand="1" w:val="04A0"/>
      </w:tblPr>
      <w:tblGrid>
        <w:gridCol w:w="3312"/>
        <w:gridCol w:w="3312"/>
        <w:gridCol w:w="3312"/>
      </w:tblGrid>
      <w:tr>
        <w:tc>
          <w:tcPr>
            <w:tcW w:type="dxa" w:w="1584"/>
            <w:shd w:fill="0F172A"/>
            <w:tcMar>
              <w:top w:w="130" w:type="dxa"/>
              <w:bottom w:w="130" w:type="dxa"/>
              <w:left w:w="140" w:type="dxa"/>
              <w:right w:w="140" w:type="dxa"/>
            </w:tcMar>
            <w:tcBorders>
              <w:top w:val="single" w:sz="4" w:space="0" w:color="0F172A"/>
              <w:left w:val="none"/>
              <w:bottom w:val="single" w:sz="10" w:space="0" w:color="C89547"/>
              <w:right w:val="none"/>
            </w:tcBorders>
          </w:tcPr>
          <w:p>
            <w:pPr>
              <w:spacing w:before="0" w:after="0"/>
              <w:jc w:val="center"/>
            </w:pPr>
            <w:r>
              <w:rPr>
                <w:rFonts w:ascii="Segoe UI" w:hAnsi="Segoe UI"/>
                <w:b/>
                <w:color w:val="FFFFFF"/>
                <w:sz w:val="19"/>
              </w:rPr>
              <w:t>Section</w:t>
            </w:r>
          </w:p>
        </w:tc>
        <w:tc>
          <w:tcPr>
            <w:tcW w:type="dxa" w:w="3312"/>
            <w:shd w:fill="0F172A"/>
            <w:tcMar>
              <w:top w:w="130" w:type="dxa"/>
              <w:bottom w:w="130" w:type="dxa"/>
              <w:left w:w="140" w:type="dxa"/>
              <w:right w:w="140" w:type="dxa"/>
            </w:tcMar>
            <w:tcBorders>
              <w:top w:val="single" w:sz="4" w:space="0" w:color="0F172A"/>
              <w:left w:val="none"/>
              <w:bottom w:val="single" w:sz="10" w:space="0" w:color="C89547"/>
              <w:right w:val="none"/>
            </w:tcBorders>
          </w:tcPr>
          <w:p>
            <w:pPr>
              <w:spacing w:before="0" w:after="0"/>
            </w:pPr>
            <w:r>
              <w:rPr>
                <w:rFonts w:ascii="Segoe UI" w:hAnsi="Segoe UI"/>
                <w:b/>
                <w:color w:val="FFFFFF"/>
                <w:sz w:val="19"/>
              </w:rPr>
              <w:t>Title</w:t>
            </w:r>
          </w:p>
        </w:tc>
        <w:tc>
          <w:tcPr>
            <w:tcW w:type="dxa" w:w="5040"/>
            <w:shd w:fill="0F172A"/>
            <w:tcMar>
              <w:top w:w="130" w:type="dxa"/>
              <w:bottom w:w="130" w:type="dxa"/>
              <w:left w:w="140" w:type="dxa"/>
              <w:right w:w="140" w:type="dxa"/>
            </w:tcMar>
            <w:tcBorders>
              <w:top w:val="single" w:sz="4" w:space="0" w:color="0F172A"/>
              <w:left w:val="none"/>
              <w:bottom w:val="single" w:sz="10" w:space="0" w:color="C89547"/>
              <w:right w:val="none"/>
            </w:tcBorders>
          </w:tcPr>
          <w:p>
            <w:pPr>
              <w:spacing w:before="0" w:after="0"/>
            </w:pPr>
            <w:r>
              <w:rPr>
                <w:rFonts w:ascii="Segoe UI" w:hAnsi="Segoe UI"/>
                <w:b/>
                <w:color w:val="FFFFFF"/>
                <w:sz w:val="19"/>
              </w:rPr>
              <w:t>Executive Overview &amp; Coverage</w:t>
            </w:r>
          </w:p>
        </w:tc>
      </w:tr>
      <w:tr>
        <w:tc>
          <w:tcPr>
            <w:tcW w:type="dxa" w:w="1584"/>
            <w:shd w:fill="FFFFFF"/>
            <w:tcMar>
              <w:top w:w="100" w:type="dxa"/>
              <w:bottom w:w="100" w:type="dxa"/>
              <w:left w:w="140" w:type="dxa"/>
              <w:right w:w="140" w:type="dxa"/>
            </w:tcMar>
            <w:tcBorders>
              <w:top w:val="none"/>
              <w:left w:val="none"/>
              <w:bottom w:val="single" w:sz="4" w:space="0" w:color="CBD5E1"/>
              <w:right w:val="none"/>
            </w:tcBorders>
          </w:tcPr>
          <w:p>
            <w:pPr>
              <w:spacing w:before="0" w:after="0" w:line="269" w:lineRule="auto"/>
              <w:jc w:val="center"/>
            </w:pPr>
            <w:r>
              <w:rPr>
                <w:rFonts w:ascii="Segoe UI" w:hAnsi="Segoe UI"/>
                <w:color w:val="334155"/>
                <w:sz w:val="18"/>
              </w:rPr>
              <w:t>Section 1</w:t>
            </w:r>
          </w:p>
        </w:tc>
        <w:tc>
          <w:tcPr>
            <w:tcW w:type="dxa" w:w="3312"/>
            <w:shd w:fill="FFFFFF"/>
            <w:tcMar>
              <w:top w:w="100" w:type="dxa"/>
              <w:bottom w:w="100" w:type="dxa"/>
              <w:left w:w="140" w:type="dxa"/>
              <w:right w:w="140" w:type="dxa"/>
            </w:tcMar>
            <w:tcBorders>
              <w:top w:val="none"/>
              <w:left w:val="none"/>
              <w:bottom w:val="single" w:sz="4" w:space="0" w:color="CBD5E1"/>
              <w:right w:val="none"/>
            </w:tcBorders>
          </w:tcPr>
          <w:p>
            <w:pPr>
              <w:spacing w:before="0" w:after="0" w:line="269" w:lineRule="auto"/>
            </w:pPr>
            <w:r>
              <w:rPr>
                <w:rFonts w:ascii="Segoe UI" w:hAnsi="Segoe UI"/>
                <w:color w:val="334155"/>
                <w:sz w:val="18"/>
              </w:rPr>
              <w:t>Executive Summary &amp; Business Vision</w:t>
            </w:r>
          </w:p>
        </w:tc>
        <w:tc>
          <w:tcPr>
            <w:tcW w:type="dxa" w:w="5040"/>
            <w:shd w:fill="FFFFFF"/>
            <w:tcMar>
              <w:top w:w="100" w:type="dxa"/>
              <w:bottom w:w="100" w:type="dxa"/>
              <w:left w:w="140" w:type="dxa"/>
              <w:right w:w="140" w:type="dxa"/>
            </w:tcMar>
            <w:tcBorders>
              <w:top w:val="none"/>
              <w:left w:val="none"/>
              <w:bottom w:val="single" w:sz="4" w:space="0" w:color="CBD5E1"/>
              <w:right w:val="none"/>
            </w:tcBorders>
          </w:tcPr>
          <w:p>
            <w:pPr>
              <w:spacing w:before="0" w:after="0" w:line="269" w:lineRule="auto"/>
            </w:pPr>
            <w:r>
              <w:rPr>
                <w:rFonts w:ascii="Segoe UI" w:hAnsi="Segoe UI"/>
                <w:color w:val="334155"/>
                <w:sz w:val="18"/>
              </w:rPr>
              <w:t>Core plant challenges solved, strategic ROI, and key operational impact metrics.</w:t>
            </w:r>
          </w:p>
        </w:tc>
      </w:tr>
      <w:tr>
        <w:tc>
          <w:tcPr>
            <w:tcW w:type="dxa" w:w="1584"/>
            <w:shd w:fill="F8FAFC"/>
            <w:tcMar>
              <w:top w:w="100" w:type="dxa"/>
              <w:bottom w:w="100" w:type="dxa"/>
              <w:left w:w="140" w:type="dxa"/>
              <w:right w:w="140" w:type="dxa"/>
            </w:tcMar>
            <w:tcBorders>
              <w:top w:val="none"/>
              <w:left w:val="none"/>
              <w:bottom w:val="single" w:sz="4" w:space="0" w:color="CBD5E1"/>
              <w:right w:val="none"/>
            </w:tcBorders>
          </w:tcPr>
          <w:p>
            <w:pPr>
              <w:spacing w:before="0" w:after="0" w:line="269" w:lineRule="auto"/>
              <w:jc w:val="center"/>
            </w:pPr>
            <w:r>
              <w:rPr>
                <w:rFonts w:ascii="Segoe UI" w:hAnsi="Segoe UI"/>
                <w:color w:val="334155"/>
                <w:sz w:val="18"/>
              </w:rPr>
              <w:t>Section 2</w:t>
            </w:r>
          </w:p>
        </w:tc>
        <w:tc>
          <w:tcPr>
            <w:tcW w:type="dxa" w:w="3312"/>
            <w:shd w:fill="F8FAFC"/>
            <w:tcMar>
              <w:top w:w="100" w:type="dxa"/>
              <w:bottom w:w="100" w:type="dxa"/>
              <w:left w:w="140" w:type="dxa"/>
              <w:right w:w="140" w:type="dxa"/>
            </w:tcMar>
            <w:tcBorders>
              <w:top w:val="none"/>
              <w:left w:val="none"/>
              <w:bottom w:val="single" w:sz="4" w:space="0" w:color="CBD5E1"/>
              <w:right w:val="none"/>
            </w:tcBorders>
          </w:tcPr>
          <w:p>
            <w:pPr>
              <w:spacing w:before="0" w:after="0" w:line="269" w:lineRule="auto"/>
            </w:pPr>
            <w:r>
              <w:rPr>
                <w:rFonts w:ascii="Segoe UI" w:hAnsi="Segoe UI"/>
                <w:color w:val="334155"/>
                <w:sz w:val="18"/>
              </w:rPr>
              <w:t>Technology Stack &amp; Enterprise Standards</w:t>
            </w:r>
          </w:p>
        </w:tc>
        <w:tc>
          <w:tcPr>
            <w:tcW w:type="dxa" w:w="5040"/>
            <w:shd w:fill="F8FAFC"/>
            <w:tcMar>
              <w:top w:w="100" w:type="dxa"/>
              <w:bottom w:w="100" w:type="dxa"/>
              <w:left w:w="140" w:type="dxa"/>
              <w:right w:w="140" w:type="dxa"/>
            </w:tcMar>
            <w:tcBorders>
              <w:top w:val="none"/>
              <w:left w:val="none"/>
              <w:bottom w:val="single" w:sz="4" w:space="0" w:color="CBD5E1"/>
              <w:right w:val="none"/>
            </w:tcBorders>
          </w:tcPr>
          <w:p>
            <w:pPr>
              <w:spacing w:before="0" w:after="0" w:line="269" w:lineRule="auto"/>
            </w:pPr>
            <w:r>
              <w:rPr>
                <w:rFonts w:ascii="Segoe UI" w:hAnsi="Segoe UI"/>
                <w:color w:val="334155"/>
                <w:sz w:val="18"/>
              </w:rPr>
              <w:t>Comprehensive analysis of Frontend, Fastify Backend, PostgreSQL, Security &amp; Resilience.</w:t>
            </w:r>
          </w:p>
        </w:tc>
      </w:tr>
      <w:tr>
        <w:tc>
          <w:tcPr>
            <w:tcW w:type="dxa" w:w="1584"/>
            <w:shd w:fill="FFFFFF"/>
            <w:tcMar>
              <w:top w:w="100" w:type="dxa"/>
              <w:bottom w:w="100" w:type="dxa"/>
              <w:left w:w="140" w:type="dxa"/>
              <w:right w:w="140" w:type="dxa"/>
            </w:tcMar>
            <w:tcBorders>
              <w:top w:val="none"/>
              <w:left w:val="none"/>
              <w:bottom w:val="single" w:sz="4" w:space="0" w:color="CBD5E1"/>
              <w:right w:val="none"/>
            </w:tcBorders>
          </w:tcPr>
          <w:p>
            <w:pPr>
              <w:spacing w:before="0" w:after="0" w:line="269" w:lineRule="auto"/>
              <w:jc w:val="center"/>
            </w:pPr>
            <w:r>
              <w:rPr>
                <w:rFonts w:ascii="Segoe UI" w:hAnsi="Segoe UI"/>
                <w:color w:val="334155"/>
                <w:sz w:val="18"/>
              </w:rPr>
              <w:t>Section 3</w:t>
            </w:r>
          </w:p>
        </w:tc>
        <w:tc>
          <w:tcPr>
            <w:tcW w:type="dxa" w:w="3312"/>
            <w:shd w:fill="FFFFFF"/>
            <w:tcMar>
              <w:top w:w="100" w:type="dxa"/>
              <w:bottom w:w="100" w:type="dxa"/>
              <w:left w:w="140" w:type="dxa"/>
              <w:right w:w="140" w:type="dxa"/>
            </w:tcMar>
            <w:tcBorders>
              <w:top w:val="none"/>
              <w:left w:val="none"/>
              <w:bottom w:val="single" w:sz="4" w:space="0" w:color="CBD5E1"/>
              <w:right w:val="none"/>
            </w:tcBorders>
          </w:tcPr>
          <w:p>
            <w:pPr>
              <w:spacing w:before="0" w:after="0" w:line="269" w:lineRule="auto"/>
            </w:pPr>
            <w:r>
              <w:rPr>
                <w:rFonts w:ascii="Segoe UI" w:hAnsi="Segoe UI"/>
                <w:color w:val="334155"/>
                <w:sz w:val="18"/>
              </w:rPr>
              <w:t>High-Level System Architecture &amp; Topology</w:t>
            </w:r>
          </w:p>
        </w:tc>
        <w:tc>
          <w:tcPr>
            <w:tcW w:type="dxa" w:w="5040"/>
            <w:shd w:fill="FFFFFF"/>
            <w:tcMar>
              <w:top w:w="100" w:type="dxa"/>
              <w:bottom w:w="100" w:type="dxa"/>
              <w:left w:w="140" w:type="dxa"/>
              <w:right w:w="140" w:type="dxa"/>
            </w:tcMar>
            <w:tcBorders>
              <w:top w:val="none"/>
              <w:left w:val="none"/>
              <w:bottom w:val="single" w:sz="4" w:space="0" w:color="CBD5E1"/>
              <w:right w:val="none"/>
            </w:tcBorders>
          </w:tcPr>
          <w:p>
            <w:pPr>
              <w:spacing w:before="0" w:after="0" w:line="269" w:lineRule="auto"/>
            </w:pPr>
            <w:r>
              <w:rPr>
                <w:rFonts w:ascii="Segoe UI" w:hAnsi="Segoe UI"/>
                <w:color w:val="334155"/>
                <w:sz w:val="18"/>
              </w:rPr>
              <w:t>Three-tier architecture diagram, data synchronization, and dual-engine failover protection.</w:t>
            </w:r>
          </w:p>
        </w:tc>
      </w:tr>
      <w:tr>
        <w:tc>
          <w:tcPr>
            <w:tcW w:type="dxa" w:w="1584"/>
            <w:shd w:fill="F8FAFC"/>
            <w:tcMar>
              <w:top w:w="100" w:type="dxa"/>
              <w:bottom w:w="100" w:type="dxa"/>
              <w:left w:w="140" w:type="dxa"/>
              <w:right w:w="140" w:type="dxa"/>
            </w:tcMar>
            <w:tcBorders>
              <w:top w:val="none"/>
              <w:left w:val="none"/>
              <w:bottom w:val="single" w:sz="4" w:space="0" w:color="CBD5E1"/>
              <w:right w:val="none"/>
            </w:tcBorders>
          </w:tcPr>
          <w:p>
            <w:pPr>
              <w:spacing w:before="0" w:after="0" w:line="269" w:lineRule="auto"/>
              <w:jc w:val="center"/>
            </w:pPr>
            <w:r>
              <w:rPr>
                <w:rFonts w:ascii="Segoe UI" w:hAnsi="Segoe UI"/>
                <w:color w:val="334155"/>
                <w:sz w:val="18"/>
              </w:rPr>
              <w:t>Section 4</w:t>
            </w:r>
          </w:p>
        </w:tc>
        <w:tc>
          <w:tcPr>
            <w:tcW w:type="dxa" w:w="3312"/>
            <w:shd w:fill="F8FAFC"/>
            <w:tcMar>
              <w:top w:w="100" w:type="dxa"/>
              <w:bottom w:w="100" w:type="dxa"/>
              <w:left w:w="140" w:type="dxa"/>
              <w:right w:w="140" w:type="dxa"/>
            </w:tcMar>
            <w:tcBorders>
              <w:top w:val="none"/>
              <w:left w:val="none"/>
              <w:bottom w:val="single" w:sz="4" w:space="0" w:color="CBD5E1"/>
              <w:right w:val="none"/>
            </w:tcBorders>
          </w:tcPr>
          <w:p>
            <w:pPr>
              <w:spacing w:before="0" w:after="0" w:line="269" w:lineRule="auto"/>
            </w:pPr>
            <w:r>
              <w:rPr>
                <w:rFonts w:ascii="Segoe UI" w:hAnsi="Segoe UI"/>
                <w:color w:val="334155"/>
                <w:sz w:val="18"/>
              </w:rPr>
              <w:t>Master Data Architecture (Enterprise Foundation)</w:t>
            </w:r>
          </w:p>
        </w:tc>
        <w:tc>
          <w:tcPr>
            <w:tcW w:type="dxa" w:w="5040"/>
            <w:shd w:fill="F8FAFC"/>
            <w:tcMar>
              <w:top w:w="100" w:type="dxa"/>
              <w:bottom w:w="100" w:type="dxa"/>
              <w:left w:w="140" w:type="dxa"/>
              <w:right w:w="140" w:type="dxa"/>
            </w:tcMar>
            <w:tcBorders>
              <w:top w:val="none"/>
              <w:left w:val="none"/>
              <w:bottom w:val="single" w:sz="4" w:space="0" w:color="CBD5E1"/>
              <w:right w:val="none"/>
            </w:tcBorders>
          </w:tcPr>
          <w:p>
            <w:pPr>
              <w:spacing w:before="0" w:after="0" w:line="269" w:lineRule="auto"/>
            </w:pPr>
            <w:r>
              <w:rPr>
                <w:rFonts w:ascii="Segoe UI" w:hAnsi="Segoe UI"/>
                <w:color w:val="334155"/>
                <w:sz w:val="18"/>
              </w:rPr>
              <w:t>Plants, Lines, Work Centers, Storage Nodes, SKUs, BOMs, Routings, and Standards.</w:t>
            </w:r>
          </w:p>
        </w:tc>
      </w:tr>
      <w:tr>
        <w:tc>
          <w:tcPr>
            <w:tcW w:type="dxa" w:w="1584"/>
            <w:shd w:fill="FFFFFF"/>
            <w:tcMar>
              <w:top w:w="100" w:type="dxa"/>
              <w:bottom w:w="100" w:type="dxa"/>
              <w:left w:w="140" w:type="dxa"/>
              <w:right w:w="140" w:type="dxa"/>
            </w:tcMar>
            <w:tcBorders>
              <w:top w:val="none"/>
              <w:left w:val="none"/>
              <w:bottom w:val="single" w:sz="4" w:space="0" w:color="CBD5E1"/>
              <w:right w:val="none"/>
            </w:tcBorders>
          </w:tcPr>
          <w:p>
            <w:pPr>
              <w:spacing w:before="0" w:after="0" w:line="269" w:lineRule="auto"/>
              <w:jc w:val="center"/>
            </w:pPr>
            <w:r>
              <w:rPr>
                <w:rFonts w:ascii="Segoe UI" w:hAnsi="Segoe UI"/>
                <w:color w:val="334155"/>
                <w:sz w:val="18"/>
              </w:rPr>
              <w:t>Section 5</w:t>
            </w:r>
          </w:p>
        </w:tc>
        <w:tc>
          <w:tcPr>
            <w:tcW w:type="dxa" w:w="3312"/>
            <w:shd w:fill="FFFFFF"/>
            <w:tcMar>
              <w:top w:w="100" w:type="dxa"/>
              <w:bottom w:w="100" w:type="dxa"/>
              <w:left w:w="140" w:type="dxa"/>
              <w:right w:w="140" w:type="dxa"/>
            </w:tcMar>
            <w:tcBorders>
              <w:top w:val="none"/>
              <w:left w:val="none"/>
              <w:bottom w:val="single" w:sz="4" w:space="0" w:color="CBD5E1"/>
              <w:right w:val="none"/>
            </w:tcBorders>
          </w:tcPr>
          <w:p>
            <w:pPr>
              <w:spacing w:before="0" w:after="0" w:line="269" w:lineRule="auto"/>
            </w:pPr>
            <w:r>
              <w:rPr>
                <w:rFonts w:ascii="Segoe UI" w:hAnsi="Segoe UI"/>
                <w:color w:val="334155"/>
                <w:sz w:val="18"/>
              </w:rPr>
              <w:t>The 8 Dedicated Operational Workspaces</w:t>
            </w:r>
          </w:p>
        </w:tc>
        <w:tc>
          <w:tcPr>
            <w:tcW w:type="dxa" w:w="5040"/>
            <w:shd w:fill="FFFFFF"/>
            <w:tcMar>
              <w:top w:w="100" w:type="dxa"/>
              <w:bottom w:w="100" w:type="dxa"/>
              <w:left w:w="140" w:type="dxa"/>
              <w:right w:w="140" w:type="dxa"/>
            </w:tcMar>
            <w:tcBorders>
              <w:top w:val="none"/>
              <w:left w:val="none"/>
              <w:bottom w:val="single" w:sz="4" w:space="0" w:color="CBD5E1"/>
              <w:right w:val="none"/>
            </w:tcBorders>
          </w:tcPr>
          <w:p>
            <w:pPr>
              <w:spacing w:before="0" w:after="0" w:line="269" w:lineRule="auto"/>
            </w:pPr>
            <w:r>
              <w:rPr>
                <w:rFonts w:ascii="Segoe UI" w:hAnsi="Segoe UI"/>
                <w:color w:val="334155"/>
                <w:sz w:val="18"/>
              </w:rPr>
              <w:t>Full breakdown of Portals: Executive Command, MES Floor, APS/MRP, CI Lean, QMS, CMMS, WMS, Admin.</w:t>
            </w:r>
          </w:p>
        </w:tc>
      </w:tr>
      <w:tr>
        <w:tc>
          <w:tcPr>
            <w:tcW w:type="dxa" w:w="1584"/>
            <w:shd w:fill="F8FAFC"/>
            <w:tcMar>
              <w:top w:w="100" w:type="dxa"/>
              <w:bottom w:w="100" w:type="dxa"/>
              <w:left w:w="140" w:type="dxa"/>
              <w:right w:w="140" w:type="dxa"/>
            </w:tcMar>
            <w:tcBorders>
              <w:top w:val="none"/>
              <w:left w:val="none"/>
              <w:bottom w:val="single" w:sz="4" w:space="0" w:color="CBD5E1"/>
              <w:right w:val="none"/>
            </w:tcBorders>
          </w:tcPr>
          <w:p>
            <w:pPr>
              <w:spacing w:before="0" w:after="0" w:line="269" w:lineRule="auto"/>
              <w:jc w:val="center"/>
            </w:pPr>
            <w:r>
              <w:rPr>
                <w:rFonts w:ascii="Segoe UI" w:hAnsi="Segoe UI"/>
                <w:color w:val="334155"/>
                <w:sz w:val="18"/>
              </w:rPr>
              <w:t>Section 6</w:t>
            </w:r>
          </w:p>
        </w:tc>
        <w:tc>
          <w:tcPr>
            <w:tcW w:type="dxa" w:w="3312"/>
            <w:shd w:fill="F8FAFC"/>
            <w:tcMar>
              <w:top w:w="100" w:type="dxa"/>
              <w:bottom w:w="100" w:type="dxa"/>
              <w:left w:w="140" w:type="dxa"/>
              <w:right w:w="140" w:type="dxa"/>
            </w:tcMar>
            <w:tcBorders>
              <w:top w:val="none"/>
              <w:left w:val="none"/>
              <w:bottom w:val="single" w:sz="4" w:space="0" w:color="CBD5E1"/>
              <w:right w:val="none"/>
            </w:tcBorders>
          </w:tcPr>
          <w:p>
            <w:pPr>
              <w:spacing w:before="0" w:after="0" w:line="269" w:lineRule="auto"/>
            </w:pPr>
            <w:r>
              <w:rPr>
                <w:rFonts w:ascii="Segoe UI" w:hAnsi="Segoe UI"/>
                <w:color w:val="334155"/>
                <w:sz w:val="18"/>
              </w:rPr>
              <w:t>Complete Catalog of All 73 Database Tables</w:t>
            </w:r>
          </w:p>
        </w:tc>
        <w:tc>
          <w:tcPr>
            <w:tcW w:type="dxa" w:w="5040"/>
            <w:shd w:fill="F8FAFC"/>
            <w:tcMar>
              <w:top w:w="100" w:type="dxa"/>
              <w:bottom w:w="100" w:type="dxa"/>
              <w:left w:w="140" w:type="dxa"/>
              <w:right w:w="140" w:type="dxa"/>
            </w:tcMar>
            <w:tcBorders>
              <w:top w:val="none"/>
              <w:left w:val="none"/>
              <w:bottom w:val="single" w:sz="4" w:space="0" w:color="CBD5E1"/>
              <w:right w:val="none"/>
            </w:tcBorders>
          </w:tcPr>
          <w:p>
            <w:pPr>
              <w:spacing w:before="0" w:after="0" w:line="269" w:lineRule="auto"/>
            </w:pPr>
            <w:r>
              <w:rPr>
                <w:rFonts w:ascii="Segoe UI" w:hAnsi="Segoe UI"/>
                <w:color w:val="334155"/>
                <w:sz w:val="18"/>
              </w:rPr>
              <w:t>Exhaustive table directory across 11 functional domains with operational purpose and contents.</w:t>
            </w:r>
          </w:p>
        </w:tc>
      </w:tr>
      <w:tr>
        <w:tc>
          <w:tcPr>
            <w:tcW w:type="dxa" w:w="1584"/>
            <w:shd w:fill="FFFFFF"/>
            <w:tcMar>
              <w:top w:w="100" w:type="dxa"/>
              <w:bottom w:w="100" w:type="dxa"/>
              <w:left w:w="140" w:type="dxa"/>
              <w:right w:w="140" w:type="dxa"/>
            </w:tcMar>
            <w:tcBorders>
              <w:top w:val="none"/>
              <w:left w:val="none"/>
              <w:bottom w:val="single" w:sz="4" w:space="0" w:color="CBD5E1"/>
              <w:right w:val="none"/>
            </w:tcBorders>
          </w:tcPr>
          <w:p>
            <w:pPr>
              <w:spacing w:before="0" w:after="0" w:line="269" w:lineRule="auto"/>
              <w:jc w:val="center"/>
            </w:pPr>
            <w:r>
              <w:rPr>
                <w:rFonts w:ascii="Segoe UI" w:hAnsi="Segoe UI"/>
                <w:color w:val="334155"/>
                <w:sz w:val="18"/>
              </w:rPr>
              <w:t>Section 7</w:t>
            </w:r>
          </w:p>
        </w:tc>
        <w:tc>
          <w:tcPr>
            <w:tcW w:type="dxa" w:w="3312"/>
            <w:shd w:fill="FFFFFF"/>
            <w:tcMar>
              <w:top w:w="100" w:type="dxa"/>
              <w:bottom w:w="100" w:type="dxa"/>
              <w:left w:w="140" w:type="dxa"/>
              <w:right w:w="140" w:type="dxa"/>
            </w:tcMar>
            <w:tcBorders>
              <w:top w:val="none"/>
              <w:left w:val="none"/>
              <w:bottom w:val="single" w:sz="4" w:space="0" w:color="CBD5E1"/>
              <w:right w:val="none"/>
            </w:tcBorders>
          </w:tcPr>
          <w:p>
            <w:pPr>
              <w:spacing w:before="0" w:after="0" w:line="269" w:lineRule="auto"/>
            </w:pPr>
            <w:r>
              <w:rPr>
                <w:rFonts w:ascii="Segoe UI" w:hAnsi="Segoe UI"/>
                <w:color w:val="334155"/>
                <w:sz w:val="18"/>
              </w:rPr>
              <w:t>End-to-End Operational Lifecycle ('Life of an Order')</w:t>
            </w:r>
          </w:p>
        </w:tc>
        <w:tc>
          <w:tcPr>
            <w:tcW w:type="dxa" w:w="5040"/>
            <w:shd w:fill="FFFFFF"/>
            <w:tcMar>
              <w:top w:w="100" w:type="dxa"/>
              <w:bottom w:w="100" w:type="dxa"/>
              <w:left w:w="140" w:type="dxa"/>
              <w:right w:w="140" w:type="dxa"/>
            </w:tcMar>
            <w:tcBorders>
              <w:top w:val="none"/>
              <w:left w:val="none"/>
              <w:bottom w:val="single" w:sz="4" w:space="0" w:color="CBD5E1"/>
              <w:right w:val="none"/>
            </w:tcBorders>
          </w:tcPr>
          <w:p>
            <w:pPr>
              <w:spacing w:before="0" w:after="0" w:line="269" w:lineRule="auto"/>
            </w:pPr>
            <w:r>
              <w:rPr>
                <w:rFonts w:ascii="Segoe UI" w:hAnsi="Segoe UI"/>
                <w:color w:val="334155"/>
                <w:sz w:val="18"/>
              </w:rPr>
              <w:t>Step-by-step chronological walkthrough from Customer Demand to MRP, Floor eBR, CCP, QA Release &amp; Dispatch.</w:t>
            </w:r>
          </w:p>
        </w:tc>
      </w:tr>
      <w:tr>
        <w:tc>
          <w:tcPr>
            <w:tcW w:type="dxa" w:w="1584"/>
            <w:shd w:fill="F8FAFC"/>
            <w:tcMar>
              <w:top w:w="100" w:type="dxa"/>
              <w:bottom w:w="100" w:type="dxa"/>
              <w:left w:w="140" w:type="dxa"/>
              <w:right w:w="140" w:type="dxa"/>
            </w:tcMar>
            <w:tcBorders>
              <w:top w:val="none"/>
              <w:left w:val="none"/>
              <w:bottom w:val="single" w:sz="4" w:space="0" w:color="CBD5E1"/>
              <w:right w:val="none"/>
            </w:tcBorders>
          </w:tcPr>
          <w:p>
            <w:pPr>
              <w:spacing w:before="0" w:after="0" w:line="269" w:lineRule="auto"/>
              <w:jc w:val="center"/>
            </w:pPr>
            <w:r>
              <w:rPr>
                <w:rFonts w:ascii="Segoe UI" w:hAnsi="Segoe UI"/>
                <w:color w:val="334155"/>
                <w:sz w:val="18"/>
              </w:rPr>
              <w:t>Section 8</w:t>
            </w:r>
          </w:p>
        </w:tc>
        <w:tc>
          <w:tcPr>
            <w:tcW w:type="dxa" w:w="3312"/>
            <w:shd w:fill="F8FAFC"/>
            <w:tcMar>
              <w:top w:w="100" w:type="dxa"/>
              <w:bottom w:w="100" w:type="dxa"/>
              <w:left w:w="140" w:type="dxa"/>
              <w:right w:w="140" w:type="dxa"/>
            </w:tcMar>
            <w:tcBorders>
              <w:top w:val="none"/>
              <w:left w:val="none"/>
              <w:bottom w:val="single" w:sz="4" w:space="0" w:color="CBD5E1"/>
              <w:right w:val="none"/>
            </w:tcBorders>
          </w:tcPr>
          <w:p>
            <w:pPr>
              <w:spacing w:before="0" w:after="0" w:line="269" w:lineRule="auto"/>
            </w:pPr>
            <w:r>
              <w:rPr>
                <w:rFonts w:ascii="Segoe UI" w:hAnsi="Segoe UI"/>
                <w:color w:val="334155"/>
                <w:sz w:val="18"/>
              </w:rPr>
              <w:t>Manufacturing Mathematical &amp; Algorithmic Engines</w:t>
            </w:r>
          </w:p>
        </w:tc>
        <w:tc>
          <w:tcPr>
            <w:tcW w:type="dxa" w:w="5040"/>
            <w:shd w:fill="F8FAFC"/>
            <w:tcMar>
              <w:top w:w="100" w:type="dxa"/>
              <w:bottom w:w="100" w:type="dxa"/>
              <w:left w:w="140" w:type="dxa"/>
              <w:right w:w="140" w:type="dxa"/>
            </w:tcMar>
            <w:tcBorders>
              <w:top w:val="none"/>
              <w:left w:val="none"/>
              <w:bottom w:val="single" w:sz="4" w:space="0" w:color="CBD5E1"/>
              <w:right w:val="none"/>
            </w:tcBorders>
          </w:tcPr>
          <w:p>
            <w:pPr>
              <w:spacing w:before="0" w:after="0" w:line="269" w:lineRule="auto"/>
            </w:pPr>
            <w:r>
              <w:rPr>
                <w:rFonts w:ascii="Segoe UI" w:hAnsi="Segoe UI"/>
                <w:color w:val="334155"/>
                <w:sz w:val="18"/>
              </w:rPr>
              <w:t>Formulas and business implementations for OEE, Statistical Forecasting, MRP Netting, and Recovery.</w:t>
            </w:r>
          </w:p>
        </w:tc>
      </w:tr>
      <w:tr>
        <w:tc>
          <w:tcPr>
            <w:tcW w:type="dxa" w:w="1584"/>
            <w:shd w:fill="FFFFFF"/>
            <w:tcMar>
              <w:top w:w="100" w:type="dxa"/>
              <w:bottom w:w="100" w:type="dxa"/>
              <w:left w:w="140" w:type="dxa"/>
              <w:right w:w="140" w:type="dxa"/>
            </w:tcMar>
            <w:tcBorders>
              <w:top w:val="none"/>
              <w:left w:val="none"/>
              <w:bottom w:val="single" w:sz="4" w:space="0" w:color="CBD5E1"/>
              <w:right w:val="none"/>
            </w:tcBorders>
          </w:tcPr>
          <w:p>
            <w:pPr>
              <w:spacing w:before="0" w:after="0" w:line="269" w:lineRule="auto"/>
              <w:jc w:val="center"/>
            </w:pPr>
            <w:r>
              <w:rPr>
                <w:rFonts w:ascii="Segoe UI" w:hAnsi="Segoe UI"/>
                <w:color w:val="334155"/>
                <w:sz w:val="18"/>
              </w:rPr>
              <w:t>Section 9</w:t>
            </w:r>
          </w:p>
        </w:tc>
        <w:tc>
          <w:tcPr>
            <w:tcW w:type="dxa" w:w="3312"/>
            <w:shd w:fill="FFFFFF"/>
            <w:tcMar>
              <w:top w:w="100" w:type="dxa"/>
              <w:bottom w:w="100" w:type="dxa"/>
              <w:left w:w="140" w:type="dxa"/>
              <w:right w:w="140" w:type="dxa"/>
            </w:tcMar>
            <w:tcBorders>
              <w:top w:val="none"/>
              <w:left w:val="none"/>
              <w:bottom w:val="single" w:sz="4" w:space="0" w:color="CBD5E1"/>
              <w:right w:val="none"/>
            </w:tcBorders>
          </w:tcPr>
          <w:p>
            <w:pPr>
              <w:spacing w:before="0" w:after="0" w:line="269" w:lineRule="auto"/>
            </w:pPr>
            <w:r>
              <w:rPr>
                <w:rFonts w:ascii="Segoe UI" w:hAnsi="Segoe UI"/>
                <w:color w:val="334155"/>
                <w:sz w:val="18"/>
              </w:rPr>
              <w:t>Enterprise REST API Catalog &amp; Integration Touchpoints</w:t>
            </w:r>
          </w:p>
        </w:tc>
        <w:tc>
          <w:tcPr>
            <w:tcW w:type="dxa" w:w="5040"/>
            <w:shd w:fill="FFFFFF"/>
            <w:tcMar>
              <w:top w:w="100" w:type="dxa"/>
              <w:bottom w:w="100" w:type="dxa"/>
              <w:left w:w="140" w:type="dxa"/>
              <w:right w:w="140" w:type="dxa"/>
            </w:tcMar>
            <w:tcBorders>
              <w:top w:val="none"/>
              <w:left w:val="none"/>
              <w:bottom w:val="single" w:sz="4" w:space="0" w:color="CBD5E1"/>
              <w:right w:val="none"/>
            </w:tcBorders>
          </w:tcPr>
          <w:p>
            <w:pPr>
              <w:spacing w:before="0" w:after="0" w:line="269" w:lineRule="auto"/>
            </w:pPr>
            <w:r>
              <w:rPr>
                <w:rFonts w:ascii="Segoe UI" w:hAnsi="Segoe UI"/>
                <w:color w:val="334155"/>
                <w:sz w:val="18"/>
              </w:rPr>
              <w:t>Centralized API routes, ERP connectors (SAP/Oracle), IoT Telemetry, and Barcode Scanners.</w:t>
            </w:r>
          </w:p>
        </w:tc>
      </w:tr>
      <w:tr>
        <w:tc>
          <w:tcPr>
            <w:tcW w:type="dxa" w:w="1584"/>
            <w:shd w:fill="F8FAFC"/>
            <w:tcMar>
              <w:top w:w="100" w:type="dxa"/>
              <w:bottom w:w="100" w:type="dxa"/>
              <w:left w:w="140" w:type="dxa"/>
              <w:right w:w="140" w:type="dxa"/>
            </w:tcMar>
            <w:tcBorders>
              <w:top w:val="none"/>
              <w:left w:val="none"/>
              <w:bottom w:val="single" w:sz="4" w:space="0" w:color="CBD5E1"/>
              <w:right w:val="none"/>
            </w:tcBorders>
          </w:tcPr>
          <w:p>
            <w:pPr>
              <w:spacing w:before="0" w:after="0" w:line="269" w:lineRule="auto"/>
              <w:jc w:val="center"/>
            </w:pPr>
            <w:r>
              <w:rPr>
                <w:rFonts w:ascii="Segoe UI" w:hAnsi="Segoe UI"/>
                <w:color w:val="334155"/>
                <w:sz w:val="18"/>
              </w:rPr>
              <w:t>Section 10</w:t>
            </w:r>
          </w:p>
        </w:tc>
        <w:tc>
          <w:tcPr>
            <w:tcW w:type="dxa" w:w="3312"/>
            <w:shd w:fill="F8FAFC"/>
            <w:tcMar>
              <w:top w:w="100" w:type="dxa"/>
              <w:bottom w:w="100" w:type="dxa"/>
              <w:left w:w="140" w:type="dxa"/>
              <w:right w:w="140" w:type="dxa"/>
            </w:tcMar>
            <w:tcBorders>
              <w:top w:val="none"/>
              <w:left w:val="none"/>
              <w:bottom w:val="single" w:sz="4" w:space="0" w:color="CBD5E1"/>
              <w:right w:val="none"/>
            </w:tcBorders>
          </w:tcPr>
          <w:p>
            <w:pPr>
              <w:spacing w:before="0" w:after="0" w:line="269" w:lineRule="auto"/>
            </w:pPr>
            <w:r>
              <w:rPr>
                <w:rFonts w:ascii="Segoe UI" w:hAnsi="Segoe UI"/>
                <w:color w:val="334155"/>
                <w:sz w:val="18"/>
              </w:rPr>
              <w:t>Quality, Security &amp; Regulatory Compliance Standards</w:t>
            </w:r>
          </w:p>
        </w:tc>
        <w:tc>
          <w:tcPr>
            <w:tcW w:type="dxa" w:w="5040"/>
            <w:shd w:fill="F8FAFC"/>
            <w:tcMar>
              <w:top w:w="100" w:type="dxa"/>
              <w:bottom w:w="100" w:type="dxa"/>
              <w:left w:w="140" w:type="dxa"/>
              <w:right w:w="140" w:type="dxa"/>
            </w:tcMar>
            <w:tcBorders>
              <w:top w:val="none"/>
              <w:left w:val="none"/>
              <w:bottom w:val="single" w:sz="4" w:space="0" w:color="CBD5E1"/>
              <w:right w:val="none"/>
            </w:tcBorders>
          </w:tcPr>
          <w:p>
            <w:pPr>
              <w:spacing w:before="0" w:after="0" w:line="269" w:lineRule="auto"/>
            </w:pPr>
            <w:r>
              <w:rPr>
                <w:rFonts w:ascii="Segoe UI" w:hAnsi="Segoe UI"/>
                <w:color w:val="334155"/>
                <w:sz w:val="18"/>
              </w:rPr>
              <w:t>FDA 21 CFR Part 11 Electronic Records, HACCP CCP Safety, RBAC, and Data Protection.</w:t>
            </w:r>
          </w:p>
        </w:tc>
      </w:tr>
      <w:tr>
        <w:tc>
          <w:tcPr>
            <w:tcW w:type="dxa" w:w="1584"/>
            <w:shd w:fill="FFFFFF"/>
            <w:tcMar>
              <w:top w:w="100" w:type="dxa"/>
              <w:bottom w:w="100" w:type="dxa"/>
              <w:left w:w="140" w:type="dxa"/>
              <w:right w:w="140" w:type="dxa"/>
            </w:tcMar>
            <w:tcBorders>
              <w:top w:val="none"/>
              <w:left w:val="none"/>
              <w:bottom w:val="single" w:sz="4" w:space="0" w:color="CBD5E1"/>
              <w:right w:val="none"/>
            </w:tcBorders>
          </w:tcPr>
          <w:p>
            <w:pPr>
              <w:spacing w:before="0" w:after="0" w:line="269" w:lineRule="auto"/>
              <w:jc w:val="center"/>
            </w:pPr>
            <w:r>
              <w:rPr>
                <w:rFonts w:ascii="Segoe UI" w:hAnsi="Segoe UI"/>
                <w:color w:val="334155"/>
                <w:sz w:val="18"/>
              </w:rPr>
              <w:t>Section 11</w:t>
            </w:r>
          </w:p>
        </w:tc>
        <w:tc>
          <w:tcPr>
            <w:tcW w:type="dxa" w:w="3312"/>
            <w:shd w:fill="FFFFFF"/>
            <w:tcMar>
              <w:top w:w="100" w:type="dxa"/>
              <w:bottom w:w="100" w:type="dxa"/>
              <w:left w:w="140" w:type="dxa"/>
              <w:right w:w="140" w:type="dxa"/>
            </w:tcMar>
            <w:tcBorders>
              <w:top w:val="none"/>
              <w:left w:val="none"/>
              <w:bottom w:val="single" w:sz="4" w:space="0" w:color="CBD5E1"/>
              <w:right w:val="none"/>
            </w:tcBorders>
          </w:tcPr>
          <w:p>
            <w:pPr>
              <w:spacing w:before="0" w:after="0" w:line="269" w:lineRule="auto"/>
            </w:pPr>
            <w:r>
              <w:rPr>
                <w:rFonts w:ascii="Segoe UI" w:hAnsi="Segoe UI"/>
                <w:color w:val="334155"/>
                <w:sz w:val="18"/>
              </w:rPr>
              <w:t>System Verification &amp; Production Readiness Status</w:t>
            </w:r>
          </w:p>
        </w:tc>
        <w:tc>
          <w:tcPr>
            <w:tcW w:type="dxa" w:w="5040"/>
            <w:shd w:fill="FFFFFF"/>
            <w:tcMar>
              <w:top w:w="100" w:type="dxa"/>
              <w:bottom w:w="100" w:type="dxa"/>
              <w:left w:w="140" w:type="dxa"/>
              <w:right w:w="140" w:type="dxa"/>
            </w:tcMar>
            <w:tcBorders>
              <w:top w:val="none"/>
              <w:left w:val="none"/>
              <w:bottom w:val="single" w:sz="4" w:space="0" w:color="CBD5E1"/>
              <w:right w:val="none"/>
            </w:tcBorders>
          </w:tcPr>
          <w:p>
            <w:pPr>
              <w:spacing w:before="0" w:after="0" w:line="269" w:lineRule="auto"/>
            </w:pPr>
            <w:r>
              <w:rPr>
                <w:rFonts w:ascii="Segoe UI" w:hAnsi="Segoe UI"/>
                <w:color w:val="334155"/>
                <w:sz w:val="18"/>
              </w:rPr>
              <w:t>Automated test suite execution, 100% pass rates, zero TypeScript errors, and build benchmarks.</w:t>
            </w:r>
          </w:p>
        </w:tc>
      </w:tr>
      <w:tr>
        <w:tc>
          <w:tcPr>
            <w:tcW w:type="dxa" w:w="1584"/>
            <w:shd w:fill="F8FAFC"/>
            <w:tcMar>
              <w:top w:w="100" w:type="dxa"/>
              <w:bottom w:w="100" w:type="dxa"/>
              <w:left w:w="140" w:type="dxa"/>
              <w:right w:w="140" w:type="dxa"/>
            </w:tcMar>
            <w:tcBorders>
              <w:top w:val="none"/>
              <w:left w:val="none"/>
              <w:bottom w:val="single" w:sz="4" w:space="0" w:color="CBD5E1"/>
              <w:right w:val="none"/>
            </w:tcBorders>
          </w:tcPr>
          <w:p>
            <w:pPr>
              <w:spacing w:before="0" w:after="0" w:line="269" w:lineRule="auto"/>
              <w:jc w:val="center"/>
            </w:pPr>
            <w:r>
              <w:rPr>
                <w:rFonts w:ascii="Segoe UI" w:hAnsi="Segoe UI"/>
                <w:color w:val="334155"/>
                <w:sz w:val="18"/>
              </w:rPr>
              <w:t>Section 12</w:t>
            </w:r>
          </w:p>
        </w:tc>
        <w:tc>
          <w:tcPr>
            <w:tcW w:type="dxa" w:w="3312"/>
            <w:shd w:fill="F8FAFC"/>
            <w:tcMar>
              <w:top w:w="100" w:type="dxa"/>
              <w:bottom w:w="100" w:type="dxa"/>
              <w:left w:w="140" w:type="dxa"/>
              <w:right w:w="140" w:type="dxa"/>
            </w:tcMar>
            <w:tcBorders>
              <w:top w:val="none"/>
              <w:left w:val="none"/>
              <w:bottom w:val="single" w:sz="4" w:space="0" w:color="CBD5E1"/>
              <w:right w:val="none"/>
            </w:tcBorders>
          </w:tcPr>
          <w:p>
            <w:pPr>
              <w:spacing w:before="0" w:after="0" w:line="269" w:lineRule="auto"/>
            </w:pPr>
            <w:r>
              <w:rPr>
                <w:rFonts w:ascii="Segoe UI" w:hAnsi="Segoe UI"/>
                <w:color w:val="334155"/>
                <w:sz w:val="18"/>
              </w:rPr>
              <w:t>Codebase Map &amp; Deployment Architecture</w:t>
            </w:r>
          </w:p>
        </w:tc>
        <w:tc>
          <w:tcPr>
            <w:tcW w:type="dxa" w:w="5040"/>
            <w:shd w:fill="F8FAFC"/>
            <w:tcMar>
              <w:top w:w="100" w:type="dxa"/>
              <w:bottom w:w="100" w:type="dxa"/>
              <w:left w:w="140" w:type="dxa"/>
              <w:right w:w="140" w:type="dxa"/>
            </w:tcMar>
            <w:tcBorders>
              <w:top w:val="none"/>
              <w:left w:val="none"/>
              <w:bottom w:val="single" w:sz="4" w:space="0" w:color="CBD5E1"/>
              <w:right w:val="none"/>
            </w:tcBorders>
          </w:tcPr>
          <w:p>
            <w:pPr>
              <w:spacing w:before="0" w:after="0" w:line="269" w:lineRule="auto"/>
            </w:pPr>
            <w:r>
              <w:rPr>
                <w:rFonts w:ascii="Segoe UI" w:hAnsi="Segoe UI"/>
                <w:color w:val="334155"/>
                <w:sz w:val="18"/>
              </w:rPr>
              <w:t>Clean repository directory layout and environment topology.</w:t>
            </w:r>
          </w:p>
        </w:tc>
      </w:tr>
    </w:tbl>
    <w:p>
      <w:pPr>
        <w:spacing w:before="40" w:after="120"/>
      </w:pPr>
    </w:p>
    <w:tbl>
      <w:tblPr>
        <w:tblW w:type="auto" w:w="0"/>
        <w:jc w:val="center"/>
        <w:tblLayout w:type="fixed"/>
        <w:tblLook w:firstColumn="1" w:firstRow="1" w:lastColumn="0" w:lastRow="0" w:noHBand="0" w:noVBand="1" w:val="04A0"/>
      </w:tblPr>
      <w:tblGrid>
        <w:gridCol w:w="9936"/>
      </w:tblGrid>
      <w:tr>
        <w:tc>
          <w:tcPr>
            <w:tcW w:type="dxa" w:w="9792"/>
            <w:shd w:fill="F8FAFC"/>
            <w:tcMar>
              <w:top w:w="140" w:type="dxa"/>
              <w:bottom w:w="140" w:type="dxa"/>
              <w:left w:w="200" w:type="dxa"/>
              <w:right w:w="180" w:type="dxa"/>
            </w:tcMar>
            <w:tcBorders>
              <w:top w:val="none"/>
              <w:left w:val="single" w:sz="30" w:space="0" w:color="C89547"/>
              <w:bottom w:val="none"/>
              <w:right w:val="none"/>
            </w:tcBorders>
          </w:tcPr>
          <w:p>
            <w:pPr>
              <w:spacing w:before="40" w:after="80" w:line="276" w:lineRule="auto"/>
            </w:pPr>
            <w:r>
              <w:rPr>
                <w:rFonts w:ascii="Segoe UI" w:hAnsi="Segoe UI"/>
                <w:b/>
                <w:color w:val="C89547"/>
                <w:sz w:val="19"/>
              </w:rPr>
              <w:t>★  CLIENT VALUE PROPOSITION AT A GLANCE</w:t>
              <w:br/>
            </w:r>
            <w:r>
              <w:rPr>
                <w:rFonts w:ascii="Segoe UI" w:hAnsi="Segoe UI"/>
                <w:color w:val="334155"/>
                <w:sz w:val="19"/>
              </w:rPr>
              <w:t>MaintenX-OS removes the friction of multiple disconnected software subscriptions by unifying Floor Execution (MES), Maintenance (CMMS), Quality (QMS), Warehouse (WMS), Scheduling (APS/MRP), and Continuous Improvement (CI) into one singular, lightning-fast operating system with zero data duplication.</w:t>
            </w:r>
          </w:p>
        </w:tc>
      </w:tr>
    </w:tbl>
    <w:p>
      <w:pPr>
        <w:spacing w:after="80"/>
      </w:pPr>
    </w:p>
    <w:p>
      <w:r>
        <w:br w:type="page"/>
      </w:r>
    </w:p>
    <w:p>
      <w:pPr>
        <w:pStyle w:val="Heading1"/>
        <w:keepNext/>
        <w:spacing w:before="360" w:after="120"/>
      </w:pPr>
      <w:r>
        <w:rPr>
          <w:rFonts w:ascii="Segoe UI" w:hAnsi="Segoe UI"/>
          <w:b/>
          <w:color w:val="0F172A"/>
          <w:sz w:val="34"/>
        </w:rPr>
        <w:t>1. Executive Summary &amp; Strategic Business Vision</w:t>
      </w:r>
    </w:p>
    <w:p>
      <w:pPr>
        <w:pStyle w:val="Heading2"/>
        <w:keepNext/>
        <w:spacing w:before="280" w:after="80"/>
      </w:pPr>
      <w:r>
        <w:rPr>
          <w:rFonts w:ascii="Segoe UI" w:hAnsi="Segoe UI"/>
          <w:b/>
          <w:color w:val="1E3A8A"/>
          <w:sz w:val="26"/>
        </w:rPr>
        <w:t>1.1 What is MaintenX-OS?</w:t>
      </w:r>
    </w:p>
    <w:p>
      <w:pPr>
        <w:spacing w:before="0" w:after="120" w:line="283" w:lineRule="auto"/>
      </w:pPr>
      <w:r>
        <w:rPr>
          <w:rFonts w:ascii="Segoe UI" w:hAnsi="Segoe UI"/>
          <w:color w:val="334155"/>
          <w:sz w:val="20"/>
        </w:rPr>
        <w:t>MaintenX-OS is a state-of-the-art, unified Smart Factory Operating System engineered specifically for modern manufacturing enterprises (e.g., Beverage Processing, High-Speed Packaging, FMCG, Food &amp; Beverage, and Pharmaceuticals). It bridges the traditional gap between top-floor Enterprise Resource Planning (ERP) systems and shop-floor machine telemetry. By bringing Execution (MES), Maintenance (CMMS), Quality Assurance (QMS), Materials &amp; Inventory (WMS), Finite Capacity Scheduling (APS/MRP), and Lean Six Sigma Engineering (CI) under a single cohesive interface, MaintenX-OS transforms traditional, fragmented factory floors into data-driven, real-time smart plants (Industry 4.0).</w:t>
      </w:r>
    </w:p>
    <w:p>
      <w:pPr>
        <w:pStyle w:val="Heading2"/>
        <w:keepNext/>
        <w:spacing w:before="280" w:after="80"/>
      </w:pPr>
      <w:r>
        <w:rPr>
          <w:rFonts w:ascii="Segoe UI" w:hAnsi="Segoe UI"/>
          <w:b/>
          <w:color w:val="1E3A8A"/>
          <w:sz w:val="26"/>
        </w:rPr>
        <w:t>1.2 Five Core Plant Operational Challenges Solved</w:t>
      </w:r>
    </w:p>
    <w:p>
      <w:pPr>
        <w:pStyle w:val="ListBullet"/>
        <w:spacing w:before="20" w:after="60" w:line="276" w:lineRule="auto"/>
      </w:pPr>
      <w:r>
        <w:rPr>
          <w:rFonts w:ascii="Segoe UI" w:hAnsi="Segoe UI"/>
          <w:b/>
          <w:color w:val="0F172A"/>
          <w:sz w:val="20"/>
        </w:rPr>
        <w:t xml:space="preserve">1. Complete Elimination of Factory Data Silos: </w:t>
      </w:r>
      <w:r>
        <w:rPr>
          <w:rFonts w:ascii="Segoe UI" w:hAnsi="Segoe UI"/>
          <w:color w:val="334155"/>
          <w:sz w:val="20"/>
        </w:rPr>
        <w:t>Traditional manufacturing plants suffer from fragmented Excel sheets, disparate maintenance softwares, and disconnected quality paper logs. MaintenX-OS integrates Plant Directors, Floor Operators, Planning Engineers, Maintenance Technicians, Quality Lab Analysts, and Warehouse Dispatchers into a synchronized, single source of operational truth.</w:t>
      </w:r>
    </w:p>
    <w:p>
      <w:pPr>
        <w:pStyle w:val="ListBullet"/>
        <w:spacing w:before="20" w:after="60" w:line="276" w:lineRule="auto"/>
      </w:pPr>
      <w:r>
        <w:rPr>
          <w:rFonts w:ascii="Segoe UI" w:hAnsi="Segoe UI"/>
          <w:b/>
          <w:color w:val="0F172A"/>
          <w:sz w:val="20"/>
        </w:rPr>
        <w:t xml:space="preserve">2. Real-Time Telemetry Replacing Lagging Manual Reports: </w:t>
      </w:r>
      <w:r>
        <w:rPr>
          <w:rFonts w:ascii="Segoe UI" w:hAnsi="Segoe UI"/>
          <w:color w:val="334155"/>
          <w:sz w:val="20"/>
        </w:rPr>
        <w:t>Plant managers often discover line speed losses and stoppages 12 to 24 hours too late via manual shift logs. MaintenX-OS introduces live Hour-by-Hour (H/B) pitch tracking, line-speed monitoring (Bottles/Cans Per Hour), and automated Overall Equipment Effectiveness (OEE) deconstruction updated continuously.</w:t>
      </w:r>
    </w:p>
    <w:p>
      <w:pPr>
        <w:pStyle w:val="ListBullet"/>
        <w:spacing w:before="20" w:after="60" w:line="276" w:lineRule="auto"/>
      </w:pPr>
      <w:r>
        <w:rPr>
          <w:rFonts w:ascii="Segoe UI" w:hAnsi="Segoe UI"/>
          <w:b/>
          <w:color w:val="0F172A"/>
          <w:sz w:val="20"/>
        </w:rPr>
        <w:t xml:space="preserve">3. Paperless 6-Step Electronic Batch Records (eBR): </w:t>
      </w:r>
      <w:r>
        <w:rPr>
          <w:rFonts w:ascii="Segoe UI" w:hAnsi="Segoe UI"/>
          <w:color w:val="334155"/>
          <w:sz w:val="20"/>
        </w:rPr>
        <w:t>Replaces error-prone paper checklists with a mandatory 6-step digital batch record. Enforces barcode lot verification, precision ingredient tare/weighing, blending telemetry, HACCP Critical Control Point (CCP) validation, packaging integrity checks, and electronic Certificate of Analysis (CoA) lot approvals.</w:t>
      </w:r>
    </w:p>
    <w:p>
      <w:pPr>
        <w:pStyle w:val="ListBullet"/>
        <w:spacing w:before="20" w:after="60" w:line="276" w:lineRule="auto"/>
      </w:pPr>
      <w:r>
        <w:rPr>
          <w:rFonts w:ascii="Segoe UI" w:hAnsi="Segoe UI"/>
          <w:b/>
          <w:color w:val="0F172A"/>
          <w:sz w:val="20"/>
        </w:rPr>
        <w:t xml:space="preserve">4. Frontline Continuous Improvement (CI) &amp; DMAIC Integration: </w:t>
      </w:r>
      <w:r>
        <w:rPr>
          <w:rFonts w:ascii="Segoe UI" w:hAnsi="Segoe UI"/>
          <w:color w:val="334155"/>
          <w:sz w:val="20"/>
        </w:rPr>
        <w:t>Micro-stoppages and machine breakdowns are instantly funneled into structured 5-Why root cause analysis trees, 8D problem-solving workflows, and auditable CAPA trackers with verified dollar cost-savings calculations.</w:t>
      </w:r>
    </w:p>
    <w:p>
      <w:pPr>
        <w:pStyle w:val="ListBullet"/>
        <w:spacing w:before="20" w:after="60" w:line="276" w:lineRule="auto"/>
      </w:pPr>
      <w:r>
        <w:rPr>
          <w:rFonts w:ascii="Segoe UI" w:hAnsi="Segoe UI"/>
          <w:b/>
          <w:color w:val="0F172A"/>
          <w:sz w:val="20"/>
        </w:rPr>
        <w:t xml:space="preserve">5. Finite Line Scheduling &amp; Automated Material Netting (APS/MRP): </w:t>
      </w:r>
      <w:r>
        <w:rPr>
          <w:rFonts w:ascii="Segoe UI" w:hAnsi="Segoe UI"/>
          <w:color w:val="334155"/>
          <w:sz w:val="20"/>
        </w:rPr>
        <w:t>Dynamically balances customer demand orders against high-speed line capacities, tooling restrictions, and sanitation/allergen cleanout washouts. Automatically explodes Bills of Materials (BOMs) and generates automated purchase requisitions for material shortages.</w:t>
      </w:r>
    </w:p>
    <w:p>
      <w:pPr>
        <w:pStyle w:val="Heading2"/>
        <w:keepNext/>
        <w:spacing w:before="280" w:after="80"/>
      </w:pPr>
      <w:r>
        <w:rPr>
          <w:rFonts w:ascii="Segoe UI" w:hAnsi="Segoe UI"/>
          <w:b/>
          <w:color w:val="1E3A8A"/>
          <w:sz w:val="26"/>
        </w:rPr>
        <w:t>1.3 Proven Business Impact &amp; Return on Investment (ROI) Metrics</w:t>
      </w:r>
    </w:p>
    <w:p>
      <w:pPr>
        <w:spacing w:before="0" w:after="120" w:line="283" w:lineRule="auto"/>
      </w:pPr>
      <w:r>
        <w:rPr>
          <w:rFonts w:ascii="Segoe UI" w:hAnsi="Segoe UI"/>
          <w:color w:val="334155"/>
          <w:sz w:val="20"/>
        </w:rPr>
        <w:t>When deployed across commercial packaging and processing facilities, MaintenX-OS delivers rapid, measurable operational improvements within 90 to 180 days:</w:t>
      </w:r>
    </w:p>
    <w:tbl>
      <w:tblPr>
        <w:tblW w:type="auto" w:w="0"/>
        <w:jc w:val="center"/>
        <w:tblLayout w:type="fixed"/>
        <w:tblLook w:firstColumn="1" w:firstRow="1" w:lastColumn="0" w:lastRow="0" w:noHBand="0" w:noVBand="1" w:val="04A0"/>
      </w:tblPr>
      <w:tblGrid>
        <w:gridCol w:w="3312"/>
        <w:gridCol w:w="3312"/>
        <w:gridCol w:w="3312"/>
      </w:tblGrid>
      <w:tr>
        <w:tc>
          <w:tcPr>
            <w:tcW w:type="dxa" w:w="3168"/>
            <w:shd w:fill="0F172A"/>
            <w:tcMar>
              <w:top w:w="130" w:type="dxa"/>
              <w:bottom w:w="130" w:type="dxa"/>
              <w:left w:w="140" w:type="dxa"/>
              <w:right w:w="140" w:type="dxa"/>
            </w:tcMar>
            <w:tcBorders>
              <w:top w:val="single" w:sz="4" w:space="0" w:color="0F172A"/>
              <w:left w:val="none"/>
              <w:bottom w:val="single" w:sz="10" w:space="0" w:color="C89547"/>
              <w:right w:val="none"/>
            </w:tcBorders>
          </w:tcPr>
          <w:p>
            <w:pPr>
              <w:spacing w:before="0" w:after="0"/>
            </w:pPr>
            <w:r>
              <w:rPr>
                <w:rFonts w:ascii="Segoe UI" w:hAnsi="Segoe UI"/>
                <w:b/>
                <w:color w:val="FFFFFF"/>
                <w:sz w:val="19"/>
              </w:rPr>
              <w:t>Key Plant Performance Indicator</w:t>
            </w:r>
          </w:p>
        </w:tc>
        <w:tc>
          <w:tcPr>
            <w:tcW w:type="dxa" w:w="2592"/>
            <w:shd w:fill="0F172A"/>
            <w:tcMar>
              <w:top w:w="130" w:type="dxa"/>
              <w:bottom w:w="130" w:type="dxa"/>
              <w:left w:w="140" w:type="dxa"/>
              <w:right w:w="140" w:type="dxa"/>
            </w:tcMar>
            <w:tcBorders>
              <w:top w:val="single" w:sz="4" w:space="0" w:color="0F172A"/>
              <w:left w:val="none"/>
              <w:bottom w:val="single" w:sz="10" w:space="0" w:color="C89547"/>
              <w:right w:val="none"/>
            </w:tcBorders>
          </w:tcPr>
          <w:p>
            <w:pPr>
              <w:spacing w:before="0" w:after="0"/>
              <w:jc w:val="center"/>
            </w:pPr>
            <w:r>
              <w:rPr>
                <w:rFonts w:ascii="Segoe UI" w:hAnsi="Segoe UI"/>
                <w:b/>
                <w:color w:val="FFFFFF"/>
                <w:sz w:val="19"/>
              </w:rPr>
              <w:t>Quantifiable Target Impact</w:t>
            </w:r>
          </w:p>
        </w:tc>
        <w:tc>
          <w:tcPr>
            <w:tcW w:type="dxa" w:w="4176"/>
            <w:shd w:fill="0F172A"/>
            <w:tcMar>
              <w:top w:w="130" w:type="dxa"/>
              <w:bottom w:w="130" w:type="dxa"/>
              <w:left w:w="140" w:type="dxa"/>
              <w:right w:w="140" w:type="dxa"/>
            </w:tcMar>
            <w:tcBorders>
              <w:top w:val="single" w:sz="4" w:space="0" w:color="0F172A"/>
              <w:left w:val="none"/>
              <w:bottom w:val="single" w:sz="10" w:space="0" w:color="C89547"/>
              <w:right w:val="none"/>
            </w:tcBorders>
          </w:tcPr>
          <w:p>
            <w:pPr>
              <w:spacing w:before="0" w:after="0"/>
            </w:pPr>
            <w:r>
              <w:rPr>
                <w:rFonts w:ascii="Segoe UI" w:hAnsi="Segoe UI"/>
                <w:b/>
                <w:color w:val="FFFFFF"/>
                <w:sz w:val="19"/>
              </w:rPr>
              <w:t>Underlying Operational Mechanism</w:t>
            </w:r>
          </w:p>
        </w:tc>
      </w:tr>
      <w:tr>
        <w:tc>
          <w:tcPr>
            <w:tcW w:type="dxa" w:w="3168"/>
            <w:shd w:fill="FFFFFF"/>
            <w:tcMar>
              <w:top w:w="100" w:type="dxa"/>
              <w:bottom w:w="100" w:type="dxa"/>
              <w:left w:w="140" w:type="dxa"/>
              <w:right w:w="140" w:type="dxa"/>
            </w:tcMar>
            <w:tcBorders>
              <w:top w:val="none"/>
              <w:left w:val="none"/>
              <w:bottom w:val="single" w:sz="4" w:space="0" w:color="CBD5E1"/>
              <w:right w:val="none"/>
            </w:tcBorders>
          </w:tcPr>
          <w:p>
            <w:pPr>
              <w:spacing w:before="0" w:after="0" w:line="269" w:lineRule="auto"/>
            </w:pPr>
            <w:r>
              <w:rPr>
                <w:rFonts w:ascii="Segoe UI" w:hAnsi="Segoe UI"/>
                <w:color w:val="334155"/>
                <w:sz w:val="18"/>
              </w:rPr>
              <w:t>Overall Equipment Effectiveness (OEE)</w:t>
            </w:r>
          </w:p>
        </w:tc>
        <w:tc>
          <w:tcPr>
            <w:tcW w:type="dxa" w:w="2592"/>
            <w:shd w:fill="FFFFFF"/>
            <w:tcMar>
              <w:top w:w="100" w:type="dxa"/>
              <w:bottom w:w="100" w:type="dxa"/>
              <w:left w:w="140" w:type="dxa"/>
              <w:right w:w="140" w:type="dxa"/>
            </w:tcMar>
            <w:tcBorders>
              <w:top w:val="none"/>
              <w:left w:val="none"/>
              <w:bottom w:val="single" w:sz="4" w:space="0" w:color="CBD5E1"/>
              <w:right w:val="none"/>
            </w:tcBorders>
          </w:tcPr>
          <w:p>
            <w:pPr>
              <w:spacing w:before="0" w:after="0" w:line="269" w:lineRule="auto"/>
              <w:jc w:val="center"/>
            </w:pPr>
            <w:r>
              <w:rPr>
                <w:rFonts w:ascii="Segoe UI" w:hAnsi="Segoe UI"/>
                <w:color w:val="334155"/>
                <w:sz w:val="18"/>
              </w:rPr>
              <w:t>+8% to +14% Uplift</w:t>
            </w:r>
          </w:p>
        </w:tc>
        <w:tc>
          <w:tcPr>
            <w:tcW w:type="dxa" w:w="4176"/>
            <w:shd w:fill="FFFFFF"/>
            <w:tcMar>
              <w:top w:w="100" w:type="dxa"/>
              <w:bottom w:w="100" w:type="dxa"/>
              <w:left w:w="140" w:type="dxa"/>
              <w:right w:w="140" w:type="dxa"/>
            </w:tcMar>
            <w:tcBorders>
              <w:top w:val="none"/>
              <w:left w:val="none"/>
              <w:bottom w:val="single" w:sz="4" w:space="0" w:color="CBD5E1"/>
              <w:right w:val="none"/>
            </w:tcBorders>
          </w:tcPr>
          <w:p>
            <w:pPr>
              <w:spacing w:before="0" w:after="0" w:line="269" w:lineRule="auto"/>
            </w:pPr>
            <w:r>
              <w:rPr>
                <w:rFonts w:ascii="Segoe UI" w:hAnsi="Segoe UI"/>
                <w:color w:val="334155"/>
                <w:sz w:val="18"/>
              </w:rPr>
              <w:t>Micro-stop elimination, rapid SMED changeover enforcement, and real-time line pacing.</w:t>
            </w:r>
          </w:p>
        </w:tc>
      </w:tr>
      <w:tr>
        <w:tc>
          <w:tcPr>
            <w:tcW w:type="dxa" w:w="3168"/>
            <w:shd w:fill="F8FAFC"/>
            <w:tcMar>
              <w:top w:w="100" w:type="dxa"/>
              <w:bottom w:w="100" w:type="dxa"/>
              <w:left w:w="140" w:type="dxa"/>
              <w:right w:w="140" w:type="dxa"/>
            </w:tcMar>
            <w:tcBorders>
              <w:top w:val="none"/>
              <w:left w:val="none"/>
              <w:bottom w:val="single" w:sz="4" w:space="0" w:color="CBD5E1"/>
              <w:right w:val="none"/>
            </w:tcBorders>
          </w:tcPr>
          <w:p>
            <w:pPr>
              <w:spacing w:before="0" w:after="0" w:line="269" w:lineRule="auto"/>
            </w:pPr>
            <w:r>
              <w:rPr>
                <w:rFonts w:ascii="Segoe UI" w:hAnsi="Segoe UI"/>
                <w:color w:val="334155"/>
                <w:sz w:val="18"/>
              </w:rPr>
              <w:t>Unplanned Line Downtime</w:t>
            </w:r>
          </w:p>
        </w:tc>
        <w:tc>
          <w:tcPr>
            <w:tcW w:type="dxa" w:w="2592"/>
            <w:shd w:fill="F8FAFC"/>
            <w:tcMar>
              <w:top w:w="100" w:type="dxa"/>
              <w:bottom w:w="100" w:type="dxa"/>
              <w:left w:w="140" w:type="dxa"/>
              <w:right w:w="140" w:type="dxa"/>
            </w:tcMar>
            <w:tcBorders>
              <w:top w:val="none"/>
              <w:left w:val="none"/>
              <w:bottom w:val="single" w:sz="4" w:space="0" w:color="CBD5E1"/>
              <w:right w:val="none"/>
            </w:tcBorders>
          </w:tcPr>
          <w:p>
            <w:pPr>
              <w:spacing w:before="0" w:after="0" w:line="269" w:lineRule="auto"/>
              <w:jc w:val="center"/>
            </w:pPr>
            <w:r>
              <w:rPr>
                <w:rFonts w:ascii="Segoe UI" w:hAnsi="Segoe UI"/>
                <w:color w:val="334155"/>
                <w:sz w:val="18"/>
              </w:rPr>
              <w:t>-28% Reduction</w:t>
            </w:r>
          </w:p>
        </w:tc>
        <w:tc>
          <w:tcPr>
            <w:tcW w:type="dxa" w:w="4176"/>
            <w:shd w:fill="F8FAFC"/>
            <w:tcMar>
              <w:top w:w="100" w:type="dxa"/>
              <w:bottom w:w="100" w:type="dxa"/>
              <w:left w:w="140" w:type="dxa"/>
              <w:right w:w="140" w:type="dxa"/>
            </w:tcMar>
            <w:tcBorders>
              <w:top w:val="none"/>
              <w:left w:val="none"/>
              <w:bottom w:val="single" w:sz="4" w:space="0" w:color="CBD5E1"/>
              <w:right w:val="none"/>
            </w:tcBorders>
          </w:tcPr>
          <w:p>
            <w:pPr>
              <w:spacing w:before="0" w:after="0" w:line="269" w:lineRule="auto"/>
            </w:pPr>
            <w:r>
              <w:rPr>
                <w:rFonts w:ascii="Segoe UI" w:hAnsi="Segoe UI"/>
                <w:color w:val="334155"/>
                <w:sz w:val="18"/>
              </w:rPr>
              <w:t>ISO 14224 failure coding, predictive MTBF/MTTR tracking, and automated preventive work orders.</w:t>
            </w:r>
          </w:p>
        </w:tc>
      </w:tr>
      <w:tr>
        <w:tc>
          <w:tcPr>
            <w:tcW w:type="dxa" w:w="3168"/>
            <w:shd w:fill="FFFFFF"/>
            <w:tcMar>
              <w:top w:w="100" w:type="dxa"/>
              <w:bottom w:w="100" w:type="dxa"/>
              <w:left w:w="140" w:type="dxa"/>
              <w:right w:w="140" w:type="dxa"/>
            </w:tcMar>
            <w:tcBorders>
              <w:top w:val="none"/>
              <w:left w:val="none"/>
              <w:bottom w:val="single" w:sz="4" w:space="0" w:color="CBD5E1"/>
              <w:right w:val="none"/>
            </w:tcBorders>
          </w:tcPr>
          <w:p>
            <w:pPr>
              <w:spacing w:before="0" w:after="0" w:line="269" w:lineRule="auto"/>
            </w:pPr>
            <w:r>
              <w:rPr>
                <w:rFonts w:ascii="Segoe UI" w:hAnsi="Segoe UI"/>
                <w:color w:val="334155"/>
                <w:sz w:val="18"/>
              </w:rPr>
              <w:t>Scrap &amp; Batch Rework Costs</w:t>
            </w:r>
          </w:p>
        </w:tc>
        <w:tc>
          <w:tcPr>
            <w:tcW w:type="dxa" w:w="2592"/>
            <w:shd w:fill="FFFFFF"/>
            <w:tcMar>
              <w:top w:w="100" w:type="dxa"/>
              <w:bottom w:w="100" w:type="dxa"/>
              <w:left w:w="140" w:type="dxa"/>
              <w:right w:w="140" w:type="dxa"/>
            </w:tcMar>
            <w:tcBorders>
              <w:top w:val="none"/>
              <w:left w:val="none"/>
              <w:bottom w:val="single" w:sz="4" w:space="0" w:color="CBD5E1"/>
              <w:right w:val="none"/>
            </w:tcBorders>
          </w:tcPr>
          <w:p>
            <w:pPr>
              <w:spacing w:before="0" w:after="0" w:line="269" w:lineRule="auto"/>
              <w:jc w:val="center"/>
            </w:pPr>
            <w:r>
              <w:rPr>
                <w:rFonts w:ascii="Segoe UI" w:hAnsi="Segoe UI"/>
                <w:color w:val="334155"/>
                <w:sz w:val="18"/>
              </w:rPr>
              <w:t>-40% Reduction</w:t>
            </w:r>
          </w:p>
        </w:tc>
        <w:tc>
          <w:tcPr>
            <w:tcW w:type="dxa" w:w="4176"/>
            <w:shd w:fill="FFFFFF"/>
            <w:tcMar>
              <w:top w:w="100" w:type="dxa"/>
              <w:bottom w:w="100" w:type="dxa"/>
              <w:left w:w="140" w:type="dxa"/>
              <w:right w:w="140" w:type="dxa"/>
            </w:tcMar>
            <w:tcBorders>
              <w:top w:val="none"/>
              <w:left w:val="none"/>
              <w:bottom w:val="single" w:sz="4" w:space="0" w:color="CBD5E1"/>
              <w:right w:val="none"/>
            </w:tcBorders>
          </w:tcPr>
          <w:p>
            <w:pPr>
              <w:spacing w:before="0" w:after="0" w:line="269" w:lineRule="auto"/>
            </w:pPr>
            <w:r>
              <w:rPr>
                <w:rFonts w:ascii="Segoe UI" w:hAnsi="Segoe UI"/>
                <w:color w:val="334155"/>
                <w:sz w:val="18"/>
              </w:rPr>
              <w:t>Strict in-process CCP boundary enforcement (pH, Brix, Temp) preventing bad batches before packaging.</w:t>
            </w:r>
          </w:p>
        </w:tc>
      </w:tr>
      <w:tr>
        <w:tc>
          <w:tcPr>
            <w:tcW w:type="dxa" w:w="3168"/>
            <w:shd w:fill="F8FAFC"/>
            <w:tcMar>
              <w:top w:w="100" w:type="dxa"/>
              <w:bottom w:w="100" w:type="dxa"/>
              <w:left w:w="140" w:type="dxa"/>
              <w:right w:w="140" w:type="dxa"/>
            </w:tcMar>
            <w:tcBorders>
              <w:top w:val="none"/>
              <w:left w:val="none"/>
              <w:bottom w:val="single" w:sz="4" w:space="0" w:color="CBD5E1"/>
              <w:right w:val="none"/>
            </w:tcBorders>
          </w:tcPr>
          <w:p>
            <w:pPr>
              <w:spacing w:before="0" w:after="0" w:line="269" w:lineRule="auto"/>
            </w:pPr>
            <w:r>
              <w:rPr>
                <w:rFonts w:ascii="Segoe UI" w:hAnsi="Segoe UI"/>
                <w:color w:val="334155"/>
                <w:sz w:val="18"/>
              </w:rPr>
              <w:t>Regulatory Compliance &amp; Audits</w:t>
            </w:r>
          </w:p>
        </w:tc>
        <w:tc>
          <w:tcPr>
            <w:tcW w:type="dxa" w:w="2592"/>
            <w:shd w:fill="F8FAFC"/>
            <w:tcMar>
              <w:top w:w="100" w:type="dxa"/>
              <w:bottom w:w="100" w:type="dxa"/>
              <w:left w:w="140" w:type="dxa"/>
              <w:right w:w="140" w:type="dxa"/>
            </w:tcMar>
            <w:tcBorders>
              <w:top w:val="none"/>
              <w:left w:val="none"/>
              <w:bottom w:val="single" w:sz="4" w:space="0" w:color="CBD5E1"/>
              <w:right w:val="none"/>
            </w:tcBorders>
          </w:tcPr>
          <w:p>
            <w:pPr>
              <w:spacing w:before="0" w:after="0" w:line="269" w:lineRule="auto"/>
              <w:jc w:val="center"/>
            </w:pPr>
            <w:r>
              <w:rPr>
                <w:rFonts w:ascii="Segoe UI" w:hAnsi="Segoe UI"/>
                <w:color w:val="334155"/>
                <w:sz w:val="18"/>
              </w:rPr>
              <w:t>100% Audit Readiness</w:t>
            </w:r>
          </w:p>
        </w:tc>
        <w:tc>
          <w:tcPr>
            <w:tcW w:type="dxa" w:w="4176"/>
            <w:shd w:fill="F8FAFC"/>
            <w:tcMar>
              <w:top w:w="100" w:type="dxa"/>
              <w:bottom w:w="100" w:type="dxa"/>
              <w:left w:w="140" w:type="dxa"/>
              <w:right w:w="140" w:type="dxa"/>
            </w:tcMar>
            <w:tcBorders>
              <w:top w:val="none"/>
              <w:left w:val="none"/>
              <w:bottom w:val="single" w:sz="4" w:space="0" w:color="CBD5E1"/>
              <w:right w:val="none"/>
            </w:tcBorders>
          </w:tcPr>
          <w:p>
            <w:pPr>
              <w:spacing w:before="0" w:after="0" w:line="269" w:lineRule="auto"/>
            </w:pPr>
            <w:r>
              <w:rPr>
                <w:rFonts w:ascii="Segoe UI" w:hAnsi="Segoe UI"/>
                <w:color w:val="334155"/>
                <w:sz w:val="18"/>
              </w:rPr>
              <w:t>Full 21 CFR Part 11 electronic records, tamper-evident audit logs, and digital signatures.</w:t>
            </w:r>
          </w:p>
        </w:tc>
      </w:tr>
      <w:tr>
        <w:tc>
          <w:tcPr>
            <w:tcW w:type="dxa" w:w="3168"/>
            <w:shd w:fill="FFFFFF"/>
            <w:tcMar>
              <w:top w:w="100" w:type="dxa"/>
              <w:bottom w:w="100" w:type="dxa"/>
              <w:left w:w="140" w:type="dxa"/>
              <w:right w:w="140" w:type="dxa"/>
            </w:tcMar>
            <w:tcBorders>
              <w:top w:val="none"/>
              <w:left w:val="none"/>
              <w:bottom w:val="single" w:sz="4" w:space="0" w:color="CBD5E1"/>
              <w:right w:val="none"/>
            </w:tcBorders>
          </w:tcPr>
          <w:p>
            <w:pPr>
              <w:spacing w:before="0" w:after="0" w:line="269" w:lineRule="auto"/>
            </w:pPr>
            <w:r>
              <w:rPr>
                <w:rFonts w:ascii="Segoe UI" w:hAnsi="Segoe UI"/>
                <w:color w:val="334155"/>
                <w:sz w:val="18"/>
              </w:rPr>
              <w:t>Lot Traceability Speed</w:t>
            </w:r>
          </w:p>
        </w:tc>
        <w:tc>
          <w:tcPr>
            <w:tcW w:type="dxa" w:w="2592"/>
            <w:shd w:fill="FFFFFF"/>
            <w:tcMar>
              <w:top w:w="100" w:type="dxa"/>
              <w:bottom w:w="100" w:type="dxa"/>
              <w:left w:w="140" w:type="dxa"/>
              <w:right w:w="140" w:type="dxa"/>
            </w:tcMar>
            <w:tcBorders>
              <w:top w:val="none"/>
              <w:left w:val="none"/>
              <w:bottom w:val="single" w:sz="4" w:space="0" w:color="CBD5E1"/>
              <w:right w:val="none"/>
            </w:tcBorders>
          </w:tcPr>
          <w:p>
            <w:pPr>
              <w:spacing w:before="0" w:after="0" w:line="269" w:lineRule="auto"/>
              <w:jc w:val="center"/>
            </w:pPr>
            <w:r>
              <w:rPr>
                <w:rFonts w:ascii="Segoe UI" w:hAnsi="Segoe UI"/>
                <w:color w:val="334155"/>
                <w:sz w:val="18"/>
              </w:rPr>
              <w:t>&lt; 90 Seconds</w:t>
            </w:r>
          </w:p>
        </w:tc>
        <w:tc>
          <w:tcPr>
            <w:tcW w:type="dxa" w:w="4176"/>
            <w:shd w:fill="FFFFFF"/>
            <w:tcMar>
              <w:top w:w="100" w:type="dxa"/>
              <w:bottom w:w="100" w:type="dxa"/>
              <w:left w:w="140" w:type="dxa"/>
              <w:right w:w="140" w:type="dxa"/>
            </w:tcMar>
            <w:tcBorders>
              <w:top w:val="none"/>
              <w:left w:val="none"/>
              <w:bottom w:val="single" w:sz="4" w:space="0" w:color="CBD5E1"/>
              <w:right w:val="none"/>
            </w:tcBorders>
          </w:tcPr>
          <w:p>
            <w:pPr>
              <w:spacing w:before="0" w:after="0" w:line="269" w:lineRule="auto"/>
            </w:pPr>
            <w:r>
              <w:rPr>
                <w:rFonts w:ascii="Segoe UI" w:hAnsi="Segoe UI"/>
                <w:color w:val="334155"/>
                <w:sz w:val="18"/>
              </w:rPr>
              <w:t>Bi-directional farm-to-fork lot genealogy enabling instantaneous mock recalls from supplier to customer.</w:t>
            </w:r>
          </w:p>
        </w:tc>
      </w:tr>
    </w:tbl>
    <w:p>
      <w:pPr>
        <w:spacing w:before="40" w:after="120"/>
      </w:pPr>
    </w:p>
    <w:tbl>
      <w:tblPr>
        <w:tblW w:type="auto" w:w="0"/>
        <w:jc w:val="center"/>
        <w:tblLayout w:type="fixed"/>
        <w:tblLook w:firstColumn="1" w:firstRow="1" w:lastColumn="0" w:lastRow="0" w:noHBand="0" w:noVBand="1" w:val="04A0"/>
      </w:tblPr>
      <w:tblGrid>
        <w:gridCol w:w="9936"/>
      </w:tblGrid>
      <w:tr>
        <w:tc>
          <w:tcPr>
            <w:tcW w:type="dxa" w:w="9792"/>
            <w:shd w:fill="F8FAFC"/>
            <w:tcMar>
              <w:top w:w="140" w:type="dxa"/>
              <w:bottom w:w="140" w:type="dxa"/>
              <w:left w:w="200" w:type="dxa"/>
              <w:right w:w="180" w:type="dxa"/>
            </w:tcMar>
            <w:tcBorders>
              <w:top w:val="none"/>
              <w:left w:val="single" w:sz="30" w:space="0" w:color="059669"/>
              <w:bottom w:val="none"/>
              <w:right w:val="none"/>
            </w:tcBorders>
          </w:tcPr>
          <w:p>
            <w:pPr>
              <w:spacing w:before="40" w:after="80" w:line="276" w:lineRule="auto"/>
            </w:pPr>
            <w:r>
              <w:rPr>
                <w:rFonts w:ascii="Segoe UI" w:hAnsi="Segoe UI"/>
                <w:b/>
                <w:color w:val="1E3A8A"/>
                <w:sz w:val="19"/>
              </w:rPr>
              <w:t>★  STRATEGIC TAKEAWAY FOR PLANT EXECUTIVES</w:t>
              <w:br/>
            </w:r>
            <w:r>
              <w:rPr>
                <w:rFonts w:ascii="Segoe UI" w:hAnsi="Segoe UI"/>
                <w:color w:val="334155"/>
                <w:sz w:val="19"/>
              </w:rPr>
              <w:t>A 1% increase in line OEE in a high-speed beverage plant (e.g. 40,000 BPH) represents over $150,000 to $400,000 in recaptured annual gross margin. MaintenX-OS typically pays for itself within the first 4 months of plant commissioning.</w:t>
            </w:r>
          </w:p>
        </w:tc>
      </w:tr>
    </w:tbl>
    <w:p>
      <w:pPr>
        <w:spacing w:after="80"/>
      </w:pPr>
    </w:p>
    <w:p>
      <w:pPr>
        <w:pStyle w:val="Heading1"/>
        <w:keepNext/>
        <w:spacing w:before="360" w:after="120"/>
      </w:pPr>
      <w:r>
        <w:rPr>
          <w:rFonts w:ascii="Segoe UI" w:hAnsi="Segoe UI"/>
          <w:b/>
          <w:color w:val="0F172A"/>
          <w:sz w:val="34"/>
        </w:rPr>
        <w:t>2. Technology Stack &amp; Enterprise Standards</w:t>
      </w:r>
    </w:p>
    <w:p>
      <w:pPr>
        <w:spacing w:before="0" w:after="120" w:line="283" w:lineRule="auto"/>
      </w:pPr>
      <w:r>
        <w:rPr>
          <w:rFonts w:ascii="Segoe UI" w:hAnsi="Segoe UI"/>
          <w:color w:val="334155"/>
          <w:sz w:val="20"/>
        </w:rPr>
        <w:t>MaintenX-OS is architected from the ground up using enterprise-grade, modern open technologies to guarantee ultra-low latency (&lt;20ms response times), zero third-party framework lock-in, and uncompromising industrial reliability.</w:t>
      </w:r>
    </w:p>
    <w:tbl>
      <w:tblPr>
        <w:tblW w:type="auto" w:w="0"/>
        <w:jc w:val="center"/>
        <w:tblLayout w:type="fixed"/>
        <w:tblLook w:firstColumn="1" w:firstRow="1" w:lastColumn="0" w:lastRow="0" w:noHBand="0" w:noVBand="1" w:val="04A0"/>
      </w:tblPr>
      <w:tblGrid>
        <w:gridCol w:w="3312"/>
        <w:gridCol w:w="3312"/>
        <w:gridCol w:w="3312"/>
      </w:tblGrid>
      <w:tr>
        <w:tc>
          <w:tcPr>
            <w:tcW w:type="dxa" w:w="2592"/>
            <w:shd w:fill="0F172A"/>
            <w:tcMar>
              <w:top w:w="130" w:type="dxa"/>
              <w:bottom w:w="130" w:type="dxa"/>
              <w:left w:w="140" w:type="dxa"/>
              <w:right w:w="140" w:type="dxa"/>
            </w:tcMar>
            <w:tcBorders>
              <w:top w:val="single" w:sz="4" w:space="0" w:color="0F172A"/>
              <w:left w:val="none"/>
              <w:bottom w:val="single" w:sz="10" w:space="0" w:color="C89547"/>
              <w:right w:val="none"/>
            </w:tcBorders>
          </w:tcPr>
          <w:p>
            <w:pPr>
              <w:spacing w:before="0" w:after="0"/>
            </w:pPr>
            <w:r>
              <w:rPr>
                <w:rFonts w:ascii="Segoe UI" w:hAnsi="Segoe UI"/>
                <w:b/>
                <w:color w:val="FFFFFF"/>
                <w:sz w:val="19"/>
              </w:rPr>
              <w:t>Architectural Layer</w:t>
            </w:r>
          </w:p>
        </w:tc>
        <w:tc>
          <w:tcPr>
            <w:tcW w:type="dxa" w:w="2592"/>
            <w:shd w:fill="0F172A"/>
            <w:tcMar>
              <w:top w:w="130" w:type="dxa"/>
              <w:bottom w:w="130" w:type="dxa"/>
              <w:left w:w="140" w:type="dxa"/>
              <w:right w:w="140" w:type="dxa"/>
            </w:tcMar>
            <w:tcBorders>
              <w:top w:val="single" w:sz="4" w:space="0" w:color="0F172A"/>
              <w:left w:val="none"/>
              <w:bottom w:val="single" w:sz="10" w:space="0" w:color="C89547"/>
              <w:right w:val="none"/>
            </w:tcBorders>
          </w:tcPr>
          <w:p>
            <w:pPr>
              <w:spacing w:before="0" w:after="0"/>
            </w:pPr>
            <w:r>
              <w:rPr>
                <w:rFonts w:ascii="Segoe UI" w:hAnsi="Segoe UI"/>
                <w:b/>
                <w:color w:val="FFFFFF"/>
                <w:sz w:val="19"/>
              </w:rPr>
              <w:t>Technology Component</w:t>
            </w:r>
          </w:p>
        </w:tc>
        <w:tc>
          <w:tcPr>
            <w:tcW w:type="dxa" w:w="4752"/>
            <w:shd w:fill="0F172A"/>
            <w:tcMar>
              <w:top w:w="130" w:type="dxa"/>
              <w:bottom w:w="130" w:type="dxa"/>
              <w:left w:w="140" w:type="dxa"/>
              <w:right w:w="140" w:type="dxa"/>
            </w:tcMar>
            <w:tcBorders>
              <w:top w:val="single" w:sz="4" w:space="0" w:color="0F172A"/>
              <w:left w:val="none"/>
              <w:bottom w:val="single" w:sz="10" w:space="0" w:color="C89547"/>
              <w:right w:val="none"/>
            </w:tcBorders>
          </w:tcPr>
          <w:p>
            <w:pPr>
              <w:spacing w:before="0" w:after="0"/>
            </w:pPr>
            <w:r>
              <w:rPr>
                <w:rFonts w:ascii="Segoe UI" w:hAnsi="Segoe UI"/>
                <w:b/>
                <w:color w:val="FFFFFF"/>
                <w:sz w:val="19"/>
              </w:rPr>
              <w:t>Enterprise Purpose &amp; Operational Value</w:t>
            </w:r>
          </w:p>
        </w:tc>
      </w:tr>
      <w:tr>
        <w:tc>
          <w:tcPr>
            <w:tcW w:type="dxa" w:w="2592"/>
            <w:shd w:fill="FFFFFF"/>
            <w:tcMar>
              <w:top w:w="100" w:type="dxa"/>
              <w:bottom w:w="100" w:type="dxa"/>
              <w:left w:w="140" w:type="dxa"/>
              <w:right w:w="140" w:type="dxa"/>
            </w:tcMar>
            <w:tcBorders>
              <w:top w:val="none"/>
              <w:left w:val="none"/>
              <w:bottom w:val="single" w:sz="4" w:space="0" w:color="CBD5E1"/>
              <w:right w:val="none"/>
            </w:tcBorders>
          </w:tcPr>
          <w:p>
            <w:pPr>
              <w:spacing w:before="0" w:after="0" w:line="269" w:lineRule="auto"/>
            </w:pPr>
            <w:r>
              <w:rPr>
                <w:rFonts w:ascii="Segoe UI" w:hAnsi="Segoe UI"/>
                <w:color w:val="334155"/>
                <w:sz w:val="18"/>
              </w:rPr>
              <w:t>Frontend Application Tier</w:t>
            </w:r>
          </w:p>
        </w:tc>
        <w:tc>
          <w:tcPr>
            <w:tcW w:type="dxa" w:w="2592"/>
            <w:shd w:fill="FFFFFF"/>
            <w:tcMar>
              <w:top w:w="100" w:type="dxa"/>
              <w:bottom w:w="100" w:type="dxa"/>
              <w:left w:w="140" w:type="dxa"/>
              <w:right w:w="140" w:type="dxa"/>
            </w:tcMar>
            <w:tcBorders>
              <w:top w:val="none"/>
              <w:left w:val="none"/>
              <w:bottom w:val="single" w:sz="4" w:space="0" w:color="CBD5E1"/>
              <w:right w:val="none"/>
            </w:tcBorders>
          </w:tcPr>
          <w:p>
            <w:pPr>
              <w:spacing w:before="0" w:after="0" w:line="269" w:lineRule="auto"/>
            </w:pPr>
            <w:r>
              <w:rPr>
                <w:rFonts w:ascii="Segoe UI" w:hAnsi="Segoe UI"/>
                <w:color w:val="334155"/>
                <w:sz w:val="18"/>
              </w:rPr>
              <w:t>React 19 &amp; Vite 8 SPA</w:t>
            </w:r>
          </w:p>
        </w:tc>
        <w:tc>
          <w:tcPr>
            <w:tcW w:type="dxa" w:w="4752"/>
            <w:shd w:fill="FFFFFF"/>
            <w:tcMar>
              <w:top w:w="100" w:type="dxa"/>
              <w:bottom w:w="100" w:type="dxa"/>
              <w:left w:w="140" w:type="dxa"/>
              <w:right w:w="140" w:type="dxa"/>
            </w:tcMar>
            <w:tcBorders>
              <w:top w:val="none"/>
              <w:left w:val="none"/>
              <w:bottom w:val="single" w:sz="4" w:space="0" w:color="CBD5E1"/>
              <w:right w:val="none"/>
            </w:tcBorders>
          </w:tcPr>
          <w:p>
            <w:pPr>
              <w:spacing w:before="0" w:after="0" w:line="269" w:lineRule="auto"/>
            </w:pPr>
            <w:r>
              <w:rPr>
                <w:rFonts w:ascii="Segoe UI" w:hAnsi="Segoe UI"/>
                <w:color w:val="334155"/>
                <w:sz w:val="18"/>
              </w:rPr>
              <w:t>Provides an ultra-responsive, hot-reloading single page application architecture optimized for factory touchscreen terminals and control room displays.</w:t>
            </w:r>
          </w:p>
        </w:tc>
      </w:tr>
      <w:tr>
        <w:tc>
          <w:tcPr>
            <w:tcW w:type="dxa" w:w="2592"/>
            <w:shd w:fill="F8FAFC"/>
            <w:tcMar>
              <w:top w:w="100" w:type="dxa"/>
              <w:bottom w:w="100" w:type="dxa"/>
              <w:left w:w="140" w:type="dxa"/>
              <w:right w:w="140" w:type="dxa"/>
            </w:tcMar>
            <w:tcBorders>
              <w:top w:val="none"/>
              <w:left w:val="none"/>
              <w:bottom w:val="single" w:sz="4" w:space="0" w:color="CBD5E1"/>
              <w:right w:val="none"/>
            </w:tcBorders>
          </w:tcPr>
          <w:p>
            <w:pPr>
              <w:spacing w:before="0" w:after="0" w:line="269" w:lineRule="auto"/>
            </w:pPr>
            <w:r>
              <w:rPr>
                <w:rFonts w:ascii="Segoe UI" w:hAnsi="Segoe UI"/>
                <w:color w:val="334155"/>
                <w:sz w:val="18"/>
              </w:rPr>
              <w:t>Client-Side Routing</w:t>
            </w:r>
          </w:p>
        </w:tc>
        <w:tc>
          <w:tcPr>
            <w:tcW w:type="dxa" w:w="2592"/>
            <w:shd w:fill="F8FAFC"/>
            <w:tcMar>
              <w:top w:w="100" w:type="dxa"/>
              <w:bottom w:w="100" w:type="dxa"/>
              <w:left w:w="140" w:type="dxa"/>
              <w:right w:w="140" w:type="dxa"/>
            </w:tcMar>
            <w:tcBorders>
              <w:top w:val="none"/>
              <w:left w:val="none"/>
              <w:bottom w:val="single" w:sz="4" w:space="0" w:color="CBD5E1"/>
              <w:right w:val="none"/>
            </w:tcBorders>
          </w:tcPr>
          <w:p>
            <w:pPr>
              <w:spacing w:before="0" w:after="0" w:line="269" w:lineRule="auto"/>
            </w:pPr>
            <w:r>
              <w:rPr>
                <w:rFonts w:ascii="Segoe UI" w:hAnsi="Segoe UI"/>
                <w:color w:val="334155"/>
                <w:sz w:val="18"/>
              </w:rPr>
              <w:t>React Router DOM v7</w:t>
            </w:r>
          </w:p>
        </w:tc>
        <w:tc>
          <w:tcPr>
            <w:tcW w:type="dxa" w:w="4752"/>
            <w:shd w:fill="F8FAFC"/>
            <w:tcMar>
              <w:top w:w="100" w:type="dxa"/>
              <w:bottom w:w="100" w:type="dxa"/>
              <w:left w:w="140" w:type="dxa"/>
              <w:right w:w="140" w:type="dxa"/>
            </w:tcMar>
            <w:tcBorders>
              <w:top w:val="none"/>
              <w:left w:val="none"/>
              <w:bottom w:val="single" w:sz="4" w:space="0" w:color="CBD5E1"/>
              <w:right w:val="none"/>
            </w:tcBorders>
          </w:tcPr>
          <w:p>
            <w:pPr>
              <w:spacing w:before="0" w:after="0" w:line="269" w:lineRule="auto"/>
            </w:pPr>
            <w:r>
              <w:rPr>
                <w:rFonts w:ascii="Segoe UI" w:hAnsi="Segoe UI"/>
                <w:color w:val="334155"/>
                <w:sz w:val="18"/>
              </w:rPr>
              <w:t>Robust role-guarded navigation routing across 8 independent workspaces with multi-dashboard state preservation.</w:t>
            </w:r>
          </w:p>
        </w:tc>
      </w:tr>
      <w:tr>
        <w:tc>
          <w:tcPr>
            <w:tcW w:type="dxa" w:w="2592"/>
            <w:shd w:fill="FFFFFF"/>
            <w:tcMar>
              <w:top w:w="100" w:type="dxa"/>
              <w:bottom w:w="100" w:type="dxa"/>
              <w:left w:w="140" w:type="dxa"/>
              <w:right w:w="140" w:type="dxa"/>
            </w:tcMar>
            <w:tcBorders>
              <w:top w:val="none"/>
              <w:left w:val="none"/>
              <w:bottom w:val="single" w:sz="4" w:space="0" w:color="CBD5E1"/>
              <w:right w:val="none"/>
            </w:tcBorders>
          </w:tcPr>
          <w:p>
            <w:pPr>
              <w:spacing w:before="0" w:after="0" w:line="269" w:lineRule="auto"/>
            </w:pPr>
            <w:r>
              <w:rPr>
                <w:rFonts w:ascii="Segoe UI" w:hAnsi="Segoe UI"/>
                <w:color w:val="334155"/>
                <w:sz w:val="18"/>
              </w:rPr>
              <w:t>Design System &amp; Styling</w:t>
            </w:r>
          </w:p>
        </w:tc>
        <w:tc>
          <w:tcPr>
            <w:tcW w:type="dxa" w:w="2592"/>
            <w:shd w:fill="FFFFFF"/>
            <w:tcMar>
              <w:top w:w="100" w:type="dxa"/>
              <w:bottom w:w="100" w:type="dxa"/>
              <w:left w:w="140" w:type="dxa"/>
              <w:right w:w="140" w:type="dxa"/>
            </w:tcMar>
            <w:tcBorders>
              <w:top w:val="none"/>
              <w:left w:val="none"/>
              <w:bottom w:val="single" w:sz="4" w:space="0" w:color="CBD5E1"/>
              <w:right w:val="none"/>
            </w:tcBorders>
          </w:tcPr>
          <w:p>
            <w:pPr>
              <w:spacing w:before="0" w:after="0" w:line="269" w:lineRule="auto"/>
            </w:pPr>
            <w:r>
              <w:rPr>
                <w:rFonts w:ascii="Segoe UI" w:hAnsi="Segoe UI"/>
                <w:color w:val="334155"/>
                <w:sz w:val="18"/>
              </w:rPr>
              <w:t>Pure Vanilla CSS &amp; Tokens</w:t>
            </w:r>
          </w:p>
        </w:tc>
        <w:tc>
          <w:tcPr>
            <w:tcW w:type="dxa" w:w="4752"/>
            <w:shd w:fill="FFFFFF"/>
            <w:tcMar>
              <w:top w:w="100" w:type="dxa"/>
              <w:bottom w:w="100" w:type="dxa"/>
              <w:left w:w="140" w:type="dxa"/>
              <w:right w:w="140" w:type="dxa"/>
            </w:tcMar>
            <w:tcBorders>
              <w:top w:val="none"/>
              <w:left w:val="none"/>
              <w:bottom w:val="single" w:sz="4" w:space="0" w:color="CBD5E1"/>
              <w:right w:val="none"/>
            </w:tcBorders>
          </w:tcPr>
          <w:p>
            <w:pPr>
              <w:spacing w:before="0" w:after="0" w:line="269" w:lineRule="auto"/>
            </w:pPr>
            <w:r>
              <w:rPr>
                <w:rFonts w:ascii="Segoe UI" w:hAnsi="Segoe UI"/>
                <w:color w:val="334155"/>
                <w:sz w:val="18"/>
              </w:rPr>
              <w:t>Handcrafted design tokens (--bg-primary, --accent-gold: #C89547, --cyan, glassmorphism) offering luxury visuals without heavy, brittle CSS frameworks.</w:t>
            </w:r>
          </w:p>
        </w:tc>
      </w:tr>
      <w:tr>
        <w:tc>
          <w:tcPr>
            <w:tcW w:type="dxa" w:w="2592"/>
            <w:shd w:fill="F8FAFC"/>
            <w:tcMar>
              <w:top w:w="100" w:type="dxa"/>
              <w:bottom w:w="100" w:type="dxa"/>
              <w:left w:w="140" w:type="dxa"/>
              <w:right w:w="140" w:type="dxa"/>
            </w:tcMar>
            <w:tcBorders>
              <w:top w:val="none"/>
              <w:left w:val="none"/>
              <w:bottom w:val="single" w:sz="4" w:space="0" w:color="CBD5E1"/>
              <w:right w:val="none"/>
            </w:tcBorders>
          </w:tcPr>
          <w:p>
            <w:pPr>
              <w:spacing w:before="0" w:after="0" w:line="269" w:lineRule="auto"/>
            </w:pPr>
            <w:r>
              <w:rPr>
                <w:rFonts w:ascii="Segoe UI" w:hAnsi="Segoe UI"/>
                <w:color w:val="334155"/>
                <w:sz w:val="18"/>
              </w:rPr>
              <w:t>Iconography &amp; Visual Assets</w:t>
            </w:r>
          </w:p>
        </w:tc>
        <w:tc>
          <w:tcPr>
            <w:tcW w:type="dxa" w:w="2592"/>
            <w:shd w:fill="F8FAFC"/>
            <w:tcMar>
              <w:top w:w="100" w:type="dxa"/>
              <w:bottom w:w="100" w:type="dxa"/>
              <w:left w:w="140" w:type="dxa"/>
              <w:right w:w="140" w:type="dxa"/>
            </w:tcMar>
            <w:tcBorders>
              <w:top w:val="none"/>
              <w:left w:val="none"/>
              <w:bottom w:val="single" w:sz="4" w:space="0" w:color="CBD5E1"/>
              <w:right w:val="none"/>
            </w:tcBorders>
          </w:tcPr>
          <w:p>
            <w:pPr>
              <w:spacing w:before="0" w:after="0" w:line="269" w:lineRule="auto"/>
            </w:pPr>
            <w:r>
              <w:rPr>
                <w:rFonts w:ascii="Segoe UI" w:hAnsi="Segoe UI"/>
                <w:color w:val="334155"/>
                <w:sz w:val="18"/>
              </w:rPr>
              <w:t>Lucide React Enterprise</w:t>
            </w:r>
          </w:p>
        </w:tc>
        <w:tc>
          <w:tcPr>
            <w:tcW w:type="dxa" w:w="4752"/>
            <w:shd w:fill="F8FAFC"/>
            <w:tcMar>
              <w:top w:w="100" w:type="dxa"/>
              <w:bottom w:w="100" w:type="dxa"/>
              <w:left w:w="140" w:type="dxa"/>
              <w:right w:w="140" w:type="dxa"/>
            </w:tcMar>
            <w:tcBorders>
              <w:top w:val="none"/>
              <w:left w:val="none"/>
              <w:bottom w:val="single" w:sz="4" w:space="0" w:color="CBD5E1"/>
              <w:right w:val="none"/>
            </w:tcBorders>
          </w:tcPr>
          <w:p>
            <w:pPr>
              <w:spacing w:before="0" w:after="0" w:line="269" w:lineRule="auto"/>
            </w:pPr>
            <w:r>
              <w:rPr>
                <w:rFonts w:ascii="Segoe UI" w:hAnsi="Segoe UI"/>
                <w:color w:val="334155"/>
                <w:sz w:val="18"/>
              </w:rPr>
              <w:t>Standardized industrial iconography across all 8 personas (machine sensors, alerts, telemetry, tools).</w:t>
            </w:r>
          </w:p>
        </w:tc>
      </w:tr>
      <w:tr>
        <w:tc>
          <w:tcPr>
            <w:tcW w:type="dxa" w:w="2592"/>
            <w:shd w:fill="FFFFFF"/>
            <w:tcMar>
              <w:top w:w="100" w:type="dxa"/>
              <w:bottom w:w="100" w:type="dxa"/>
              <w:left w:w="140" w:type="dxa"/>
              <w:right w:w="140" w:type="dxa"/>
            </w:tcMar>
            <w:tcBorders>
              <w:top w:val="none"/>
              <w:left w:val="none"/>
              <w:bottom w:val="single" w:sz="4" w:space="0" w:color="CBD5E1"/>
              <w:right w:val="none"/>
            </w:tcBorders>
          </w:tcPr>
          <w:p>
            <w:pPr>
              <w:spacing w:before="0" w:after="0" w:line="269" w:lineRule="auto"/>
            </w:pPr>
            <w:r>
              <w:rPr>
                <w:rFonts w:ascii="Segoe UI" w:hAnsi="Segoe UI"/>
                <w:color w:val="334155"/>
                <w:sz w:val="18"/>
              </w:rPr>
              <w:t>Industrial Data Visualization</w:t>
            </w:r>
          </w:p>
        </w:tc>
        <w:tc>
          <w:tcPr>
            <w:tcW w:type="dxa" w:w="2592"/>
            <w:shd w:fill="FFFFFF"/>
            <w:tcMar>
              <w:top w:w="100" w:type="dxa"/>
              <w:bottom w:w="100" w:type="dxa"/>
              <w:left w:w="140" w:type="dxa"/>
              <w:right w:w="140" w:type="dxa"/>
            </w:tcMar>
            <w:tcBorders>
              <w:top w:val="none"/>
              <w:left w:val="none"/>
              <w:bottom w:val="single" w:sz="4" w:space="0" w:color="CBD5E1"/>
              <w:right w:val="none"/>
            </w:tcBorders>
          </w:tcPr>
          <w:p>
            <w:pPr>
              <w:spacing w:before="0" w:after="0" w:line="269" w:lineRule="auto"/>
            </w:pPr>
            <w:r>
              <w:rPr>
                <w:rFonts w:ascii="Segoe UI" w:hAnsi="Segoe UI"/>
                <w:color w:val="334155"/>
                <w:sz w:val="18"/>
              </w:rPr>
              <w:t>Custom SVG &amp; Canvas Engines</w:t>
            </w:r>
          </w:p>
        </w:tc>
        <w:tc>
          <w:tcPr>
            <w:tcW w:type="dxa" w:w="4752"/>
            <w:shd w:fill="FFFFFF"/>
            <w:tcMar>
              <w:top w:w="100" w:type="dxa"/>
              <w:bottom w:w="100" w:type="dxa"/>
              <w:left w:w="140" w:type="dxa"/>
              <w:right w:w="140" w:type="dxa"/>
            </w:tcMar>
            <w:tcBorders>
              <w:top w:val="none"/>
              <w:left w:val="none"/>
              <w:bottom w:val="single" w:sz="4" w:space="0" w:color="CBD5E1"/>
              <w:right w:val="none"/>
            </w:tcBorders>
          </w:tcPr>
          <w:p>
            <w:pPr>
              <w:spacing w:before="0" w:after="0" w:line="269" w:lineRule="auto"/>
            </w:pPr>
            <w:r>
              <w:rPr>
                <w:rFonts w:ascii="Segoe UI" w:hAnsi="Segoe UI"/>
                <w:color w:val="334155"/>
                <w:sz w:val="18"/>
              </w:rPr>
              <w:t>High-performance real-time SVG throughput curves, multi-bar variance charts, Pareto loss distributions, and circular OEE gauge meters.</w:t>
            </w:r>
          </w:p>
        </w:tc>
      </w:tr>
      <w:tr>
        <w:tc>
          <w:tcPr>
            <w:tcW w:type="dxa" w:w="2592"/>
            <w:shd w:fill="F8FAFC"/>
            <w:tcMar>
              <w:top w:w="100" w:type="dxa"/>
              <w:bottom w:w="100" w:type="dxa"/>
              <w:left w:w="140" w:type="dxa"/>
              <w:right w:w="140" w:type="dxa"/>
            </w:tcMar>
            <w:tcBorders>
              <w:top w:val="none"/>
              <w:left w:val="none"/>
              <w:bottom w:val="single" w:sz="4" w:space="0" w:color="CBD5E1"/>
              <w:right w:val="none"/>
            </w:tcBorders>
          </w:tcPr>
          <w:p>
            <w:pPr>
              <w:spacing w:before="0" w:after="0" w:line="269" w:lineRule="auto"/>
            </w:pPr>
            <w:r>
              <w:rPr>
                <w:rFonts w:ascii="Segoe UI" w:hAnsi="Segoe UI"/>
                <w:color w:val="334155"/>
                <w:sz w:val="18"/>
              </w:rPr>
              <w:t>State Management Architecture</w:t>
            </w:r>
          </w:p>
        </w:tc>
        <w:tc>
          <w:tcPr>
            <w:tcW w:type="dxa" w:w="2592"/>
            <w:shd w:fill="F8FAFC"/>
            <w:tcMar>
              <w:top w:w="100" w:type="dxa"/>
              <w:bottom w:w="100" w:type="dxa"/>
              <w:left w:w="140" w:type="dxa"/>
              <w:right w:w="140" w:type="dxa"/>
            </w:tcMar>
            <w:tcBorders>
              <w:top w:val="none"/>
              <w:left w:val="none"/>
              <w:bottom w:val="single" w:sz="4" w:space="0" w:color="CBD5E1"/>
              <w:right w:val="none"/>
            </w:tcBorders>
          </w:tcPr>
          <w:p>
            <w:pPr>
              <w:spacing w:before="0" w:after="0" w:line="269" w:lineRule="auto"/>
            </w:pPr>
            <w:r>
              <w:rPr>
                <w:rFonts w:ascii="Segoe UI" w:hAnsi="Segoe UI"/>
                <w:color w:val="334155"/>
                <w:sz w:val="18"/>
              </w:rPr>
              <w:t>React Context API (8 Domains)</w:t>
            </w:r>
          </w:p>
        </w:tc>
        <w:tc>
          <w:tcPr>
            <w:tcW w:type="dxa" w:w="4752"/>
            <w:shd w:fill="F8FAFC"/>
            <w:tcMar>
              <w:top w:w="100" w:type="dxa"/>
              <w:bottom w:w="100" w:type="dxa"/>
              <w:left w:w="140" w:type="dxa"/>
              <w:right w:w="140" w:type="dxa"/>
            </w:tcMar>
            <w:tcBorders>
              <w:top w:val="none"/>
              <w:left w:val="none"/>
              <w:bottom w:val="single" w:sz="4" w:space="0" w:color="CBD5E1"/>
              <w:right w:val="none"/>
            </w:tcBorders>
          </w:tcPr>
          <w:p>
            <w:pPr>
              <w:spacing w:before="0" w:after="0" w:line="269" w:lineRule="auto"/>
            </w:pPr>
            <w:r>
              <w:rPr>
                <w:rFonts w:ascii="Segoe UI" w:hAnsi="Segoe UI"/>
                <w:color w:val="334155"/>
                <w:sz w:val="18"/>
              </w:rPr>
              <w:t>8 Domain-specific contexts (MasterData, Admin, Production, Planning, CI, Quality, Exception) backed by local storage caching and live backend re-sync.</w:t>
            </w:r>
          </w:p>
        </w:tc>
      </w:tr>
      <w:tr>
        <w:tc>
          <w:tcPr>
            <w:tcW w:type="dxa" w:w="2592"/>
            <w:shd w:fill="FFFFFF"/>
            <w:tcMar>
              <w:top w:w="100" w:type="dxa"/>
              <w:bottom w:w="100" w:type="dxa"/>
              <w:left w:w="140" w:type="dxa"/>
              <w:right w:w="140" w:type="dxa"/>
            </w:tcMar>
            <w:tcBorders>
              <w:top w:val="none"/>
              <w:left w:val="none"/>
              <w:bottom w:val="single" w:sz="4" w:space="0" w:color="CBD5E1"/>
              <w:right w:val="none"/>
            </w:tcBorders>
          </w:tcPr>
          <w:p>
            <w:pPr>
              <w:spacing w:before="0" w:after="0" w:line="269" w:lineRule="auto"/>
            </w:pPr>
            <w:r>
              <w:rPr>
                <w:rFonts w:ascii="Segoe UI" w:hAnsi="Segoe UI"/>
                <w:color w:val="334155"/>
                <w:sz w:val="18"/>
              </w:rPr>
              <w:t>Backend Runtime</w:t>
            </w:r>
          </w:p>
        </w:tc>
        <w:tc>
          <w:tcPr>
            <w:tcW w:type="dxa" w:w="2592"/>
            <w:shd w:fill="FFFFFF"/>
            <w:tcMar>
              <w:top w:w="100" w:type="dxa"/>
              <w:bottom w:w="100" w:type="dxa"/>
              <w:left w:w="140" w:type="dxa"/>
              <w:right w:w="140" w:type="dxa"/>
            </w:tcMar>
            <w:tcBorders>
              <w:top w:val="none"/>
              <w:left w:val="none"/>
              <w:bottom w:val="single" w:sz="4" w:space="0" w:color="CBD5E1"/>
              <w:right w:val="none"/>
            </w:tcBorders>
          </w:tcPr>
          <w:p>
            <w:pPr>
              <w:spacing w:before="0" w:after="0" w:line="269" w:lineRule="auto"/>
            </w:pPr>
            <w:r>
              <w:rPr>
                <w:rFonts w:ascii="Segoe UI" w:hAnsi="Segoe UI"/>
                <w:color w:val="334155"/>
                <w:sz w:val="18"/>
              </w:rPr>
              <w:t>Node.js 22 LTS + TypeScript 5.7</w:t>
            </w:r>
          </w:p>
        </w:tc>
        <w:tc>
          <w:tcPr>
            <w:tcW w:type="dxa" w:w="4752"/>
            <w:shd w:fill="FFFFFF"/>
            <w:tcMar>
              <w:top w:w="100" w:type="dxa"/>
              <w:bottom w:w="100" w:type="dxa"/>
              <w:left w:w="140" w:type="dxa"/>
              <w:right w:w="140" w:type="dxa"/>
            </w:tcMar>
            <w:tcBorders>
              <w:top w:val="none"/>
              <w:left w:val="none"/>
              <w:bottom w:val="single" w:sz="4" w:space="0" w:color="CBD5E1"/>
              <w:right w:val="none"/>
            </w:tcBorders>
          </w:tcPr>
          <w:p>
            <w:pPr>
              <w:spacing w:before="0" w:after="0" w:line="269" w:lineRule="auto"/>
            </w:pPr>
            <w:r>
              <w:rPr>
                <w:rFonts w:ascii="Segoe UI" w:hAnsi="Segoe UI"/>
                <w:color w:val="334155"/>
                <w:sz w:val="18"/>
              </w:rPr>
              <w:t>Strict static type safety, enterprise interface contracts, and non-blocking asynchronous event loop handling 30,000+ req/sec.</w:t>
            </w:r>
          </w:p>
        </w:tc>
      </w:tr>
      <w:tr>
        <w:tc>
          <w:tcPr>
            <w:tcW w:type="dxa" w:w="2592"/>
            <w:shd w:fill="F8FAFC"/>
            <w:tcMar>
              <w:top w:w="100" w:type="dxa"/>
              <w:bottom w:w="100" w:type="dxa"/>
              <w:left w:w="140" w:type="dxa"/>
              <w:right w:w="140" w:type="dxa"/>
            </w:tcMar>
            <w:tcBorders>
              <w:top w:val="none"/>
              <w:left w:val="none"/>
              <w:bottom w:val="single" w:sz="4" w:space="0" w:color="CBD5E1"/>
              <w:right w:val="none"/>
            </w:tcBorders>
          </w:tcPr>
          <w:p>
            <w:pPr>
              <w:spacing w:before="0" w:after="0" w:line="269" w:lineRule="auto"/>
            </w:pPr>
            <w:r>
              <w:rPr>
                <w:rFonts w:ascii="Segoe UI" w:hAnsi="Segoe UI"/>
                <w:color w:val="334155"/>
                <w:sz w:val="18"/>
              </w:rPr>
              <w:t>API Web Framework</w:t>
            </w:r>
          </w:p>
        </w:tc>
        <w:tc>
          <w:tcPr>
            <w:tcW w:type="dxa" w:w="2592"/>
            <w:shd w:fill="F8FAFC"/>
            <w:tcMar>
              <w:top w:w="100" w:type="dxa"/>
              <w:bottom w:w="100" w:type="dxa"/>
              <w:left w:w="140" w:type="dxa"/>
              <w:right w:w="140" w:type="dxa"/>
            </w:tcMar>
            <w:tcBorders>
              <w:top w:val="none"/>
              <w:left w:val="none"/>
              <w:bottom w:val="single" w:sz="4" w:space="0" w:color="CBD5E1"/>
              <w:right w:val="none"/>
            </w:tcBorders>
          </w:tcPr>
          <w:p>
            <w:pPr>
              <w:spacing w:before="0" w:after="0" w:line="269" w:lineRule="auto"/>
            </w:pPr>
            <w:r>
              <w:rPr>
                <w:rFonts w:ascii="Segoe UI" w:hAnsi="Segoe UI"/>
                <w:color w:val="334155"/>
                <w:sz w:val="18"/>
              </w:rPr>
              <w:t>Fastify v5.0+</w:t>
            </w:r>
          </w:p>
        </w:tc>
        <w:tc>
          <w:tcPr>
            <w:tcW w:type="dxa" w:w="4752"/>
            <w:shd w:fill="F8FAFC"/>
            <w:tcMar>
              <w:top w:w="100" w:type="dxa"/>
              <w:bottom w:w="100" w:type="dxa"/>
              <w:left w:w="140" w:type="dxa"/>
              <w:right w:w="140" w:type="dxa"/>
            </w:tcMar>
            <w:tcBorders>
              <w:top w:val="none"/>
              <w:left w:val="none"/>
              <w:bottom w:val="single" w:sz="4" w:space="0" w:color="CBD5E1"/>
              <w:right w:val="none"/>
            </w:tcBorders>
          </w:tcPr>
          <w:p>
            <w:pPr>
              <w:spacing w:before="0" w:after="0" w:line="269" w:lineRule="auto"/>
            </w:pPr>
            <w:r>
              <w:rPr>
                <w:rFonts w:ascii="Segoe UI" w:hAnsi="Segoe UI"/>
                <w:color w:val="334155"/>
                <w:sz w:val="18"/>
              </w:rPr>
              <w:t>Micro-overhead HTTP framework offering built-in JSON schema validation, route encapsulation, and industry-leading throughput.</w:t>
            </w:r>
          </w:p>
        </w:tc>
      </w:tr>
      <w:tr>
        <w:tc>
          <w:tcPr>
            <w:tcW w:type="dxa" w:w="2592"/>
            <w:shd w:fill="FFFFFF"/>
            <w:tcMar>
              <w:top w:w="100" w:type="dxa"/>
              <w:bottom w:w="100" w:type="dxa"/>
              <w:left w:w="140" w:type="dxa"/>
              <w:right w:w="140" w:type="dxa"/>
            </w:tcMar>
            <w:tcBorders>
              <w:top w:val="none"/>
              <w:left w:val="none"/>
              <w:bottom w:val="single" w:sz="4" w:space="0" w:color="CBD5E1"/>
              <w:right w:val="none"/>
            </w:tcBorders>
          </w:tcPr>
          <w:p>
            <w:pPr>
              <w:spacing w:before="0" w:after="0" w:line="269" w:lineRule="auto"/>
            </w:pPr>
            <w:r>
              <w:rPr>
                <w:rFonts w:ascii="Segoe UI" w:hAnsi="Segoe UI"/>
                <w:color w:val="334155"/>
                <w:sz w:val="18"/>
              </w:rPr>
              <w:t>Database &amp; ORM Layer</w:t>
            </w:r>
          </w:p>
        </w:tc>
        <w:tc>
          <w:tcPr>
            <w:tcW w:type="dxa" w:w="2592"/>
            <w:shd w:fill="FFFFFF"/>
            <w:tcMar>
              <w:top w:w="100" w:type="dxa"/>
              <w:bottom w:w="100" w:type="dxa"/>
              <w:left w:w="140" w:type="dxa"/>
              <w:right w:w="140" w:type="dxa"/>
            </w:tcMar>
            <w:tcBorders>
              <w:top w:val="none"/>
              <w:left w:val="none"/>
              <w:bottom w:val="single" w:sz="4" w:space="0" w:color="CBD5E1"/>
              <w:right w:val="none"/>
            </w:tcBorders>
          </w:tcPr>
          <w:p>
            <w:pPr>
              <w:spacing w:before="0" w:after="0" w:line="269" w:lineRule="auto"/>
            </w:pPr>
            <w:r>
              <w:rPr>
                <w:rFonts w:ascii="Segoe UI" w:hAnsi="Segoe UI"/>
                <w:color w:val="334155"/>
                <w:sz w:val="18"/>
              </w:rPr>
              <w:t>PostgreSQL 16 + Drizzle ORM</w:t>
            </w:r>
          </w:p>
        </w:tc>
        <w:tc>
          <w:tcPr>
            <w:tcW w:type="dxa" w:w="4752"/>
            <w:shd w:fill="FFFFFF"/>
            <w:tcMar>
              <w:top w:w="100" w:type="dxa"/>
              <w:bottom w:w="100" w:type="dxa"/>
              <w:left w:w="140" w:type="dxa"/>
              <w:right w:w="140" w:type="dxa"/>
            </w:tcMar>
            <w:tcBorders>
              <w:top w:val="none"/>
              <w:left w:val="none"/>
              <w:bottom w:val="single" w:sz="4" w:space="0" w:color="CBD5E1"/>
              <w:right w:val="none"/>
            </w:tcBorders>
          </w:tcPr>
          <w:p>
            <w:pPr>
              <w:spacing w:before="0" w:after="0" w:line="269" w:lineRule="auto"/>
            </w:pPr>
            <w:r>
              <w:rPr>
                <w:rFonts w:ascii="Segoe UI" w:hAnsi="Segoe UI"/>
                <w:color w:val="334155"/>
                <w:sz w:val="18"/>
              </w:rPr>
              <w:t>73 fully normalized relational tables, strict foreign-key integrity, JSONB semi-structured batch parameters, and automated migrations.</w:t>
            </w:r>
          </w:p>
        </w:tc>
      </w:tr>
      <w:tr>
        <w:tc>
          <w:tcPr>
            <w:tcW w:type="dxa" w:w="2592"/>
            <w:shd w:fill="F8FAFC"/>
            <w:tcMar>
              <w:top w:w="100" w:type="dxa"/>
              <w:bottom w:w="100" w:type="dxa"/>
              <w:left w:w="140" w:type="dxa"/>
              <w:right w:w="140" w:type="dxa"/>
            </w:tcMar>
            <w:tcBorders>
              <w:top w:val="none"/>
              <w:left w:val="none"/>
              <w:bottom w:val="single" w:sz="4" w:space="0" w:color="CBD5E1"/>
              <w:right w:val="none"/>
            </w:tcBorders>
          </w:tcPr>
          <w:p>
            <w:pPr>
              <w:spacing w:before="0" w:after="0" w:line="269" w:lineRule="auto"/>
            </w:pPr>
            <w:r>
              <w:rPr>
                <w:rFonts w:ascii="Segoe UI" w:hAnsi="Segoe UI"/>
                <w:color w:val="334155"/>
                <w:sz w:val="18"/>
              </w:rPr>
              <w:t>Security &amp; Authentication</w:t>
            </w:r>
          </w:p>
        </w:tc>
        <w:tc>
          <w:tcPr>
            <w:tcW w:type="dxa" w:w="2592"/>
            <w:shd w:fill="F8FAFC"/>
            <w:tcMar>
              <w:top w:w="100" w:type="dxa"/>
              <w:bottom w:w="100" w:type="dxa"/>
              <w:left w:w="140" w:type="dxa"/>
              <w:right w:w="140" w:type="dxa"/>
            </w:tcMar>
            <w:tcBorders>
              <w:top w:val="none"/>
              <w:left w:val="none"/>
              <w:bottom w:val="single" w:sz="4" w:space="0" w:color="CBD5E1"/>
              <w:right w:val="none"/>
            </w:tcBorders>
          </w:tcPr>
          <w:p>
            <w:pPr>
              <w:spacing w:before="0" w:after="0" w:line="269" w:lineRule="auto"/>
            </w:pPr>
            <w:r>
              <w:rPr>
                <w:rFonts w:ascii="Segoe UI" w:hAnsi="Segoe UI"/>
                <w:color w:val="334155"/>
                <w:sz w:val="18"/>
              </w:rPr>
              <w:t>Fastify JWT &amp; BCrypt</w:t>
            </w:r>
          </w:p>
        </w:tc>
        <w:tc>
          <w:tcPr>
            <w:tcW w:type="dxa" w:w="4752"/>
            <w:shd w:fill="F8FAFC"/>
            <w:tcMar>
              <w:top w:w="100" w:type="dxa"/>
              <w:bottom w:w="100" w:type="dxa"/>
              <w:left w:w="140" w:type="dxa"/>
              <w:right w:w="140" w:type="dxa"/>
            </w:tcMar>
            <w:tcBorders>
              <w:top w:val="none"/>
              <w:left w:val="none"/>
              <w:bottom w:val="single" w:sz="4" w:space="0" w:color="CBD5E1"/>
              <w:right w:val="none"/>
            </w:tcBorders>
          </w:tcPr>
          <w:p>
            <w:pPr>
              <w:spacing w:before="0" w:after="0" w:line="269" w:lineRule="auto"/>
            </w:pPr>
            <w:r>
              <w:rPr>
                <w:rFonts w:ascii="Segoe UI" w:hAnsi="Segoe UI"/>
                <w:color w:val="334155"/>
                <w:sz w:val="18"/>
              </w:rPr>
              <w:t>Stateless JSON Web Tokens with cryptographically salted password hashing (salt rounds = 10) and role-permission authorization guards.</w:t>
            </w:r>
          </w:p>
        </w:tc>
      </w:tr>
      <w:tr>
        <w:tc>
          <w:tcPr>
            <w:tcW w:type="dxa" w:w="2592"/>
            <w:shd w:fill="FFFFFF"/>
            <w:tcMar>
              <w:top w:w="100" w:type="dxa"/>
              <w:bottom w:w="100" w:type="dxa"/>
              <w:left w:w="140" w:type="dxa"/>
              <w:right w:w="140" w:type="dxa"/>
            </w:tcMar>
            <w:tcBorders>
              <w:top w:val="none"/>
              <w:left w:val="none"/>
              <w:bottom w:val="single" w:sz="4" w:space="0" w:color="CBD5E1"/>
              <w:right w:val="none"/>
            </w:tcBorders>
          </w:tcPr>
          <w:p>
            <w:pPr>
              <w:spacing w:before="0" w:after="0" w:line="269" w:lineRule="auto"/>
            </w:pPr>
            <w:r>
              <w:rPr>
                <w:rFonts w:ascii="Segoe UI" w:hAnsi="Segoe UI"/>
                <w:color w:val="334155"/>
                <w:sz w:val="18"/>
              </w:rPr>
              <w:t>Self-Documenting API</w:t>
            </w:r>
          </w:p>
        </w:tc>
        <w:tc>
          <w:tcPr>
            <w:tcW w:type="dxa" w:w="2592"/>
            <w:shd w:fill="FFFFFF"/>
            <w:tcMar>
              <w:top w:w="100" w:type="dxa"/>
              <w:bottom w:w="100" w:type="dxa"/>
              <w:left w:w="140" w:type="dxa"/>
              <w:right w:w="140" w:type="dxa"/>
            </w:tcMar>
            <w:tcBorders>
              <w:top w:val="none"/>
              <w:left w:val="none"/>
              <w:bottom w:val="single" w:sz="4" w:space="0" w:color="CBD5E1"/>
              <w:right w:val="none"/>
            </w:tcBorders>
          </w:tcPr>
          <w:p>
            <w:pPr>
              <w:spacing w:before="0" w:after="0" w:line="269" w:lineRule="auto"/>
            </w:pPr>
            <w:r>
              <w:rPr>
                <w:rFonts w:ascii="Segoe UI" w:hAnsi="Segoe UI"/>
                <w:color w:val="334155"/>
                <w:sz w:val="18"/>
              </w:rPr>
              <w:t>Fastify Swagger / OpenAPI 3.0</w:t>
            </w:r>
          </w:p>
        </w:tc>
        <w:tc>
          <w:tcPr>
            <w:tcW w:type="dxa" w:w="4752"/>
            <w:shd w:fill="FFFFFF"/>
            <w:tcMar>
              <w:top w:w="100" w:type="dxa"/>
              <w:bottom w:w="100" w:type="dxa"/>
              <w:left w:w="140" w:type="dxa"/>
              <w:right w:w="140" w:type="dxa"/>
            </w:tcMar>
            <w:tcBorders>
              <w:top w:val="none"/>
              <w:left w:val="none"/>
              <w:bottom w:val="single" w:sz="4" w:space="0" w:color="CBD5E1"/>
              <w:right w:val="none"/>
            </w:tcBorders>
          </w:tcPr>
          <w:p>
            <w:pPr>
              <w:spacing w:before="0" w:after="0" w:line="269" w:lineRule="auto"/>
            </w:pPr>
            <w:r>
              <w:rPr>
                <w:rFonts w:ascii="Segoe UI" w:hAnsi="Segoe UI"/>
                <w:color w:val="334155"/>
                <w:sz w:val="18"/>
              </w:rPr>
              <w:t>Interactive API documentation UI automatically hosted at /docs for testing all backend routes.</w:t>
            </w:r>
          </w:p>
        </w:tc>
      </w:tr>
      <w:tr>
        <w:tc>
          <w:tcPr>
            <w:tcW w:type="dxa" w:w="2592"/>
            <w:shd w:fill="F8FAFC"/>
            <w:tcMar>
              <w:top w:w="100" w:type="dxa"/>
              <w:bottom w:w="100" w:type="dxa"/>
              <w:left w:w="140" w:type="dxa"/>
              <w:right w:w="140" w:type="dxa"/>
            </w:tcMar>
            <w:tcBorders>
              <w:top w:val="none"/>
              <w:left w:val="none"/>
              <w:bottom w:val="single" w:sz="4" w:space="0" w:color="CBD5E1"/>
              <w:right w:val="none"/>
            </w:tcBorders>
          </w:tcPr>
          <w:p>
            <w:pPr>
              <w:spacing w:before="0" w:after="0" w:line="269" w:lineRule="auto"/>
            </w:pPr>
            <w:r>
              <w:rPr>
                <w:rFonts w:ascii="Segoe UI" w:hAnsi="Segoe UI"/>
                <w:color w:val="334155"/>
                <w:sz w:val="18"/>
              </w:rPr>
              <w:t>Resilience &amp; Zero-Downtime</w:t>
            </w:r>
          </w:p>
        </w:tc>
        <w:tc>
          <w:tcPr>
            <w:tcW w:type="dxa" w:w="2592"/>
            <w:shd w:fill="F8FAFC"/>
            <w:tcMar>
              <w:top w:w="100" w:type="dxa"/>
              <w:bottom w:w="100" w:type="dxa"/>
              <w:left w:w="140" w:type="dxa"/>
              <w:right w:w="140" w:type="dxa"/>
            </w:tcMar>
            <w:tcBorders>
              <w:top w:val="none"/>
              <w:left w:val="none"/>
              <w:bottom w:val="single" w:sz="4" w:space="0" w:color="CBD5E1"/>
              <w:right w:val="none"/>
            </w:tcBorders>
          </w:tcPr>
          <w:p>
            <w:pPr>
              <w:spacing w:before="0" w:after="0" w:line="269" w:lineRule="auto"/>
            </w:pPr>
            <w:r>
              <w:rPr>
                <w:rFonts w:ascii="Segoe UI" w:hAnsi="Segoe UI"/>
                <w:color w:val="334155"/>
                <w:sz w:val="18"/>
              </w:rPr>
              <w:t>Dual-Engine In-Memory Failover</w:t>
            </w:r>
          </w:p>
        </w:tc>
        <w:tc>
          <w:tcPr>
            <w:tcW w:type="dxa" w:w="4752"/>
            <w:shd w:fill="F8FAFC"/>
            <w:tcMar>
              <w:top w:w="100" w:type="dxa"/>
              <w:bottom w:w="100" w:type="dxa"/>
              <w:left w:w="140" w:type="dxa"/>
              <w:right w:w="140" w:type="dxa"/>
            </w:tcMar>
            <w:tcBorders>
              <w:top w:val="none"/>
              <w:left w:val="none"/>
              <w:bottom w:val="single" w:sz="4" w:space="0" w:color="CBD5E1"/>
              <w:right w:val="none"/>
            </w:tcBorders>
          </w:tcPr>
          <w:p>
            <w:pPr>
              <w:spacing w:before="0" w:after="0" w:line="269" w:lineRule="auto"/>
            </w:pPr>
            <w:r>
              <w:rPr>
                <w:rFonts w:ascii="Segoe UI" w:hAnsi="Segoe UI"/>
                <w:color w:val="334155"/>
                <w:sz w:val="18"/>
              </w:rPr>
              <w:t>If the PostgreSQL database undergoes network blips or maintenance, the backend gracefully switches to cached in-memory models so floor terminals never crash.</w:t>
            </w:r>
          </w:p>
        </w:tc>
      </w:tr>
    </w:tbl>
    <w:p>
      <w:pPr>
        <w:spacing w:before="40" w:after="120"/>
      </w:pPr>
    </w:p>
    <w:tbl>
      <w:tblPr>
        <w:tblW w:type="auto" w:w="0"/>
        <w:jc w:val="center"/>
        <w:tblLayout w:type="fixed"/>
        <w:tblLook w:firstColumn="1" w:firstRow="1" w:lastColumn="0" w:lastRow="0" w:noHBand="0" w:noVBand="1" w:val="04A0"/>
      </w:tblPr>
      <w:tblGrid>
        <w:gridCol w:w="9936"/>
      </w:tblGrid>
      <w:tr>
        <w:tc>
          <w:tcPr>
            <w:tcW w:type="dxa" w:w="9792"/>
            <w:shd w:fill="F8FAFC"/>
            <w:tcMar>
              <w:top w:w="140" w:type="dxa"/>
              <w:bottom w:w="140" w:type="dxa"/>
              <w:left w:w="200" w:type="dxa"/>
              <w:right w:w="180" w:type="dxa"/>
            </w:tcMar>
            <w:tcBorders>
              <w:top w:val="none"/>
              <w:left w:val="single" w:sz="30" w:space="0" w:color="1E3A8A"/>
              <w:bottom w:val="none"/>
              <w:right w:val="none"/>
            </w:tcBorders>
          </w:tcPr>
          <w:p>
            <w:pPr>
              <w:spacing w:before="40" w:after="80" w:line="276" w:lineRule="auto"/>
            </w:pPr>
            <w:r>
              <w:rPr>
                <w:rFonts w:ascii="Segoe UI" w:hAnsi="Segoe UI"/>
                <w:b/>
                <w:color w:val="1E3A8A"/>
                <w:sz w:val="19"/>
              </w:rPr>
              <w:t>★  WHY FASTIFY + POSTGRESQL + PURE CSS?</w:t>
              <w:br/>
            </w:r>
            <w:r>
              <w:rPr>
                <w:rFonts w:ascii="Segoe UI" w:hAnsi="Segoe UI"/>
                <w:color w:val="334155"/>
                <w:sz w:val="19"/>
              </w:rPr>
              <w:t>Factories operate 24/7/365 in harsh conditions where network latencies and terminal hardware vary widely. By choosing Fastify (lowest server overhead) and Vanilla CSS tokens (zero external styling bloat), MaintenX-OS renders complex live machine dashboards in under 80 milliseconds even on industrial ruggedized tablets.</w:t>
            </w:r>
          </w:p>
        </w:tc>
      </w:tr>
    </w:tbl>
    <w:p>
      <w:pPr>
        <w:spacing w:after="80"/>
      </w:pPr>
    </w:p>
    <w:p>
      <w:pPr>
        <w:pStyle w:val="Heading1"/>
        <w:keepNext/>
        <w:spacing w:before="360" w:after="120"/>
      </w:pPr>
      <w:r>
        <w:rPr>
          <w:rFonts w:ascii="Segoe UI" w:hAnsi="Segoe UI"/>
          <w:b/>
          <w:color w:val="0F172A"/>
          <w:sz w:val="34"/>
        </w:rPr>
        <w:t>3. High-Level System Architecture &amp; Topology</w:t>
      </w:r>
    </w:p>
    <w:p>
      <w:pPr>
        <w:spacing w:before="0" w:after="120" w:line="283" w:lineRule="auto"/>
      </w:pPr>
      <w:r>
        <w:rPr>
          <w:rFonts w:ascii="Segoe UI" w:hAnsi="Segoe UI"/>
          <w:color w:val="334155"/>
          <w:sz w:val="20"/>
        </w:rPr>
        <w:t>The MaintenX-OS system follows a resilient, three-tier enterprise architecture engineered for zero plant interruption:</w:t>
      </w:r>
    </w:p>
    <w:tbl>
      <w:tblPr>
        <w:tblW w:type="auto" w:w="0"/>
        <w:jc w:val="center"/>
        <w:tblLayout w:type="fixed"/>
        <w:tblLook w:firstColumn="1" w:firstRow="1" w:lastColumn="0" w:lastRow="0" w:noHBand="0" w:noVBand="1" w:val="04A0"/>
      </w:tblPr>
      <w:tblGrid>
        <w:gridCol w:w="9936"/>
      </w:tblGrid>
      <w:tr>
        <w:tc>
          <w:tcPr>
            <w:tcW w:type="dxa" w:w="9792"/>
            <w:shd w:fill="F8FAFC"/>
            <w:tcMar>
              <w:top w:w="140" w:type="dxa"/>
              <w:bottom w:w="140" w:type="dxa"/>
              <w:left w:w="200" w:type="dxa"/>
              <w:right w:w="180" w:type="dxa"/>
            </w:tcMar>
            <w:tcBorders>
              <w:top w:val="none"/>
              <w:left w:val="single" w:sz="30" w:space="0" w:color="1E3A8A"/>
              <w:bottom w:val="none"/>
              <w:right w:val="none"/>
            </w:tcBorders>
          </w:tcPr>
          <w:p>
            <w:pPr>
              <w:spacing w:before="40" w:after="80" w:line="276" w:lineRule="auto"/>
            </w:pPr>
            <w:r>
              <w:rPr>
                <w:rFonts w:ascii="Segoe UI" w:hAnsi="Segoe UI"/>
                <w:b/>
                <w:color w:val="1E3A8A"/>
                <w:sz w:val="19"/>
              </w:rPr>
              <w:t>★  TIER 1: FRONTEND CLIENT PRESENTATION LAYER</w:t>
              <w:br/>
            </w:r>
            <w:r>
              <w:rPr>
                <w:rFonts w:ascii="Segoe UI" w:hAnsi="Segoe UI"/>
                <w:color w:val="334155"/>
                <w:sz w:val="19"/>
              </w:rPr>
              <w:t>• React 19 Single Page Application (Vite 8)</w:t>
              <w:br/>
              <w:t>• 8 Dedicated Role Workspaces (Plant Manager, Production, Planning, CI, Quality, CMMS, WMS, Admin)</w:t>
              <w:br/>
              <w:t>• Industrial Touchscreen Optimized • Dark Mode Industrial Theme • Luxury Vanilla CSS Design Tokens</w:t>
            </w:r>
          </w:p>
        </w:tc>
      </w:tr>
    </w:tbl>
    <w:p>
      <w:pPr>
        <w:spacing w:after="80"/>
      </w:pPr>
    </w:p>
    <w:tbl>
      <w:tblPr>
        <w:tblW w:type="auto" w:w="0"/>
        <w:jc w:val="center"/>
        <w:tblLayout w:type="fixed"/>
        <w:tblLook w:firstColumn="1" w:firstRow="1" w:lastColumn="0" w:lastRow="0" w:noHBand="0" w:noVBand="1" w:val="04A0"/>
      </w:tblPr>
      <w:tblGrid>
        <w:gridCol w:w="9936"/>
      </w:tblGrid>
      <w:tr>
        <w:tc>
          <w:tcPr>
            <w:tcW w:type="dxa" w:w="9792"/>
            <w:shd w:fill="F8FAFC"/>
            <w:tcMar>
              <w:top w:w="140" w:type="dxa"/>
              <w:bottom w:w="140" w:type="dxa"/>
              <w:left w:w="200" w:type="dxa"/>
              <w:right w:w="180" w:type="dxa"/>
            </w:tcMar>
            <w:tcBorders>
              <w:top w:val="none"/>
              <w:left w:val="single" w:sz="30" w:space="0" w:color="C89547"/>
              <w:bottom w:val="none"/>
              <w:right w:val="none"/>
            </w:tcBorders>
          </w:tcPr>
          <w:p>
            <w:pPr>
              <w:spacing w:before="40" w:after="80" w:line="276" w:lineRule="auto"/>
            </w:pPr>
            <w:r>
              <w:rPr>
                <w:rFonts w:ascii="Segoe UI" w:hAnsi="Segoe UI"/>
                <w:b/>
                <w:color w:val="C89547"/>
                <w:sz w:val="19"/>
              </w:rPr>
              <w:t>★  COMMUNICATION BUS</w:t>
              <w:br/>
            </w:r>
            <w:r>
              <w:rPr>
                <w:rFonts w:ascii="Segoe UI" w:hAnsi="Segoe UI"/>
                <w:color w:val="334155"/>
                <w:sz w:val="19"/>
              </w:rPr>
              <w:t>Secure HTTP REST / JSON Protocol with Bearer JWT Authorization &amp; Instant WebSocket Telemetry</w:t>
            </w:r>
          </w:p>
        </w:tc>
      </w:tr>
    </w:tbl>
    <w:p>
      <w:pPr>
        <w:spacing w:after="80"/>
      </w:pPr>
    </w:p>
    <w:tbl>
      <w:tblPr>
        <w:tblW w:type="auto" w:w="0"/>
        <w:jc w:val="center"/>
        <w:tblLayout w:type="fixed"/>
        <w:tblLook w:firstColumn="1" w:firstRow="1" w:lastColumn="0" w:lastRow="0" w:noHBand="0" w:noVBand="1" w:val="04A0"/>
      </w:tblPr>
      <w:tblGrid>
        <w:gridCol w:w="9936"/>
      </w:tblGrid>
      <w:tr>
        <w:tc>
          <w:tcPr>
            <w:tcW w:type="dxa" w:w="9792"/>
            <w:shd w:fill="F8FAFC"/>
            <w:tcMar>
              <w:top w:w="140" w:type="dxa"/>
              <w:bottom w:w="140" w:type="dxa"/>
              <w:left w:w="200" w:type="dxa"/>
              <w:right w:w="180" w:type="dxa"/>
            </w:tcMar>
            <w:tcBorders>
              <w:top w:val="none"/>
              <w:left w:val="single" w:sz="30" w:space="0" w:color="1E3A8A"/>
              <w:bottom w:val="none"/>
              <w:right w:val="none"/>
            </w:tcBorders>
          </w:tcPr>
          <w:p>
            <w:pPr>
              <w:spacing w:before="40" w:after="80" w:line="276" w:lineRule="auto"/>
            </w:pPr>
            <w:r>
              <w:rPr>
                <w:rFonts w:ascii="Segoe UI" w:hAnsi="Segoe UI"/>
                <w:b/>
                <w:color w:val="1E3A8A"/>
                <w:sz w:val="19"/>
              </w:rPr>
              <w:t>★  TIER 2: FASTIFY BACKEND API &amp; CALCULATION ENGINES</w:t>
              <w:br/>
            </w:r>
            <w:r>
              <w:rPr>
                <w:rFonts w:ascii="Segoe UI" w:hAnsi="Segoe UI"/>
                <w:color w:val="334155"/>
                <w:sz w:val="19"/>
              </w:rPr>
              <w:t>• Fastify 5.0 High-Throughput TypeScript Core on Port 4000</w:t>
              <w:br/>
              <w:t>• Manufacturing Logic Engines: OEE Deconstruction, Exponential Smoothing Forecast, Finite APS, MRP Netting</w:t>
              <w:br/>
              <w:t>• Resilience Guard: Dual-Engine In-Memory Dataset Fallback for Uninterrupted 24/7 Floor Operations</w:t>
              <w:br/>
              <w:t>• Security Middleware: Fastify Helmet, CORS Whitelisting, Fastify Rate-Limit, 21 CFR Part 11 Audit Logger</w:t>
            </w:r>
          </w:p>
        </w:tc>
      </w:tr>
    </w:tbl>
    <w:p>
      <w:pPr>
        <w:spacing w:after="80"/>
      </w:pPr>
    </w:p>
    <w:tbl>
      <w:tblPr>
        <w:tblW w:type="auto" w:w="0"/>
        <w:jc w:val="center"/>
        <w:tblLayout w:type="fixed"/>
        <w:tblLook w:firstColumn="1" w:firstRow="1" w:lastColumn="0" w:lastRow="0" w:noHBand="0" w:noVBand="1" w:val="04A0"/>
      </w:tblPr>
      <w:tblGrid>
        <w:gridCol w:w="9936"/>
      </w:tblGrid>
      <w:tr>
        <w:tc>
          <w:tcPr>
            <w:tcW w:type="dxa" w:w="9792"/>
            <w:shd w:fill="F8FAFC"/>
            <w:tcMar>
              <w:top w:w="140" w:type="dxa"/>
              <w:bottom w:w="140" w:type="dxa"/>
              <w:left w:w="200" w:type="dxa"/>
              <w:right w:w="180" w:type="dxa"/>
            </w:tcMar>
            <w:tcBorders>
              <w:top w:val="none"/>
              <w:left w:val="single" w:sz="30" w:space="0" w:color="C89547"/>
              <w:bottom w:val="none"/>
              <w:right w:val="none"/>
            </w:tcBorders>
          </w:tcPr>
          <w:p>
            <w:pPr>
              <w:spacing w:before="40" w:after="80" w:line="276" w:lineRule="auto"/>
            </w:pPr>
            <w:r>
              <w:rPr>
                <w:rFonts w:ascii="Segoe UI" w:hAnsi="Segoe UI"/>
                <w:b/>
                <w:color w:val="C89547"/>
                <w:sz w:val="19"/>
              </w:rPr>
              <w:t>★  DATABASE ADAPTER &amp; ORM</w:t>
              <w:br/>
            </w:r>
            <w:r>
              <w:rPr>
                <w:rFonts w:ascii="Segoe UI" w:hAnsi="Segoe UI"/>
                <w:color w:val="334155"/>
                <w:sz w:val="19"/>
              </w:rPr>
              <w:t>Drizzle ORM 0.38 with Connection Pooling via node-postgres (pg 8.13)</w:t>
            </w:r>
          </w:p>
        </w:tc>
      </w:tr>
    </w:tbl>
    <w:p>
      <w:pPr>
        <w:spacing w:after="80"/>
      </w:pPr>
    </w:p>
    <w:tbl>
      <w:tblPr>
        <w:tblW w:type="auto" w:w="0"/>
        <w:jc w:val="center"/>
        <w:tblLayout w:type="fixed"/>
        <w:tblLook w:firstColumn="1" w:firstRow="1" w:lastColumn="0" w:lastRow="0" w:noHBand="0" w:noVBand="1" w:val="04A0"/>
      </w:tblPr>
      <w:tblGrid>
        <w:gridCol w:w="9936"/>
      </w:tblGrid>
      <w:tr>
        <w:tc>
          <w:tcPr>
            <w:tcW w:type="dxa" w:w="9792"/>
            <w:shd w:fill="F8FAFC"/>
            <w:tcMar>
              <w:top w:w="140" w:type="dxa"/>
              <w:bottom w:w="140" w:type="dxa"/>
              <w:left w:w="200" w:type="dxa"/>
              <w:right w:w="180" w:type="dxa"/>
            </w:tcMar>
            <w:tcBorders>
              <w:top w:val="none"/>
              <w:left w:val="single" w:sz="30" w:space="0" w:color="1E3A8A"/>
              <w:bottom w:val="none"/>
              <w:right w:val="none"/>
            </w:tcBorders>
          </w:tcPr>
          <w:p>
            <w:pPr>
              <w:spacing w:before="40" w:after="80" w:line="276" w:lineRule="auto"/>
            </w:pPr>
            <w:r>
              <w:rPr>
                <w:rFonts w:ascii="Segoe UI" w:hAnsi="Segoe UI"/>
                <w:b/>
                <w:color w:val="1E3A8A"/>
                <w:sz w:val="19"/>
              </w:rPr>
              <w:t>★  TIER 3: PERSISTENT STORAGE TIER</w:t>
              <w:br/>
            </w:r>
            <w:r>
              <w:rPr>
                <w:rFonts w:ascii="Segoe UI" w:hAnsi="Segoe UI"/>
                <w:color w:val="334155"/>
                <w:sz w:val="19"/>
              </w:rPr>
              <w:t>• PostgreSQL 16 Enterprise Database</w:t>
              <w:br/>
              <w:t>• 73 Normalized Relational Tables spanning 11 Functional Domains</w:t>
              <w:br/>
              <w:t>• Multi-Tenant Foreign Keys, Immutable Audit Trails, and Semi-Structured JSONB Batch Execution Steps</w:t>
            </w:r>
          </w:p>
        </w:tc>
      </w:tr>
    </w:tbl>
    <w:p>
      <w:pPr>
        <w:spacing w:after="80"/>
      </w:pPr>
    </w:p>
    <w:p>
      <w:pPr>
        <w:pStyle w:val="Heading2"/>
        <w:keepNext/>
        <w:spacing w:before="280" w:after="80"/>
      </w:pPr>
      <w:r>
        <w:rPr>
          <w:rFonts w:ascii="Segoe UI" w:hAnsi="Segoe UI"/>
          <w:b/>
          <w:color w:val="1E3A8A"/>
          <w:sz w:val="26"/>
        </w:rPr>
        <w:t>3.1 Dual-Engine Zero-Downtime Resilience Architecture</w:t>
      </w:r>
    </w:p>
    <w:p>
      <w:pPr>
        <w:spacing w:before="0" w:after="120" w:line="283" w:lineRule="auto"/>
      </w:pPr>
      <w:r>
        <w:rPr>
          <w:rFonts w:ascii="Segoe UI" w:hAnsi="Segoe UI"/>
          <w:color w:val="334155"/>
          <w:sz w:val="20"/>
        </w:rPr>
        <w:t>In high-speed processing facilities, a software outage that stops a bottling or canning line costs between $5,000 and $20,000 per hour in idle labour and lost throughput. MaintenX-OS features a proprietary Dual-Engine Failover mechanism: if the persistent PostgreSQL database experiences network disconnection or scheduled maintenance, the backend automatically serves operational state from an synchronized in-memory model. Floor operators continue logging pitch counts, batch steps, and downtime without encountering white-screen crashes.</w:t>
      </w:r>
    </w:p>
    <w:p>
      <w:pPr>
        <w:pStyle w:val="Heading1"/>
        <w:keepNext/>
        <w:spacing w:before="360" w:after="120"/>
      </w:pPr>
      <w:r>
        <w:rPr>
          <w:rFonts w:ascii="Segoe UI" w:hAnsi="Segoe UI"/>
          <w:b/>
          <w:color w:val="0F172A"/>
          <w:sz w:val="34"/>
        </w:rPr>
        <w:t>4. Master Data Architecture (The Enterprise Foundation)</w:t>
      </w:r>
    </w:p>
    <w:p>
      <w:pPr>
        <w:spacing w:before="0" w:after="120" w:line="283" w:lineRule="auto"/>
      </w:pPr>
      <w:r>
        <w:rPr>
          <w:rFonts w:ascii="Segoe UI" w:hAnsi="Segoe UI"/>
          <w:color w:val="334155"/>
          <w:sz w:val="20"/>
        </w:rPr>
        <w:t>Every calculation, schedule, and quality verification in MaintenX-OS is governed by a strict, relational Master Data Hierarchy. This structure mirrors the ISA-95 international standard for enterprise-control integration:</w:t>
      </w:r>
    </w:p>
    <w:p>
      <w:pPr>
        <w:pStyle w:val="ListBullet"/>
        <w:spacing w:before="20" w:after="60" w:line="276" w:lineRule="auto"/>
      </w:pPr>
      <w:r>
        <w:rPr>
          <w:rFonts w:ascii="Segoe UI" w:hAnsi="Segoe UI"/>
          <w:b/>
          <w:color w:val="0F172A"/>
          <w:sz w:val="20"/>
        </w:rPr>
        <w:t xml:space="preserve">1. Legal Entities &amp; Multi-Plant Sites: </w:t>
      </w:r>
      <w:r>
        <w:rPr>
          <w:rFonts w:ascii="Segoe UI" w:hAnsi="Segoe UI"/>
          <w:color w:val="334155"/>
          <w:sz w:val="20"/>
        </w:rPr>
        <w:t>Defines corporate enterprise parents and individual manufacturing plants (e.g., Indore Facility, Austin Packaging Plant) with localized timezones, base currencies, and operational calendars.</w:t>
      </w:r>
    </w:p>
    <w:p>
      <w:pPr>
        <w:pStyle w:val="ListBullet"/>
        <w:spacing w:before="20" w:after="60" w:line="276" w:lineRule="auto"/>
      </w:pPr>
      <w:r>
        <w:rPr>
          <w:rFonts w:ascii="Segoe UI" w:hAnsi="Segoe UI"/>
          <w:b/>
          <w:color w:val="0F172A"/>
          <w:sz w:val="20"/>
        </w:rPr>
        <w:t xml:space="preserve">2. Departments &amp; High-Speed Lines: </w:t>
      </w:r>
      <w:r>
        <w:rPr>
          <w:rFonts w:ascii="Segoe UI" w:hAnsi="Segoe UI"/>
          <w:color w:val="334155"/>
          <w:sz w:val="20"/>
        </w:rPr>
        <w:t>Maps functional plant departments (Production, Maintenance, QA/QC, Warehouse, CI/Eng) and rated manufacturing lines (Line 1 Aseptic Bottling, Line 2 Processing, Line 3 Canning) with standard Bottles Per Hour (BPH) ratings.</w:t>
      </w:r>
    </w:p>
    <w:p>
      <w:pPr>
        <w:pStyle w:val="ListBullet"/>
        <w:spacing w:before="20" w:after="60" w:line="276" w:lineRule="auto"/>
      </w:pPr>
      <w:r>
        <w:rPr>
          <w:rFonts w:ascii="Segoe UI" w:hAnsi="Segoe UI"/>
          <w:b/>
          <w:color w:val="0F172A"/>
          <w:sz w:val="20"/>
        </w:rPr>
        <w:t xml:space="preserve">3. Work Centers &amp; Storage Resources: </w:t>
      </w:r>
      <w:r>
        <w:rPr>
          <w:rFonts w:ascii="Segoe UI" w:hAnsi="Segoe UI"/>
          <w:color w:val="334155"/>
          <w:sz w:val="20"/>
        </w:rPr>
        <w:t>Individual equipment workstations (Depalletizer, Rinsing-Filling-Capping Monoblock, Labeler, Case Packer, Palletizer) and physical storage nodes (Selective Pallet Racks, Jacketed Silos, Cold Storage Staging Bays).</w:t>
      </w:r>
    </w:p>
    <w:p>
      <w:pPr>
        <w:pStyle w:val="ListBullet"/>
        <w:spacing w:before="20" w:after="60" w:line="276" w:lineRule="auto"/>
      </w:pPr>
      <w:r>
        <w:rPr>
          <w:rFonts w:ascii="Segoe UI" w:hAnsi="Segoe UI"/>
          <w:b/>
          <w:color w:val="0F172A"/>
          <w:sz w:val="20"/>
        </w:rPr>
        <w:t xml:space="preserve">4. Items, Raw Materials &amp; Finished SKUs: </w:t>
      </w:r>
      <w:r>
        <w:rPr>
          <w:rFonts w:ascii="Segoe UI" w:hAnsi="Segoe UI"/>
          <w:color w:val="334155"/>
          <w:sz w:val="20"/>
        </w:rPr>
        <w:t>Categorized SKU inventory including Raw Ingredients (Liquid Sugar, Flavorings, Quinine), Packaging Materials (Glass Bottles, Aluminum Cans, Crowns, Cartons), and Finished Goods (Bottled Tonics, Soda Packs).</w:t>
      </w:r>
    </w:p>
    <w:p>
      <w:pPr>
        <w:pStyle w:val="ListBullet"/>
        <w:spacing w:before="20" w:after="60" w:line="276" w:lineRule="auto"/>
      </w:pPr>
      <w:r>
        <w:rPr>
          <w:rFonts w:ascii="Segoe UI" w:hAnsi="Segoe UI"/>
          <w:b/>
          <w:color w:val="0F172A"/>
          <w:sz w:val="20"/>
        </w:rPr>
        <w:t xml:space="preserve">5. Formulas (BOMs) &amp; Production Routings: </w:t>
      </w:r>
      <w:r>
        <w:rPr>
          <w:rFonts w:ascii="Segoe UI" w:hAnsi="Segoe UI"/>
          <w:color w:val="334155"/>
          <w:sz w:val="20"/>
        </w:rPr>
        <w:t>Multi-version Bills of Materials specifying exact ingredient ratios with scrap allowances, linked to sequential manufacturing routing operations (Dispense -&gt; Blend -&gt; Pasteurize -&gt; Bottle -&gt; Inspect -&gt; Palletize).</w:t>
      </w:r>
    </w:p>
    <w:p>
      <w:pPr>
        <w:pStyle w:val="ListBullet"/>
        <w:spacing w:before="20" w:after="60" w:line="276" w:lineRule="auto"/>
      </w:pPr>
      <w:r>
        <w:rPr>
          <w:rFonts w:ascii="Segoe UI" w:hAnsi="Segoe UI"/>
          <w:b/>
          <w:color w:val="0F172A"/>
          <w:sz w:val="20"/>
        </w:rPr>
        <w:t xml:space="preserve">6. Standards, SOPs &amp; Quality Limits: </w:t>
      </w:r>
      <w:r>
        <w:rPr>
          <w:rFonts w:ascii="Segoe UI" w:hAnsi="Segoe UI"/>
          <w:color w:val="334155"/>
          <w:sz w:val="20"/>
        </w:rPr>
        <w:t>Controlled Standard Operating Procedures (SOPs), Quality Lab Inspection Specs, HACCP Critical Control Point (CCP) thresholds, CIP/Allergen sanitation washout matrices, and labour staffing standards.</w:t>
      </w:r>
    </w:p>
    <w:tbl>
      <w:tblPr>
        <w:tblW w:type="auto" w:w="0"/>
        <w:jc w:val="center"/>
        <w:tblLayout w:type="fixed"/>
        <w:tblLook w:firstColumn="1" w:firstRow="1" w:lastColumn="0" w:lastRow="0" w:noHBand="0" w:noVBand="1" w:val="04A0"/>
      </w:tblPr>
      <w:tblGrid>
        <w:gridCol w:w="9936"/>
      </w:tblGrid>
      <w:tr>
        <w:tc>
          <w:tcPr>
            <w:tcW w:type="dxa" w:w="9792"/>
            <w:shd w:fill="F8FAFC"/>
            <w:tcMar>
              <w:top w:w="140" w:type="dxa"/>
              <w:bottom w:w="140" w:type="dxa"/>
              <w:left w:w="200" w:type="dxa"/>
              <w:right w:w="180" w:type="dxa"/>
            </w:tcMar>
            <w:tcBorders>
              <w:top w:val="none"/>
              <w:left w:val="single" w:sz="30" w:space="0" w:color="C89547"/>
              <w:bottom w:val="none"/>
              <w:right w:val="none"/>
            </w:tcBorders>
          </w:tcPr>
          <w:p>
            <w:pPr>
              <w:spacing w:before="40" w:after="80" w:line="276" w:lineRule="auto"/>
            </w:pPr>
            <w:r>
              <w:rPr>
                <w:rFonts w:ascii="Segoe UI" w:hAnsi="Segoe UI"/>
                <w:b/>
                <w:color w:val="C89547"/>
                <w:sz w:val="19"/>
              </w:rPr>
              <w:t>★  WHY MASTER DATA PRECISION MATTERS</w:t>
              <w:br/>
            </w:r>
            <w:r>
              <w:rPr>
                <w:rFonts w:ascii="Segoe UI" w:hAnsi="Segoe UI"/>
                <w:color w:val="334155"/>
                <w:sz w:val="19"/>
              </w:rPr>
              <w:t>By anchoring production orders, inventory balances, and machine telemetry to a unified Master Data schema, MaintenX-OS eliminates duplicate SKU numbers, obsolete BOM recipes, and mismatched machine line capacities across all departments.</w:t>
            </w:r>
          </w:p>
        </w:tc>
      </w:tr>
    </w:tbl>
    <w:p>
      <w:pPr>
        <w:spacing w:after="80"/>
      </w:pPr>
    </w:p>
    <w:p>
      <w:pPr>
        <w:pStyle w:val="Heading1"/>
        <w:keepNext/>
        <w:spacing w:before="360" w:after="120"/>
      </w:pPr>
      <w:r>
        <w:rPr>
          <w:rFonts w:ascii="Segoe UI" w:hAnsi="Segoe UI"/>
          <w:b/>
          <w:color w:val="0F172A"/>
          <w:sz w:val="34"/>
        </w:rPr>
        <w:t>5. The 8 Persona-Based Workspaces &amp; Portals</w:t>
      </w:r>
    </w:p>
    <w:p>
      <w:pPr>
        <w:spacing w:before="0" w:after="120" w:line="283" w:lineRule="auto"/>
      </w:pPr>
      <w:r>
        <w:rPr>
          <w:rFonts w:ascii="Segoe UI" w:hAnsi="Segoe UI"/>
          <w:color w:val="334155"/>
          <w:sz w:val="20"/>
        </w:rPr>
        <w:t>MaintenX-OS avoids a generic 'one-size-fits-all' layout. Instead, it provides 8 purpose-built portals tailored precisely to the specific daily workflows, key metrics, and action triggers of each manufacturing persona.</w:t>
      </w:r>
    </w:p>
    <w:p>
      <w:pPr>
        <w:pStyle w:val="Heading2"/>
        <w:keepNext/>
        <w:spacing w:before="280" w:after="80"/>
      </w:pPr>
      <w:r>
        <w:rPr>
          <w:rFonts w:ascii="Segoe UI" w:hAnsi="Segoe UI"/>
          <w:b/>
          <w:color w:val="1E3A8A"/>
          <w:sz w:val="26"/>
        </w:rPr>
        <w:t>5.1 Plant Director &amp; Executive Command Center (/command-center)</w:t>
      </w:r>
    </w:p>
    <w:p>
      <w:pPr>
        <w:spacing w:before="0" w:after="120" w:line="283" w:lineRule="auto"/>
      </w:pPr>
      <w:r>
        <w:rPr>
          <w:rFonts w:ascii="Segoe UI" w:hAnsi="Segoe UI"/>
          <w:b/>
          <w:color w:val="0F172A"/>
          <w:sz w:val="20"/>
        </w:rPr>
        <w:t xml:space="preserve">Role Profile: </w:t>
      </w:r>
      <w:r>
        <w:rPr>
          <w:rFonts w:ascii="Segoe UI" w:hAnsi="Segoe UI"/>
          <w:color w:val="334155"/>
          <w:sz w:val="20"/>
        </w:rPr>
        <w:t>Target Persona: Plant Director, Operations Vice President, Manufacturing General Manager.</w:t>
      </w:r>
    </w:p>
    <w:p>
      <w:pPr>
        <w:spacing w:before="0" w:after="120" w:line="283" w:lineRule="auto"/>
      </w:pPr>
      <w:r>
        <w:rPr>
          <w:rFonts w:ascii="Segoe UI" w:hAnsi="Segoe UI"/>
          <w:b/>
          <w:color w:val="0F172A"/>
          <w:sz w:val="20"/>
        </w:rPr>
        <w:t xml:space="preserve">Core Mission: </w:t>
      </w:r>
      <w:r>
        <w:rPr>
          <w:rFonts w:ascii="Segoe UI" w:hAnsi="Segoe UI"/>
          <w:color w:val="334155"/>
          <w:sz w:val="20"/>
        </w:rPr>
        <w:t>To provide real-time strategic operational visibility across the entire factory without waiting for end-of-shift reports.</w:t>
      </w:r>
    </w:p>
    <w:p>
      <w:pPr>
        <w:pStyle w:val="ListBullet"/>
        <w:spacing w:before="20" w:after="60" w:line="276" w:lineRule="auto"/>
      </w:pPr>
      <w:r>
        <w:rPr>
          <w:rFonts w:ascii="Segoe UI" w:hAnsi="Segoe UI"/>
          <w:b/>
          <w:color w:val="0F172A"/>
          <w:sz w:val="20"/>
        </w:rPr>
        <w:t xml:space="preserve">Hour-by-Hour (H/B) Pitch Pacing: </w:t>
      </w:r>
      <w:r>
        <w:rPr>
          <w:rFonts w:ascii="Segoe UI" w:hAnsi="Segoe UI"/>
          <w:color w:val="334155"/>
          <w:sz w:val="20"/>
        </w:rPr>
        <w:t>Displays actual vs. target cases produced hour by hour across Processing, Packaging, and Total Plant output, instantly flagging falling lines.</w:t>
      </w:r>
    </w:p>
    <w:p>
      <w:pPr>
        <w:pStyle w:val="ListBullet"/>
        <w:spacing w:before="20" w:after="60" w:line="276" w:lineRule="auto"/>
      </w:pPr>
      <w:r>
        <w:rPr>
          <w:rFonts w:ascii="Segoe UI" w:hAnsi="Segoe UI"/>
          <w:b/>
          <w:color w:val="0F172A"/>
          <w:sz w:val="20"/>
        </w:rPr>
        <w:t xml:space="preserve">9 Operational Health Pillars: </w:t>
      </w:r>
      <w:r>
        <w:rPr>
          <w:rFonts w:ascii="Segoe UI" w:hAnsi="Segoe UI"/>
          <w:color w:val="334155"/>
          <w:sz w:val="20"/>
        </w:rPr>
        <w:t>Nine real-time KPI health scorecards: Overall Plant OEE, Gross Output, First-Pass Yield %, Staffing Attendance, Maintenance MTBF, Warehouse Stock, Schedule Attainment, and Operational Risk Radar.</w:t>
      </w:r>
    </w:p>
    <w:p>
      <w:pPr>
        <w:pStyle w:val="ListBullet"/>
        <w:spacing w:before="20" w:after="60" w:line="276" w:lineRule="auto"/>
      </w:pPr>
      <w:r>
        <w:rPr>
          <w:rFonts w:ascii="Segoe UI" w:hAnsi="Segoe UI"/>
          <w:b/>
          <w:color w:val="0F172A"/>
          <w:sz w:val="20"/>
        </w:rPr>
        <w:t xml:space="preserve">Live Throughput Area Charts: </w:t>
      </w:r>
      <w:r>
        <w:rPr>
          <w:rFonts w:ascii="Segoe UI" w:hAnsi="Segoe UI"/>
          <w:color w:val="334155"/>
          <w:sz w:val="20"/>
        </w:rPr>
        <w:t>Real-time BPH throughput curves plotted dynamically against nominal engineering targets with live variance calculation.</w:t>
      </w:r>
    </w:p>
    <w:p>
      <w:pPr>
        <w:pStyle w:val="ListBullet"/>
        <w:spacing w:before="20" w:after="60" w:line="276" w:lineRule="auto"/>
      </w:pPr>
      <w:r>
        <w:rPr>
          <w:rFonts w:ascii="Segoe UI" w:hAnsi="Segoe UI"/>
          <w:b/>
          <w:color w:val="0F172A"/>
          <w:sz w:val="20"/>
        </w:rPr>
        <w:t xml:space="preserve">Master Data Quick-Launcher: </w:t>
      </w:r>
      <w:r>
        <w:rPr>
          <w:rFonts w:ascii="Segoe UI" w:hAnsi="Segoe UI"/>
          <w:color w:val="334155"/>
          <w:sz w:val="20"/>
        </w:rPr>
        <w:t>Instant launcher chips displaying active entity counts across SKUs, BOMs, active lines, connected assets, staff, and active quality specs.</w:t>
      </w:r>
    </w:p>
    <w:p>
      <w:pPr>
        <w:pStyle w:val="Heading2"/>
        <w:keepNext/>
        <w:spacing w:before="280" w:after="80"/>
      </w:pPr>
      <w:r>
        <w:rPr>
          <w:rFonts w:ascii="Segoe UI" w:hAnsi="Segoe UI"/>
          <w:b/>
          <w:color w:val="1E3A8A"/>
          <w:sz w:val="26"/>
        </w:rPr>
        <w:t>5.2 Production &amp; MES Floor Operations (/production)</w:t>
      </w:r>
    </w:p>
    <w:p>
      <w:pPr>
        <w:spacing w:before="0" w:after="120" w:line="283" w:lineRule="auto"/>
      </w:pPr>
      <w:r>
        <w:rPr>
          <w:rFonts w:ascii="Segoe UI" w:hAnsi="Segoe UI"/>
          <w:b/>
          <w:color w:val="0F172A"/>
          <w:sz w:val="20"/>
        </w:rPr>
        <w:t xml:space="preserve">Role Profile: </w:t>
      </w:r>
      <w:r>
        <w:rPr>
          <w:rFonts w:ascii="Segoe UI" w:hAnsi="Segoe UI"/>
          <w:color w:val="334155"/>
          <w:sz w:val="20"/>
        </w:rPr>
        <w:t>Target Persona: Production Supervisors, Line Operators, Shift Leads.</w:t>
      </w:r>
    </w:p>
    <w:p>
      <w:pPr>
        <w:spacing w:before="0" w:after="120" w:line="283" w:lineRule="auto"/>
      </w:pPr>
      <w:r>
        <w:rPr>
          <w:rFonts w:ascii="Segoe UI" w:hAnsi="Segoe UI"/>
          <w:b/>
          <w:color w:val="0F172A"/>
          <w:sz w:val="20"/>
        </w:rPr>
        <w:t xml:space="preserve">Core Mission: </w:t>
      </w:r>
      <w:r>
        <w:rPr>
          <w:rFonts w:ascii="Segoe UI" w:hAnsi="Segoe UI"/>
          <w:color w:val="334155"/>
          <w:sz w:val="20"/>
        </w:rPr>
        <w:t>To execute planned production schedules with zero defects, live machine telemetry, and disciplined electronic batch records.</w:t>
      </w:r>
    </w:p>
    <w:p>
      <w:pPr>
        <w:pStyle w:val="ListBullet"/>
        <w:spacing w:before="20" w:after="60" w:line="276" w:lineRule="auto"/>
      </w:pPr>
      <w:r>
        <w:rPr>
          <w:rFonts w:ascii="Segoe UI" w:hAnsi="Segoe UI"/>
          <w:b/>
          <w:color w:val="0F172A"/>
          <w:sz w:val="20"/>
        </w:rPr>
        <w:t xml:space="preserve">Live Machine Telemetry Cards: </w:t>
      </w:r>
      <w:r>
        <w:rPr>
          <w:rFonts w:ascii="Segoe UI" w:hAnsi="Segoe UI"/>
          <w:color w:val="334155"/>
          <w:sz w:val="20"/>
        </w:rPr>
        <w:t>Real-time line speed, operating status (RUNNING, CHANGEOVER, STOPPED), shift count, scrap count, and manual emergency stop overrides.</w:t>
      </w:r>
    </w:p>
    <w:p>
      <w:pPr>
        <w:pStyle w:val="ListBullet"/>
        <w:spacing w:before="20" w:after="60" w:line="276" w:lineRule="auto"/>
      </w:pPr>
      <w:r>
        <w:rPr>
          <w:rFonts w:ascii="Segoe UI" w:hAnsi="Segoe UI"/>
          <w:b/>
          <w:color w:val="0F172A"/>
          <w:sz w:val="20"/>
        </w:rPr>
        <w:t xml:space="preserve">Production Orders Management: </w:t>
      </w:r>
      <w:r>
        <w:rPr>
          <w:rFonts w:ascii="Segoe UI" w:hAnsi="Segoe UI"/>
          <w:color w:val="334155"/>
          <w:sz w:val="20"/>
        </w:rPr>
        <w:t>Lifecycle tracking from Draft -&gt; Released -&gt; In-Production -&gt; Completed -&gt; Closed, with direct line allocation and batch creation.</w:t>
      </w:r>
    </w:p>
    <w:p>
      <w:pPr>
        <w:pStyle w:val="ListBullet"/>
        <w:spacing w:before="20" w:after="60" w:line="276" w:lineRule="auto"/>
      </w:pPr>
      <w:r>
        <w:rPr>
          <w:rFonts w:ascii="Segoe UI" w:hAnsi="Segoe UI"/>
          <w:b/>
          <w:color w:val="0F172A"/>
          <w:sz w:val="20"/>
        </w:rPr>
        <w:t xml:space="preserve">6-Step Electronic Batch Records (eBR): </w:t>
      </w:r>
      <w:r>
        <w:rPr>
          <w:rFonts w:ascii="Segoe UI" w:hAnsi="Segoe UI"/>
          <w:color w:val="334155"/>
          <w:sz w:val="20"/>
        </w:rPr>
        <w:t>A strictly enforced 6-step paperless batch record ensuring zero deviations (detailed below).</w:t>
      </w:r>
    </w:p>
    <w:p>
      <w:pPr>
        <w:pStyle w:val="ListBullet"/>
        <w:spacing w:before="20" w:after="60" w:line="276" w:lineRule="auto"/>
      </w:pPr>
      <w:r>
        <w:rPr>
          <w:rFonts w:ascii="Segoe UI" w:hAnsi="Segoe UI"/>
          <w:b/>
          <w:color w:val="0F172A"/>
          <w:sz w:val="20"/>
        </w:rPr>
        <w:t xml:space="preserve">Downtime &amp; Financial Loss Tracker: </w:t>
      </w:r>
      <w:r>
        <w:rPr>
          <w:rFonts w:ascii="Segoe UI" w:hAnsi="Segoe UI"/>
          <w:color w:val="334155"/>
          <w:sz w:val="20"/>
        </w:rPr>
        <w:t>Instant categorization of line stops with automatic financial loss calculation based on line-specific hourly operating cost rates.</w:t>
      </w:r>
    </w:p>
    <w:p>
      <w:pPr>
        <w:pStyle w:val="ListBullet"/>
        <w:spacing w:before="20" w:after="60" w:line="276" w:lineRule="auto"/>
      </w:pPr>
      <w:r>
        <w:rPr>
          <w:rFonts w:ascii="Segoe UI" w:hAnsi="Segoe UI"/>
          <w:b/>
          <w:color w:val="0F172A"/>
          <w:sz w:val="20"/>
        </w:rPr>
        <w:t xml:space="preserve">Shift Turnover &amp; Handoff Ledger: </w:t>
      </w:r>
      <w:r>
        <w:rPr>
          <w:rFonts w:ascii="Segoe UI" w:hAnsi="Segoe UI"/>
          <w:color w:val="334155"/>
          <w:sz w:val="20"/>
        </w:rPr>
        <w:t>Structured shift transition ledger with scrap reconciliation, open maintenance items, and dual-operator digital sign-off.</w:t>
      </w:r>
    </w:p>
    <w:tbl>
      <w:tblPr>
        <w:tblW w:type="auto" w:w="0"/>
        <w:jc w:val="center"/>
        <w:tblLayout w:type="fixed"/>
        <w:tblLook w:firstColumn="1" w:firstRow="1" w:lastColumn="0" w:lastRow="0" w:noHBand="0" w:noVBand="1" w:val="04A0"/>
      </w:tblPr>
      <w:tblGrid>
        <w:gridCol w:w="4968"/>
        <w:gridCol w:w="4968"/>
      </w:tblGrid>
      <w:tr>
        <w:tc>
          <w:tcPr>
            <w:tcW w:type="dxa" w:w="3600"/>
            <w:shd w:fill="0F172A"/>
            <w:tcMar>
              <w:top w:w="130" w:type="dxa"/>
              <w:bottom w:w="130" w:type="dxa"/>
              <w:left w:w="140" w:type="dxa"/>
              <w:right w:w="140" w:type="dxa"/>
            </w:tcMar>
            <w:tcBorders>
              <w:top w:val="single" w:sz="4" w:space="0" w:color="0F172A"/>
              <w:left w:val="none"/>
              <w:bottom w:val="single" w:sz="10" w:space="0" w:color="C89547"/>
              <w:right w:val="none"/>
            </w:tcBorders>
          </w:tcPr>
          <w:p>
            <w:pPr>
              <w:spacing w:before="0" w:after="0"/>
            </w:pPr>
            <w:r>
              <w:rPr>
                <w:rFonts w:ascii="Segoe UI" w:hAnsi="Segoe UI"/>
                <w:b/>
                <w:color w:val="FFFFFF"/>
                <w:sz w:val="19"/>
              </w:rPr>
              <w:t>eBR Stage</w:t>
            </w:r>
          </w:p>
        </w:tc>
        <w:tc>
          <w:tcPr>
            <w:tcW w:type="dxa" w:w="6480"/>
            <w:shd w:fill="0F172A"/>
            <w:tcMar>
              <w:top w:w="130" w:type="dxa"/>
              <w:bottom w:w="130" w:type="dxa"/>
              <w:left w:w="140" w:type="dxa"/>
              <w:right w:w="140" w:type="dxa"/>
            </w:tcMar>
            <w:tcBorders>
              <w:top w:val="single" w:sz="4" w:space="0" w:color="0F172A"/>
              <w:left w:val="none"/>
              <w:bottom w:val="single" w:sz="10" w:space="0" w:color="C89547"/>
              <w:right w:val="none"/>
            </w:tcBorders>
          </w:tcPr>
          <w:p>
            <w:pPr>
              <w:spacing w:before="0" w:after="0"/>
            </w:pPr>
            <w:r>
              <w:rPr>
                <w:rFonts w:ascii="Segoe UI" w:hAnsi="Segoe UI"/>
                <w:b/>
                <w:color w:val="FFFFFF"/>
                <w:sz w:val="19"/>
              </w:rPr>
              <w:t>Operational Action &amp; Quality Enforcement Mechanism</w:t>
            </w:r>
          </w:p>
        </w:tc>
      </w:tr>
      <w:tr>
        <w:tc>
          <w:tcPr>
            <w:tcW w:type="dxa" w:w="3600"/>
            <w:shd w:fill="FFFFFF"/>
            <w:tcMar>
              <w:top w:w="100" w:type="dxa"/>
              <w:bottom w:w="100" w:type="dxa"/>
              <w:left w:w="140" w:type="dxa"/>
              <w:right w:w="140" w:type="dxa"/>
            </w:tcMar>
            <w:tcBorders>
              <w:top w:val="none"/>
              <w:left w:val="none"/>
              <w:bottom w:val="single" w:sz="4" w:space="0" w:color="CBD5E1"/>
              <w:right w:val="none"/>
            </w:tcBorders>
          </w:tcPr>
          <w:p>
            <w:pPr>
              <w:spacing w:before="0" w:after="0" w:line="269" w:lineRule="auto"/>
            </w:pPr>
            <w:r>
              <w:rPr>
                <w:rFonts w:ascii="Segoe UI" w:hAnsi="Segoe UI"/>
                <w:color w:val="334155"/>
                <w:sz w:val="18"/>
              </w:rPr>
              <w:t>Step 1: Barcode Scan &amp; Lot Verification</w:t>
            </w:r>
          </w:p>
        </w:tc>
        <w:tc>
          <w:tcPr>
            <w:tcW w:type="dxa" w:w="6480"/>
            <w:shd w:fill="FFFFFF"/>
            <w:tcMar>
              <w:top w:w="100" w:type="dxa"/>
              <w:bottom w:w="100" w:type="dxa"/>
              <w:left w:w="140" w:type="dxa"/>
              <w:right w:w="140" w:type="dxa"/>
            </w:tcMar>
            <w:tcBorders>
              <w:top w:val="none"/>
              <w:left w:val="none"/>
              <w:bottom w:val="single" w:sz="4" w:space="0" w:color="CBD5E1"/>
              <w:right w:val="none"/>
            </w:tcBorders>
          </w:tcPr>
          <w:p>
            <w:pPr>
              <w:spacing w:before="0" w:after="0" w:line="269" w:lineRule="auto"/>
            </w:pPr>
            <w:r>
              <w:rPr>
                <w:rFonts w:ascii="Segoe UI" w:hAnsi="Segoe UI"/>
                <w:color w:val="334155"/>
                <w:sz w:val="18"/>
              </w:rPr>
              <w:t>Operator scans raw ingredient barcodes. The system verifies lot status, expiry date, and quarantine clearance before allowing consumption.</w:t>
            </w:r>
          </w:p>
        </w:tc>
      </w:tr>
      <w:tr>
        <w:tc>
          <w:tcPr>
            <w:tcW w:type="dxa" w:w="3600"/>
            <w:shd w:fill="F8FAFC"/>
            <w:tcMar>
              <w:top w:w="100" w:type="dxa"/>
              <w:bottom w:w="100" w:type="dxa"/>
              <w:left w:w="140" w:type="dxa"/>
              <w:right w:w="140" w:type="dxa"/>
            </w:tcMar>
            <w:tcBorders>
              <w:top w:val="none"/>
              <w:left w:val="none"/>
              <w:bottom w:val="single" w:sz="4" w:space="0" w:color="CBD5E1"/>
              <w:right w:val="none"/>
            </w:tcBorders>
          </w:tcPr>
          <w:p>
            <w:pPr>
              <w:spacing w:before="0" w:after="0" w:line="269" w:lineRule="auto"/>
            </w:pPr>
            <w:r>
              <w:rPr>
                <w:rFonts w:ascii="Segoe UI" w:hAnsi="Segoe UI"/>
                <w:color w:val="334155"/>
                <w:sz w:val="18"/>
              </w:rPr>
              <w:t>Step 2: Ingredient Tare &amp; Weighing Dispensing</w:t>
            </w:r>
          </w:p>
        </w:tc>
        <w:tc>
          <w:tcPr>
            <w:tcW w:type="dxa" w:w="6480"/>
            <w:shd w:fill="F8FAFC"/>
            <w:tcMar>
              <w:top w:w="100" w:type="dxa"/>
              <w:bottom w:w="100" w:type="dxa"/>
              <w:left w:w="140" w:type="dxa"/>
              <w:right w:w="140" w:type="dxa"/>
            </w:tcMar>
            <w:tcBorders>
              <w:top w:val="none"/>
              <w:left w:val="none"/>
              <w:bottom w:val="single" w:sz="4" w:space="0" w:color="CBD5E1"/>
              <w:right w:val="none"/>
            </w:tcBorders>
          </w:tcPr>
          <w:p>
            <w:pPr>
              <w:spacing w:before="0" w:after="0" w:line="269" w:lineRule="auto"/>
            </w:pPr>
            <w:r>
              <w:rPr>
                <w:rFonts w:ascii="Segoe UI" w:hAnsi="Segoe UI"/>
                <w:color w:val="334155"/>
                <w:sz w:val="18"/>
              </w:rPr>
              <w:t>Enforces precise dispenser tare and tolerance validation (+/- 0.5%) ensuring batch recipe consistency.</w:t>
            </w:r>
          </w:p>
        </w:tc>
      </w:tr>
      <w:tr>
        <w:tc>
          <w:tcPr>
            <w:tcW w:type="dxa" w:w="3600"/>
            <w:shd w:fill="FFFFFF"/>
            <w:tcMar>
              <w:top w:w="100" w:type="dxa"/>
              <w:bottom w:w="100" w:type="dxa"/>
              <w:left w:w="140" w:type="dxa"/>
              <w:right w:w="140" w:type="dxa"/>
            </w:tcMar>
            <w:tcBorders>
              <w:top w:val="none"/>
              <w:left w:val="none"/>
              <w:bottom w:val="single" w:sz="4" w:space="0" w:color="CBD5E1"/>
              <w:right w:val="none"/>
            </w:tcBorders>
          </w:tcPr>
          <w:p>
            <w:pPr>
              <w:spacing w:before="0" w:after="0" w:line="269" w:lineRule="auto"/>
            </w:pPr>
            <w:r>
              <w:rPr>
                <w:rFonts w:ascii="Segoe UI" w:hAnsi="Segoe UI"/>
                <w:color w:val="334155"/>
                <w:sz w:val="18"/>
              </w:rPr>
              <w:t>Step 3: Heating, Agitation &amp; Blending Telemetry</w:t>
            </w:r>
          </w:p>
        </w:tc>
        <w:tc>
          <w:tcPr>
            <w:tcW w:type="dxa" w:w="6480"/>
            <w:shd w:fill="FFFFFF"/>
            <w:tcMar>
              <w:top w:w="100" w:type="dxa"/>
              <w:bottom w:w="100" w:type="dxa"/>
              <w:left w:w="140" w:type="dxa"/>
              <w:right w:w="140" w:type="dxa"/>
            </w:tcMar>
            <w:tcBorders>
              <w:top w:val="none"/>
              <w:left w:val="none"/>
              <w:bottom w:val="single" w:sz="4" w:space="0" w:color="CBD5E1"/>
              <w:right w:val="none"/>
            </w:tcBorders>
          </w:tcPr>
          <w:p>
            <w:pPr>
              <w:spacing w:before="0" w:after="0" w:line="269" w:lineRule="auto"/>
            </w:pPr>
            <w:r>
              <w:rPr>
                <w:rFonts w:ascii="Segoe UI" w:hAnsi="Segoe UI"/>
                <w:color w:val="334155"/>
                <w:sz w:val="18"/>
              </w:rPr>
              <w:t>Records mixing speeds (RPM), jacket temperatures, and tank holding times against standard recipe curves.</w:t>
            </w:r>
          </w:p>
        </w:tc>
      </w:tr>
      <w:tr>
        <w:tc>
          <w:tcPr>
            <w:tcW w:type="dxa" w:w="3600"/>
            <w:shd w:fill="F8FAFC"/>
            <w:tcMar>
              <w:top w:w="100" w:type="dxa"/>
              <w:bottom w:w="100" w:type="dxa"/>
              <w:left w:w="140" w:type="dxa"/>
              <w:right w:w="140" w:type="dxa"/>
            </w:tcMar>
            <w:tcBorders>
              <w:top w:val="none"/>
              <w:left w:val="none"/>
              <w:bottom w:val="single" w:sz="4" w:space="0" w:color="CBD5E1"/>
              <w:right w:val="none"/>
            </w:tcBorders>
          </w:tcPr>
          <w:p>
            <w:pPr>
              <w:spacing w:before="0" w:after="0" w:line="269" w:lineRule="auto"/>
            </w:pPr>
            <w:r>
              <w:rPr>
                <w:rFonts w:ascii="Segoe UI" w:hAnsi="Segoe UI"/>
                <w:color w:val="334155"/>
                <w:sz w:val="18"/>
              </w:rPr>
              <w:t>Step 4: Critical Control Point (CCP) Recording</w:t>
            </w:r>
          </w:p>
        </w:tc>
        <w:tc>
          <w:tcPr>
            <w:tcW w:type="dxa" w:w="6480"/>
            <w:shd w:fill="F8FAFC"/>
            <w:tcMar>
              <w:top w:w="100" w:type="dxa"/>
              <w:bottom w:w="100" w:type="dxa"/>
              <w:left w:w="140" w:type="dxa"/>
              <w:right w:w="140" w:type="dxa"/>
            </w:tcMar>
            <w:tcBorders>
              <w:top w:val="none"/>
              <w:left w:val="none"/>
              <w:bottom w:val="single" w:sz="4" w:space="0" w:color="CBD5E1"/>
              <w:right w:val="none"/>
            </w:tcBorders>
          </w:tcPr>
          <w:p>
            <w:pPr>
              <w:spacing w:before="0" w:after="0" w:line="269" w:lineRule="auto"/>
            </w:pPr>
            <w:r>
              <w:rPr>
                <w:rFonts w:ascii="Segoe UI" w:hAnsi="Segoe UI"/>
                <w:color w:val="334155"/>
                <w:sz w:val="18"/>
              </w:rPr>
              <w:t>Direct operator entry and sensor validation of critical food safety parameters (pH: 3.0-3.4, Brix: 10.2-10.6, Pasteurizer Temp: 85-90°C).</w:t>
            </w:r>
          </w:p>
        </w:tc>
      </w:tr>
      <w:tr>
        <w:tc>
          <w:tcPr>
            <w:tcW w:type="dxa" w:w="3600"/>
            <w:shd w:fill="FFFFFF"/>
            <w:tcMar>
              <w:top w:w="100" w:type="dxa"/>
              <w:bottom w:w="100" w:type="dxa"/>
              <w:left w:w="140" w:type="dxa"/>
              <w:right w:w="140" w:type="dxa"/>
            </w:tcMar>
            <w:tcBorders>
              <w:top w:val="none"/>
              <w:left w:val="none"/>
              <w:bottom w:val="single" w:sz="4" w:space="0" w:color="CBD5E1"/>
              <w:right w:val="none"/>
            </w:tcBorders>
          </w:tcPr>
          <w:p>
            <w:pPr>
              <w:spacing w:before="0" w:after="0" w:line="269" w:lineRule="auto"/>
            </w:pPr>
            <w:r>
              <w:rPr>
                <w:rFonts w:ascii="Segoe UI" w:hAnsi="Segoe UI"/>
                <w:color w:val="334155"/>
                <w:sz w:val="18"/>
              </w:rPr>
              <w:t>Step 5: Bottling, Capping &amp; Packaging Integrity</w:t>
            </w:r>
          </w:p>
        </w:tc>
        <w:tc>
          <w:tcPr>
            <w:tcW w:type="dxa" w:w="6480"/>
            <w:shd w:fill="FFFFFF"/>
            <w:tcMar>
              <w:top w:w="100" w:type="dxa"/>
              <w:bottom w:w="100" w:type="dxa"/>
              <w:left w:w="140" w:type="dxa"/>
              <w:right w:w="140" w:type="dxa"/>
            </w:tcMar>
            <w:tcBorders>
              <w:top w:val="none"/>
              <w:left w:val="none"/>
              <w:bottom w:val="single" w:sz="4" w:space="0" w:color="CBD5E1"/>
              <w:right w:val="none"/>
            </w:tcBorders>
          </w:tcPr>
          <w:p>
            <w:pPr>
              <w:spacing w:before="0" w:after="0" w:line="269" w:lineRule="auto"/>
            </w:pPr>
            <w:r>
              <w:rPr>
                <w:rFonts w:ascii="Segoe UI" w:hAnsi="Segoe UI"/>
                <w:color w:val="334155"/>
                <w:sz w:val="18"/>
              </w:rPr>
              <w:t>Visual inspection of fill levels, torque verification on caps, and carton coding verification.</w:t>
            </w:r>
          </w:p>
        </w:tc>
      </w:tr>
      <w:tr>
        <w:tc>
          <w:tcPr>
            <w:tcW w:type="dxa" w:w="3600"/>
            <w:shd w:fill="F8FAFC"/>
            <w:tcMar>
              <w:top w:w="100" w:type="dxa"/>
              <w:bottom w:w="100" w:type="dxa"/>
              <w:left w:w="140" w:type="dxa"/>
              <w:right w:w="140" w:type="dxa"/>
            </w:tcMar>
            <w:tcBorders>
              <w:top w:val="none"/>
              <w:left w:val="none"/>
              <w:bottom w:val="single" w:sz="4" w:space="0" w:color="CBD5E1"/>
              <w:right w:val="none"/>
            </w:tcBorders>
          </w:tcPr>
          <w:p>
            <w:pPr>
              <w:spacing w:before="0" w:after="0" w:line="269" w:lineRule="auto"/>
            </w:pPr>
            <w:r>
              <w:rPr>
                <w:rFonts w:ascii="Segoe UI" w:hAnsi="Segoe UI"/>
                <w:color w:val="334155"/>
                <w:sz w:val="18"/>
              </w:rPr>
              <w:t>Step 6: Batch Completion &amp; Submission to QA Queue</w:t>
            </w:r>
          </w:p>
        </w:tc>
        <w:tc>
          <w:tcPr>
            <w:tcW w:type="dxa" w:w="6480"/>
            <w:shd w:fill="F8FAFC"/>
            <w:tcMar>
              <w:top w:w="100" w:type="dxa"/>
              <w:bottom w:w="100" w:type="dxa"/>
              <w:left w:w="140" w:type="dxa"/>
              <w:right w:w="140" w:type="dxa"/>
            </w:tcMar>
            <w:tcBorders>
              <w:top w:val="none"/>
              <w:left w:val="none"/>
              <w:bottom w:val="single" w:sz="4" w:space="0" w:color="CBD5E1"/>
              <w:right w:val="none"/>
            </w:tcBorders>
          </w:tcPr>
          <w:p>
            <w:pPr>
              <w:spacing w:before="0" w:after="0" w:line="269" w:lineRule="auto"/>
            </w:pPr>
            <w:r>
              <w:rPr>
                <w:rFonts w:ascii="Segoe UI" w:hAnsi="Segoe UI"/>
                <w:color w:val="334155"/>
                <w:sz w:val="18"/>
              </w:rPr>
              <w:t>Batch calculation of yield vs theoretical output, immediate submission to the QA Release Queue, and locking of records.</w:t>
            </w:r>
          </w:p>
        </w:tc>
      </w:tr>
    </w:tbl>
    <w:p>
      <w:pPr>
        <w:spacing w:before="40" w:after="120"/>
      </w:pPr>
    </w:p>
    <w:p>
      <w:pPr>
        <w:pStyle w:val="Heading2"/>
        <w:keepNext/>
        <w:spacing w:before="280" w:after="80"/>
      </w:pPr>
      <w:r>
        <w:rPr>
          <w:rFonts w:ascii="Segoe UI" w:hAnsi="Segoe UI"/>
          <w:b/>
          <w:color w:val="1E3A8A"/>
          <w:sz w:val="26"/>
        </w:rPr>
        <w:t>5.3 Planning, Finite Scheduling (APS) &amp; MRP (/planning)</w:t>
      </w:r>
    </w:p>
    <w:p>
      <w:pPr>
        <w:spacing w:before="0" w:after="120" w:line="283" w:lineRule="auto"/>
      </w:pPr>
      <w:r>
        <w:rPr>
          <w:rFonts w:ascii="Segoe UI" w:hAnsi="Segoe UI"/>
          <w:b/>
          <w:color w:val="0F172A"/>
          <w:sz w:val="20"/>
        </w:rPr>
        <w:t xml:space="preserve">Role Profile: </w:t>
      </w:r>
      <w:r>
        <w:rPr>
          <w:rFonts w:ascii="Segoe UI" w:hAnsi="Segoe UI"/>
          <w:color w:val="334155"/>
          <w:sz w:val="20"/>
        </w:rPr>
        <w:t>Target Persona: Supply Chain Planner, Master Scheduler, MRP Materials Controller.</w:t>
      </w:r>
    </w:p>
    <w:p>
      <w:pPr>
        <w:spacing w:before="0" w:after="120" w:line="283" w:lineRule="auto"/>
      </w:pPr>
      <w:r>
        <w:rPr>
          <w:rFonts w:ascii="Segoe UI" w:hAnsi="Segoe UI"/>
          <w:b/>
          <w:color w:val="0F172A"/>
          <w:sz w:val="20"/>
        </w:rPr>
        <w:t xml:space="preserve">Core Mission: </w:t>
      </w:r>
      <w:r>
        <w:rPr>
          <w:rFonts w:ascii="Segoe UI" w:hAnsi="Segoe UI"/>
          <w:color w:val="334155"/>
          <w:sz w:val="20"/>
        </w:rPr>
        <w:t>To balance customer order demand against plant capacity, line constraints, and raw material availability.</w:t>
      </w:r>
    </w:p>
    <w:p>
      <w:pPr>
        <w:pStyle w:val="ListBullet"/>
        <w:spacing w:before="20" w:after="60" w:line="276" w:lineRule="auto"/>
      </w:pPr>
      <w:r>
        <w:rPr>
          <w:rFonts w:ascii="Segoe UI" w:hAnsi="Segoe UI"/>
          <w:b/>
          <w:color w:val="0F172A"/>
          <w:sz w:val="20"/>
        </w:rPr>
        <w:t xml:space="preserve">Master Production Schedule (MPS): </w:t>
      </w:r>
      <w:r>
        <w:rPr>
          <w:rFonts w:ascii="Segoe UI" w:hAnsi="Segoe UI"/>
          <w:color w:val="334155"/>
          <w:sz w:val="20"/>
        </w:rPr>
        <w:t>Finite shift run blocks with lock/freeze mechanisms that protect scheduled lines from volatile last-minute edits.</w:t>
      </w:r>
    </w:p>
    <w:p>
      <w:pPr>
        <w:pStyle w:val="ListBullet"/>
        <w:spacing w:before="20" w:after="60" w:line="276" w:lineRule="auto"/>
      </w:pPr>
      <w:r>
        <w:rPr>
          <w:rFonts w:ascii="Segoe UI" w:hAnsi="Segoe UI"/>
          <w:b/>
          <w:color w:val="0F172A"/>
          <w:sz w:val="20"/>
        </w:rPr>
        <w:t xml:space="preserve">Line Capacity Planning Heatmap: </w:t>
      </w:r>
      <w:r>
        <w:rPr>
          <w:rFonts w:ascii="Segoe UI" w:hAnsi="Segoe UI"/>
          <w:color w:val="334155"/>
          <w:sz w:val="20"/>
        </w:rPr>
        <w:t>Weekly utilization load percentages per line, highlighting under-utilized assets and bottleneck operations.</w:t>
      </w:r>
    </w:p>
    <w:p>
      <w:pPr>
        <w:pStyle w:val="ListBullet"/>
        <w:spacing w:before="20" w:after="60" w:line="276" w:lineRule="auto"/>
      </w:pPr>
      <w:r>
        <w:rPr>
          <w:rFonts w:ascii="Segoe UI" w:hAnsi="Segoe UI"/>
          <w:b/>
          <w:color w:val="0F172A"/>
          <w:sz w:val="20"/>
        </w:rPr>
        <w:t xml:space="preserve">Planning Constraints Matrix: </w:t>
      </w:r>
      <w:r>
        <w:rPr>
          <w:rFonts w:ascii="Segoe UI" w:hAnsi="Segoe UI"/>
          <w:color w:val="334155"/>
          <w:sz w:val="20"/>
        </w:rPr>
        <w:t>Enforces minimum changeover times for allergen washouts (e.g., Allergen -&gt; Non-Allergen), tooling changeovers, and CIP sanitation washouts.</w:t>
      </w:r>
    </w:p>
    <w:p>
      <w:pPr>
        <w:pStyle w:val="ListBullet"/>
        <w:spacing w:before="20" w:after="60" w:line="276" w:lineRule="auto"/>
      </w:pPr>
      <w:r>
        <w:rPr>
          <w:rFonts w:ascii="Segoe UI" w:hAnsi="Segoe UI"/>
          <w:b/>
          <w:color w:val="0F172A"/>
          <w:sz w:val="20"/>
        </w:rPr>
        <w:t xml:space="preserve">Mathematical Recovery Simulator: </w:t>
      </w:r>
      <w:r>
        <w:rPr>
          <w:rFonts w:ascii="Segoe UI" w:hAnsi="Segoe UI"/>
          <w:color w:val="334155"/>
          <w:sz w:val="20"/>
        </w:rPr>
        <w:t>Dynamic algorithmic simulation: planners adjust speed boost sliders (+0% to +15%) and overtime hours (0 to 4 hrs) to instantly project recovered cases, added labour costs, and customer delivery feasibility.</w:t>
      </w:r>
    </w:p>
    <w:p>
      <w:pPr>
        <w:pStyle w:val="Heading2"/>
        <w:keepNext/>
        <w:spacing w:before="280" w:after="80"/>
      </w:pPr>
      <w:r>
        <w:rPr>
          <w:rFonts w:ascii="Segoe UI" w:hAnsi="Segoe UI"/>
          <w:b/>
          <w:color w:val="1E3A8A"/>
          <w:sz w:val="26"/>
        </w:rPr>
        <w:t>5.4 Continuous Improvement (CI) &amp; Lean Six Sigma (/ci)</w:t>
      </w:r>
    </w:p>
    <w:p>
      <w:pPr>
        <w:spacing w:before="0" w:after="120" w:line="283" w:lineRule="auto"/>
      </w:pPr>
      <w:r>
        <w:rPr>
          <w:rFonts w:ascii="Segoe UI" w:hAnsi="Segoe UI"/>
          <w:b/>
          <w:color w:val="0F172A"/>
          <w:sz w:val="20"/>
        </w:rPr>
        <w:t xml:space="preserve">Role Profile: </w:t>
      </w:r>
      <w:r>
        <w:rPr>
          <w:rFonts w:ascii="Segoe UI" w:hAnsi="Segoe UI"/>
          <w:color w:val="334155"/>
          <w:sz w:val="20"/>
        </w:rPr>
        <w:t>Target Persona: Continuous Improvement Lead, Lean Six Sigma Black Belt, Reliability Engineer.</w:t>
      </w:r>
    </w:p>
    <w:p>
      <w:pPr>
        <w:spacing w:before="0" w:after="120" w:line="283" w:lineRule="auto"/>
      </w:pPr>
      <w:r>
        <w:rPr>
          <w:rFonts w:ascii="Segoe UI" w:hAnsi="Segoe UI"/>
          <w:b/>
          <w:color w:val="0F172A"/>
          <w:sz w:val="20"/>
        </w:rPr>
        <w:t xml:space="preserve">Core Mission: </w:t>
      </w:r>
      <w:r>
        <w:rPr>
          <w:rFonts w:ascii="Segoe UI" w:hAnsi="Segoe UI"/>
          <w:color w:val="334155"/>
          <w:sz w:val="20"/>
        </w:rPr>
        <w:t>To systematically eliminate root causes of plant downtime, defect generation, and speed losses.</w:t>
      </w:r>
    </w:p>
    <w:p>
      <w:pPr>
        <w:pStyle w:val="ListBullet"/>
        <w:spacing w:before="20" w:after="60" w:line="276" w:lineRule="auto"/>
      </w:pPr>
      <w:r>
        <w:rPr>
          <w:rFonts w:ascii="Segoe UI" w:hAnsi="Segoe UI"/>
          <w:b/>
          <w:color w:val="0F172A"/>
          <w:sz w:val="20"/>
        </w:rPr>
        <w:t xml:space="preserve">Reliability &amp; Bad Actor Analysis: </w:t>
      </w:r>
      <w:r>
        <w:rPr>
          <w:rFonts w:ascii="Segoe UI" w:hAnsi="Segoe UI"/>
          <w:color w:val="334155"/>
          <w:sz w:val="20"/>
        </w:rPr>
        <w:t>Mean Time Between Failures (MTBF), Mean Time To Repair (MTTR), and Pareto ranking of worst-performing line assets.</w:t>
      </w:r>
    </w:p>
    <w:p>
      <w:pPr>
        <w:pStyle w:val="ListBullet"/>
        <w:spacing w:before="20" w:after="60" w:line="276" w:lineRule="auto"/>
      </w:pPr>
      <w:r>
        <w:rPr>
          <w:rFonts w:ascii="Segoe UI" w:hAnsi="Segoe UI"/>
          <w:b/>
          <w:color w:val="0F172A"/>
          <w:sz w:val="20"/>
        </w:rPr>
        <w:t xml:space="preserve">Root Cause Analysis (RCA) Workspace: </w:t>
      </w:r>
      <w:r>
        <w:rPr>
          <w:rFonts w:ascii="Segoe UI" w:hAnsi="Segoe UI"/>
          <w:color w:val="334155"/>
          <w:sz w:val="20"/>
        </w:rPr>
        <w:t>Interactive digital 5-Why decision trees and formal 8D problem-solving methodologies (D1 Team through D8 Permanent Closure).</w:t>
      </w:r>
    </w:p>
    <w:p>
      <w:pPr>
        <w:pStyle w:val="ListBullet"/>
        <w:spacing w:before="20" w:after="60" w:line="276" w:lineRule="auto"/>
      </w:pPr>
      <w:r>
        <w:rPr>
          <w:rFonts w:ascii="Segoe UI" w:hAnsi="Segoe UI"/>
          <w:b/>
          <w:color w:val="0F172A"/>
          <w:sz w:val="20"/>
        </w:rPr>
        <w:t xml:space="preserve">Hypothesis Testing Matrix: </w:t>
      </w:r>
      <w:r>
        <w:rPr>
          <w:rFonts w:ascii="Segoe UI" w:hAnsi="Segoe UI"/>
          <w:color w:val="334155"/>
          <w:sz w:val="20"/>
        </w:rPr>
        <w:t>Evidence-backed hypothesis validation matrix (Validated, Refuted, Under Testing) eliminating subjective speculation.</w:t>
      </w:r>
    </w:p>
    <w:p>
      <w:pPr>
        <w:pStyle w:val="ListBullet"/>
        <w:spacing w:before="20" w:after="60" w:line="276" w:lineRule="auto"/>
      </w:pPr>
      <w:r>
        <w:rPr>
          <w:rFonts w:ascii="Segoe UI" w:hAnsi="Segoe UI"/>
          <w:b/>
          <w:color w:val="0F172A"/>
          <w:sz w:val="20"/>
        </w:rPr>
        <w:t xml:space="preserve">CAPA Action Tracking: </w:t>
      </w:r>
      <w:r>
        <w:rPr>
          <w:rFonts w:ascii="Segoe UI" w:hAnsi="Segoe UI"/>
          <w:color w:val="334155"/>
          <w:sz w:val="20"/>
        </w:rPr>
        <w:t>Corrective and Preventive Actions with individual ownership, target completion dates, and post-implementation effectiveness scoring.</w:t>
      </w:r>
    </w:p>
    <w:p>
      <w:pPr>
        <w:pStyle w:val="ListBullet"/>
        <w:spacing w:before="20" w:after="60" w:line="276" w:lineRule="auto"/>
      </w:pPr>
      <w:r>
        <w:rPr>
          <w:rFonts w:ascii="Segoe UI" w:hAnsi="Segoe UI"/>
          <w:b/>
          <w:color w:val="0F172A"/>
          <w:sz w:val="20"/>
        </w:rPr>
        <w:t xml:space="preserve">Verified Countermeasure Library: </w:t>
      </w:r>
      <w:r>
        <w:rPr>
          <w:rFonts w:ascii="Segoe UI" w:hAnsi="Segoe UI"/>
          <w:color w:val="334155"/>
          <w:sz w:val="20"/>
        </w:rPr>
        <w:t>Repository of validated engineering countermeasures documenting verified annual cost savings ($) and replicating proven fixes across sister lines.</w:t>
      </w:r>
    </w:p>
    <w:p>
      <w:pPr>
        <w:pStyle w:val="ListBullet"/>
        <w:spacing w:before="20" w:after="60" w:line="276" w:lineRule="auto"/>
      </w:pPr>
      <w:r>
        <w:rPr>
          <w:rFonts w:ascii="Segoe UI" w:hAnsi="Segoe UI"/>
          <w:b/>
          <w:color w:val="0F172A"/>
          <w:sz w:val="20"/>
        </w:rPr>
        <w:t xml:space="preserve">Six Sigma DMAIC Project Portfolios: </w:t>
      </w:r>
      <w:r>
        <w:rPr>
          <w:rFonts w:ascii="Segoe UI" w:hAnsi="Segoe UI"/>
          <w:color w:val="334155"/>
          <w:sz w:val="20"/>
        </w:rPr>
        <w:t>DMAIC project pipeline (Define, Measure, Analyze, Improve, Control) with financial payback monitoring.</w:t>
      </w:r>
    </w:p>
    <w:p>
      <w:pPr>
        <w:pStyle w:val="Heading2"/>
        <w:keepNext/>
        <w:spacing w:before="280" w:after="80"/>
      </w:pPr>
      <w:r>
        <w:rPr>
          <w:rFonts w:ascii="Segoe UI" w:hAnsi="Segoe UI"/>
          <w:b/>
          <w:color w:val="1E3A8A"/>
          <w:sz w:val="26"/>
        </w:rPr>
        <w:t>5.5 Quality Management System (QMS) (/quality)</w:t>
      </w:r>
    </w:p>
    <w:p>
      <w:pPr>
        <w:spacing w:before="0" w:after="120" w:line="283" w:lineRule="auto"/>
      </w:pPr>
      <w:r>
        <w:rPr>
          <w:rFonts w:ascii="Segoe UI" w:hAnsi="Segoe UI"/>
          <w:b/>
          <w:color w:val="0F172A"/>
          <w:sz w:val="20"/>
        </w:rPr>
        <w:t xml:space="preserve">Role Profile: </w:t>
      </w:r>
      <w:r>
        <w:rPr>
          <w:rFonts w:ascii="Segoe UI" w:hAnsi="Segoe UI"/>
          <w:color w:val="334155"/>
          <w:sz w:val="20"/>
        </w:rPr>
        <w:t>Target Persona: Quality Assurance Manager, Lab Technicians, Food Safety / HACCP Officers.</w:t>
      </w:r>
    </w:p>
    <w:p>
      <w:pPr>
        <w:spacing w:before="0" w:after="120" w:line="283" w:lineRule="auto"/>
      </w:pPr>
      <w:r>
        <w:rPr>
          <w:rFonts w:ascii="Segoe UI" w:hAnsi="Segoe UI"/>
          <w:b/>
          <w:color w:val="0F172A"/>
          <w:sz w:val="20"/>
        </w:rPr>
        <w:t xml:space="preserve">Core Mission: </w:t>
      </w:r>
      <w:r>
        <w:rPr>
          <w:rFonts w:ascii="Segoe UI" w:hAnsi="Segoe UI"/>
          <w:color w:val="334155"/>
          <w:sz w:val="20"/>
        </w:rPr>
        <w:t>To guarantee zero out-of-spec products leave the facility and ensure 100% regulatory compliance.</w:t>
      </w:r>
    </w:p>
    <w:p>
      <w:pPr>
        <w:pStyle w:val="ListBullet"/>
        <w:spacing w:before="20" w:after="60" w:line="276" w:lineRule="auto"/>
      </w:pPr>
      <w:r>
        <w:rPr>
          <w:rFonts w:ascii="Segoe UI" w:hAnsi="Segoe UI"/>
          <w:b/>
          <w:color w:val="0F172A"/>
          <w:sz w:val="20"/>
        </w:rPr>
        <w:t xml:space="preserve">HACCP Critical Control Points (CCP): </w:t>
      </w:r>
      <w:r>
        <w:rPr>
          <w:rFonts w:ascii="Segoe UI" w:hAnsi="Segoe UI"/>
          <w:color w:val="334155"/>
          <w:sz w:val="20"/>
        </w:rPr>
        <w:t>Live tracking of thermal pasteurization temperatures, seamer vacuum integrity, and foreign matter X-ray inspection logs.</w:t>
      </w:r>
    </w:p>
    <w:p>
      <w:pPr>
        <w:pStyle w:val="ListBullet"/>
        <w:spacing w:before="20" w:after="60" w:line="276" w:lineRule="auto"/>
      </w:pPr>
      <w:r>
        <w:rPr>
          <w:rFonts w:ascii="Segoe UI" w:hAnsi="Segoe UI"/>
          <w:b/>
          <w:color w:val="0F172A"/>
          <w:sz w:val="20"/>
        </w:rPr>
        <w:t xml:space="preserve">First-Pass Yield &amp; CoA Release: </w:t>
      </w:r>
      <w:r>
        <w:rPr>
          <w:rFonts w:ascii="Segoe UI" w:hAnsi="Segoe UI"/>
          <w:color w:val="334155"/>
          <w:sz w:val="20"/>
        </w:rPr>
        <w:t>Real-time First-Pass Yield (FPY) percentages and digital Certificate of Analysis (CoA) lot approval workflows.</w:t>
      </w:r>
    </w:p>
    <w:p>
      <w:pPr>
        <w:pStyle w:val="ListBullet"/>
        <w:spacing w:before="20" w:after="60" w:line="276" w:lineRule="auto"/>
      </w:pPr>
      <w:r>
        <w:rPr>
          <w:rFonts w:ascii="Segoe UI" w:hAnsi="Segoe UI"/>
          <w:b/>
          <w:color w:val="0F172A"/>
          <w:sz w:val="20"/>
        </w:rPr>
        <w:t xml:space="preserve">Quarantine &amp; Hold Management: </w:t>
      </w:r>
      <w:r>
        <w:rPr>
          <w:rFonts w:ascii="Segoe UI" w:hAnsi="Segoe UI"/>
          <w:color w:val="334155"/>
          <w:sz w:val="20"/>
        </w:rPr>
        <w:t>Instant physical and digital quarantine of suspicious lots, completely blocking warehouse picking, staging, or dispatch.</w:t>
      </w:r>
    </w:p>
    <w:p>
      <w:pPr>
        <w:pStyle w:val="Heading2"/>
        <w:keepNext/>
        <w:spacing w:before="280" w:after="80"/>
      </w:pPr>
      <w:r>
        <w:rPr>
          <w:rFonts w:ascii="Segoe UI" w:hAnsi="Segoe UI"/>
          <w:b/>
          <w:color w:val="1E3A8A"/>
          <w:sz w:val="26"/>
        </w:rPr>
        <w:t>5.6 Maintenance &amp; Asset Reliability (CMMS) (/maintenance)</w:t>
      </w:r>
    </w:p>
    <w:p>
      <w:pPr>
        <w:spacing w:before="0" w:after="120" w:line="283" w:lineRule="auto"/>
      </w:pPr>
      <w:r>
        <w:rPr>
          <w:rFonts w:ascii="Segoe UI" w:hAnsi="Segoe UI"/>
          <w:b/>
          <w:color w:val="0F172A"/>
          <w:sz w:val="20"/>
        </w:rPr>
        <w:t xml:space="preserve">Role Profile: </w:t>
      </w:r>
      <w:r>
        <w:rPr>
          <w:rFonts w:ascii="Segoe UI" w:hAnsi="Segoe UI"/>
          <w:color w:val="334155"/>
          <w:sz w:val="20"/>
        </w:rPr>
        <w:t>Target Persona: Plant Maintenance Manager, Reliability Engineers, Multi-Craft Technicians.</w:t>
      </w:r>
    </w:p>
    <w:p>
      <w:pPr>
        <w:spacing w:before="0" w:after="120" w:line="283" w:lineRule="auto"/>
      </w:pPr>
      <w:r>
        <w:rPr>
          <w:rFonts w:ascii="Segoe UI" w:hAnsi="Segoe UI"/>
          <w:b/>
          <w:color w:val="0F172A"/>
          <w:sz w:val="20"/>
        </w:rPr>
        <w:t xml:space="preserve">Core Mission: </w:t>
      </w:r>
      <w:r>
        <w:rPr>
          <w:rFonts w:ascii="Segoe UI" w:hAnsi="Segoe UI"/>
          <w:color w:val="334155"/>
          <w:sz w:val="20"/>
        </w:rPr>
        <w:t>To maximize machine uptime, transition from reactive to predictive maintenance, and control MRO spare parts costs.</w:t>
      </w:r>
    </w:p>
    <w:p>
      <w:pPr>
        <w:pStyle w:val="ListBullet"/>
        <w:spacing w:before="20" w:after="60" w:line="276" w:lineRule="auto"/>
      </w:pPr>
      <w:r>
        <w:rPr>
          <w:rFonts w:ascii="Segoe UI" w:hAnsi="Segoe UI"/>
          <w:b/>
          <w:color w:val="0F172A"/>
          <w:sz w:val="20"/>
        </w:rPr>
        <w:t xml:space="preserve">Work Order Management: </w:t>
      </w:r>
      <w:r>
        <w:rPr>
          <w:rFonts w:ascii="Segoe UI" w:hAnsi="Segoe UI"/>
          <w:color w:val="334155"/>
          <w:sz w:val="20"/>
        </w:rPr>
        <w:t>Preventive Maintenance (PM) schedules and emergency breakdown tickets with technician time tracking, consumed parts, and ISO 14224 failure codes.</w:t>
      </w:r>
    </w:p>
    <w:p>
      <w:pPr>
        <w:pStyle w:val="ListBullet"/>
        <w:spacing w:before="20" w:after="60" w:line="276" w:lineRule="auto"/>
      </w:pPr>
      <w:r>
        <w:rPr>
          <w:rFonts w:ascii="Segoe UI" w:hAnsi="Segoe UI"/>
          <w:b/>
          <w:color w:val="0F172A"/>
          <w:sz w:val="20"/>
        </w:rPr>
        <w:t xml:space="preserve">Asset Health &amp; Sensor Telemetry: </w:t>
      </w:r>
      <w:r>
        <w:rPr>
          <w:rFonts w:ascii="Segoe UI" w:hAnsi="Segoe UI"/>
          <w:color w:val="334155"/>
          <w:sz w:val="20"/>
        </w:rPr>
        <w:t>Real-time vibration, temperature, and motor current telemetry with automated high-limit alarm triggers.</w:t>
      </w:r>
    </w:p>
    <w:p>
      <w:pPr>
        <w:pStyle w:val="ListBullet"/>
        <w:spacing w:before="20" w:after="60" w:line="276" w:lineRule="auto"/>
      </w:pPr>
      <w:r>
        <w:rPr>
          <w:rFonts w:ascii="Segoe UI" w:hAnsi="Segoe UI"/>
          <w:b/>
          <w:color w:val="0F172A"/>
          <w:sz w:val="20"/>
        </w:rPr>
        <w:t xml:space="preserve">MRO Spare Parts Inventory: </w:t>
      </w:r>
      <w:r>
        <w:rPr>
          <w:rFonts w:ascii="Segoe UI" w:hAnsi="Segoe UI"/>
          <w:color w:val="334155"/>
          <w:sz w:val="20"/>
        </w:rPr>
        <w:t>MRO spare parts inventory tracking, min/max reorder points, unit costs, and specific warehouse bin locations.</w:t>
      </w:r>
    </w:p>
    <w:p>
      <w:pPr>
        <w:pStyle w:val="Heading2"/>
        <w:keepNext/>
        <w:spacing w:before="280" w:after="80"/>
      </w:pPr>
      <w:r>
        <w:rPr>
          <w:rFonts w:ascii="Segoe UI" w:hAnsi="Segoe UI"/>
          <w:b/>
          <w:color w:val="1E3A8A"/>
          <w:sz w:val="26"/>
        </w:rPr>
        <w:t>5.7 Warehouse, Materials &amp; Inventory (WMS) (/warehouse)</w:t>
      </w:r>
    </w:p>
    <w:p>
      <w:pPr>
        <w:spacing w:before="0" w:after="120" w:line="283" w:lineRule="auto"/>
      </w:pPr>
      <w:r>
        <w:rPr>
          <w:rFonts w:ascii="Segoe UI" w:hAnsi="Segoe UI"/>
          <w:b/>
          <w:color w:val="0F172A"/>
          <w:sz w:val="20"/>
        </w:rPr>
        <w:t xml:space="preserve">Role Profile: </w:t>
      </w:r>
      <w:r>
        <w:rPr>
          <w:rFonts w:ascii="Segoe UI" w:hAnsi="Segoe UI"/>
          <w:color w:val="334155"/>
          <w:sz w:val="20"/>
        </w:rPr>
        <w:t>Target Persona: Warehouse Manager, Inventory Controller, Logistics Leads.</w:t>
      </w:r>
    </w:p>
    <w:p>
      <w:pPr>
        <w:spacing w:before="0" w:after="120" w:line="283" w:lineRule="auto"/>
      </w:pPr>
      <w:r>
        <w:rPr>
          <w:rFonts w:ascii="Segoe UI" w:hAnsi="Segoe UI"/>
          <w:b/>
          <w:color w:val="0F172A"/>
          <w:sz w:val="20"/>
        </w:rPr>
        <w:t xml:space="preserve">Core Mission: </w:t>
      </w:r>
      <w:r>
        <w:rPr>
          <w:rFonts w:ascii="Segoe UI" w:hAnsi="Segoe UI"/>
          <w:color w:val="334155"/>
          <w:sz w:val="20"/>
        </w:rPr>
        <w:t>To optimize material flow, ensure strict FIFO/FEFO picking, and provide 100% bi-directional traceability.</w:t>
      </w:r>
    </w:p>
    <w:p>
      <w:pPr>
        <w:pStyle w:val="ListBullet"/>
        <w:spacing w:before="20" w:after="60" w:line="276" w:lineRule="auto"/>
      </w:pPr>
      <w:r>
        <w:rPr>
          <w:rFonts w:ascii="Segoe UI" w:hAnsi="Segoe UI"/>
          <w:b/>
          <w:color w:val="0F172A"/>
          <w:sz w:val="20"/>
        </w:rPr>
        <w:t xml:space="preserve">Storage Resources &amp; Storage Nodes: </w:t>
      </w:r>
      <w:r>
        <w:rPr>
          <w:rFonts w:ascii="Segoe UI" w:hAnsi="Segoe UI"/>
          <w:color w:val="334155"/>
          <w:sz w:val="20"/>
        </w:rPr>
        <w:t>Complete digital map of selective pallet racks, bulk silos, staging lanes, and cold rooms with capacity limits.</w:t>
      </w:r>
    </w:p>
    <w:p>
      <w:pPr>
        <w:pStyle w:val="ListBullet"/>
        <w:spacing w:before="20" w:after="60" w:line="276" w:lineRule="auto"/>
      </w:pPr>
      <w:r>
        <w:rPr>
          <w:rFonts w:ascii="Segoe UI" w:hAnsi="Segoe UI"/>
          <w:b/>
          <w:color w:val="0F172A"/>
          <w:sz w:val="20"/>
        </w:rPr>
        <w:t xml:space="preserve">Material Shortage Radar: </w:t>
      </w:r>
      <w:r>
        <w:rPr>
          <w:rFonts w:ascii="Segoe UI" w:hAnsi="Segoe UI"/>
          <w:color w:val="334155"/>
          <w:sz w:val="20"/>
        </w:rPr>
        <w:t>Live radar alerting warehouse staff to impending raw material or packaging shortages before lines starve.</w:t>
      </w:r>
    </w:p>
    <w:p>
      <w:pPr>
        <w:pStyle w:val="ListBullet"/>
        <w:spacing w:before="20" w:after="60" w:line="276" w:lineRule="auto"/>
      </w:pPr>
      <w:r>
        <w:rPr>
          <w:rFonts w:ascii="Segoe UI" w:hAnsi="Segoe UI"/>
          <w:b/>
          <w:color w:val="0F172A"/>
          <w:sz w:val="20"/>
        </w:rPr>
        <w:t xml:space="preserve">Farm-to-Fork Traceability: </w:t>
      </w:r>
      <w:r>
        <w:rPr>
          <w:rFonts w:ascii="Segoe UI" w:hAnsi="Segoe UI"/>
          <w:color w:val="334155"/>
          <w:sz w:val="20"/>
        </w:rPr>
        <w:t>Upstream supplier lot genealogy and downstream customer shipment logs enabling comprehensive FDA mock recalls in under 90 seconds.</w:t>
      </w:r>
    </w:p>
    <w:p>
      <w:pPr>
        <w:pStyle w:val="Heading2"/>
        <w:keepNext/>
        <w:spacing w:before="280" w:after="80"/>
      </w:pPr>
      <w:r>
        <w:rPr>
          <w:rFonts w:ascii="Segoe UI" w:hAnsi="Segoe UI"/>
          <w:b/>
          <w:color w:val="1E3A8A"/>
          <w:sz w:val="26"/>
        </w:rPr>
        <w:t>5.8 System Administration &amp; Enterprise Governance (/admin)</w:t>
      </w:r>
    </w:p>
    <w:p>
      <w:pPr>
        <w:spacing w:before="0" w:after="120" w:line="283" w:lineRule="auto"/>
      </w:pPr>
      <w:r>
        <w:rPr>
          <w:rFonts w:ascii="Segoe UI" w:hAnsi="Segoe UI"/>
          <w:b/>
          <w:color w:val="0F172A"/>
          <w:sz w:val="20"/>
        </w:rPr>
        <w:t xml:space="preserve">Role Profile: </w:t>
      </w:r>
      <w:r>
        <w:rPr>
          <w:rFonts w:ascii="Segoe UI" w:hAnsi="Segoe UI"/>
          <w:color w:val="334155"/>
          <w:sz w:val="20"/>
        </w:rPr>
        <w:t>Target Persona: Plant IT Administrator, Compliance Auditor, Security Officer.</w:t>
      </w:r>
    </w:p>
    <w:p>
      <w:pPr>
        <w:spacing w:before="0" w:after="120" w:line="283" w:lineRule="auto"/>
      </w:pPr>
      <w:r>
        <w:rPr>
          <w:rFonts w:ascii="Segoe UI" w:hAnsi="Segoe UI"/>
          <w:b/>
          <w:color w:val="0F172A"/>
          <w:sz w:val="20"/>
        </w:rPr>
        <w:t xml:space="preserve">Core Mission: </w:t>
      </w:r>
      <w:r>
        <w:rPr>
          <w:rFonts w:ascii="Segoe UI" w:hAnsi="Segoe UI"/>
          <w:color w:val="334155"/>
          <w:sz w:val="20"/>
        </w:rPr>
        <w:t>To maintain system integrity, security policies, user privileges, and regulatory audit readiness.</w:t>
      </w:r>
    </w:p>
    <w:p>
      <w:pPr>
        <w:pStyle w:val="ListBullet"/>
        <w:spacing w:before="20" w:after="60" w:line="276" w:lineRule="auto"/>
      </w:pPr>
      <w:r>
        <w:rPr>
          <w:rFonts w:ascii="Segoe UI" w:hAnsi="Segoe UI"/>
          <w:b/>
          <w:color w:val="0F172A"/>
          <w:sz w:val="20"/>
        </w:rPr>
        <w:t xml:space="preserve">Role-Based Access Control (RBAC): </w:t>
      </w:r>
      <w:r>
        <w:rPr>
          <w:rFonts w:ascii="Segoe UI" w:hAnsi="Segoe UI"/>
          <w:color w:val="334155"/>
          <w:sz w:val="20"/>
        </w:rPr>
        <w:t>Granular permission assignments linking 8 roles to specific module actions (view, create, edit, approve, delete).</w:t>
      </w:r>
    </w:p>
    <w:p>
      <w:pPr>
        <w:pStyle w:val="ListBullet"/>
        <w:spacing w:before="20" w:after="60" w:line="276" w:lineRule="auto"/>
      </w:pPr>
      <w:r>
        <w:rPr>
          <w:rFonts w:ascii="Segoe UI" w:hAnsi="Segoe UI"/>
          <w:b/>
          <w:color w:val="0F172A"/>
          <w:sz w:val="20"/>
        </w:rPr>
        <w:t xml:space="preserve">FDA 21 CFR Part 11 Audit Trail: </w:t>
      </w:r>
      <w:r>
        <w:rPr>
          <w:rFonts w:ascii="Segoe UI" w:hAnsi="Segoe UI"/>
          <w:color w:val="334155"/>
          <w:sz w:val="20"/>
        </w:rPr>
        <w:t>Immutable chronological audit log capturing every critical parameter change (timestamp, user, IP, previous value, new value).</w:t>
      </w:r>
    </w:p>
    <w:p>
      <w:pPr>
        <w:pStyle w:val="ListBullet"/>
        <w:spacing w:before="20" w:after="60" w:line="276" w:lineRule="auto"/>
      </w:pPr>
      <w:r>
        <w:rPr>
          <w:rFonts w:ascii="Segoe UI" w:hAnsi="Segoe UI"/>
          <w:b/>
          <w:color w:val="0F172A"/>
          <w:sz w:val="20"/>
        </w:rPr>
        <w:t xml:space="preserve">Enterprise Integration Hub: </w:t>
      </w:r>
      <w:r>
        <w:rPr>
          <w:rFonts w:ascii="Segoe UI" w:hAnsi="Segoe UI"/>
          <w:color w:val="334155"/>
          <w:sz w:val="20"/>
        </w:rPr>
        <w:t>Configuration interfaces for SAP/Oracle ERP webhooks, OPC-UA/MQTT IoT sensor gateways, and barcode scanning hardware.</w:t>
      </w:r>
    </w:p>
    <w:p>
      <w:r>
        <w:br w:type="page"/>
      </w:r>
    </w:p>
    <w:p>
      <w:pPr>
        <w:pStyle w:val="Heading1"/>
        <w:keepNext/>
        <w:spacing w:before="360" w:after="120"/>
      </w:pPr>
      <w:r>
        <w:rPr>
          <w:rFonts w:ascii="Segoe UI" w:hAnsi="Segoe UI"/>
          <w:b/>
          <w:color w:val="0F172A"/>
          <w:sz w:val="34"/>
        </w:rPr>
        <w:t>6. Complete Catalog of All 73 PostgreSQL Database Tables</w:t>
      </w:r>
    </w:p>
    <w:p>
      <w:pPr>
        <w:spacing w:before="0" w:after="120" w:line="283" w:lineRule="auto"/>
      </w:pPr>
      <w:r>
        <w:rPr>
          <w:rFonts w:ascii="Segoe UI" w:hAnsi="Segoe UI"/>
          <w:color w:val="334155"/>
          <w:sz w:val="20"/>
        </w:rPr>
        <w:t>MaintenX-OS is underpinned by a rigorously normalized relational database schema comprising 73 PostgreSQL tables. The architecture is segmented into 11 logical functional domains to guarantee data integrity, foreign key enforcement, and sub-millisecond query performance.</w:t>
      </w:r>
    </w:p>
    <w:p>
      <w:pPr>
        <w:pStyle w:val="Heading2"/>
        <w:keepNext/>
        <w:spacing w:before="280" w:after="80"/>
      </w:pPr>
      <w:r>
        <w:rPr>
          <w:rFonts w:ascii="Segoe UI" w:hAnsi="Segoe UI"/>
          <w:b/>
          <w:color w:val="1E3A8A"/>
          <w:sz w:val="26"/>
        </w:rPr>
        <w:t>6.1 Authentication, Multi-Tenancy &amp; Governance (8 Tables)</w:t>
      </w:r>
    </w:p>
    <w:tbl>
      <w:tblPr>
        <w:tblW w:type="auto" w:w="0"/>
        <w:jc w:val="center"/>
        <w:tblLayout w:type="fixed"/>
        <w:tblLook w:firstColumn="1" w:firstRow="1" w:lastColumn="0" w:lastRow="0" w:noHBand="0" w:noVBand="1" w:val="04A0"/>
      </w:tblPr>
      <w:tblGrid>
        <w:gridCol w:w="3312"/>
        <w:gridCol w:w="3312"/>
        <w:gridCol w:w="3312"/>
      </w:tblGrid>
      <w:tr>
        <w:tc>
          <w:tcPr>
            <w:tcW w:type="dxa" w:w="2592"/>
            <w:shd w:fill="0F172A"/>
            <w:tcMar>
              <w:top w:w="130" w:type="dxa"/>
              <w:bottom w:w="130" w:type="dxa"/>
              <w:left w:w="140" w:type="dxa"/>
              <w:right w:w="140" w:type="dxa"/>
            </w:tcMar>
            <w:tcBorders>
              <w:top w:val="single" w:sz="4" w:space="0" w:color="0F172A"/>
              <w:left w:val="none"/>
              <w:bottom w:val="single" w:sz="10" w:space="0" w:color="C89547"/>
              <w:right w:val="none"/>
            </w:tcBorders>
          </w:tcPr>
          <w:p>
            <w:pPr>
              <w:spacing w:before="0" w:after="0"/>
            </w:pPr>
            <w:r>
              <w:rPr>
                <w:rFonts w:ascii="Segoe UI" w:hAnsi="Segoe UI"/>
                <w:b/>
                <w:color w:val="FFFFFF"/>
                <w:sz w:val="19"/>
              </w:rPr>
              <w:t>Database Table</w:t>
            </w:r>
          </w:p>
        </w:tc>
        <w:tc>
          <w:tcPr>
            <w:tcW w:type="dxa" w:w="2592"/>
            <w:shd w:fill="0F172A"/>
            <w:tcMar>
              <w:top w:w="130" w:type="dxa"/>
              <w:bottom w:w="130" w:type="dxa"/>
              <w:left w:w="140" w:type="dxa"/>
              <w:right w:w="140" w:type="dxa"/>
            </w:tcMar>
            <w:tcBorders>
              <w:top w:val="single" w:sz="4" w:space="0" w:color="0F172A"/>
              <w:left w:val="none"/>
              <w:bottom w:val="single" w:sz="10" w:space="0" w:color="C89547"/>
              <w:right w:val="none"/>
            </w:tcBorders>
          </w:tcPr>
          <w:p>
            <w:pPr>
              <w:spacing w:before="0" w:after="0"/>
            </w:pPr>
            <w:r>
              <w:rPr>
                <w:rFonts w:ascii="Segoe UI" w:hAnsi="Segoe UI"/>
                <w:b/>
                <w:color w:val="FFFFFF"/>
                <w:sz w:val="19"/>
              </w:rPr>
              <w:t>Functional Entity Name</w:t>
            </w:r>
          </w:p>
        </w:tc>
        <w:tc>
          <w:tcPr>
            <w:tcW w:type="dxa" w:w="4752"/>
            <w:shd w:fill="0F172A"/>
            <w:tcMar>
              <w:top w:w="130" w:type="dxa"/>
              <w:bottom w:w="130" w:type="dxa"/>
              <w:left w:w="140" w:type="dxa"/>
              <w:right w:w="140" w:type="dxa"/>
            </w:tcMar>
            <w:tcBorders>
              <w:top w:val="single" w:sz="4" w:space="0" w:color="0F172A"/>
              <w:left w:val="none"/>
              <w:bottom w:val="single" w:sz="10" w:space="0" w:color="C89547"/>
              <w:right w:val="none"/>
            </w:tcBorders>
          </w:tcPr>
          <w:p>
            <w:pPr>
              <w:spacing w:before="0" w:after="0"/>
            </w:pPr>
            <w:r>
              <w:rPr>
                <w:rFonts w:ascii="Segoe UI" w:hAnsi="Segoe UI"/>
                <w:b/>
                <w:color w:val="FFFFFF"/>
                <w:sz w:val="19"/>
              </w:rPr>
              <w:t>Operational Purpose &amp; Records Stored</w:t>
            </w:r>
          </w:p>
        </w:tc>
      </w:tr>
      <w:tr>
        <w:tc>
          <w:tcPr>
            <w:tcW w:type="dxa" w:w="2592"/>
            <w:shd w:fill="FFFFFF"/>
            <w:tcMar>
              <w:top w:w="100" w:type="dxa"/>
              <w:bottom w:w="100" w:type="dxa"/>
              <w:left w:w="140" w:type="dxa"/>
              <w:right w:w="140" w:type="dxa"/>
            </w:tcMar>
            <w:tcBorders>
              <w:top w:val="none"/>
              <w:left w:val="none"/>
              <w:bottom w:val="single" w:sz="4" w:space="0" w:color="CBD5E1"/>
              <w:right w:val="none"/>
            </w:tcBorders>
          </w:tcPr>
          <w:p>
            <w:pPr>
              <w:spacing w:before="0" w:after="0" w:line="269" w:lineRule="auto"/>
            </w:pPr>
            <w:r>
              <w:rPr>
                <w:rFonts w:ascii="Segoe UI" w:hAnsi="Segoe UI"/>
                <w:color w:val="334155"/>
                <w:sz w:val="18"/>
              </w:rPr>
              <w:t>tenants</w:t>
            </w:r>
          </w:p>
        </w:tc>
        <w:tc>
          <w:tcPr>
            <w:tcW w:type="dxa" w:w="2592"/>
            <w:shd w:fill="FFFFFF"/>
            <w:tcMar>
              <w:top w:w="100" w:type="dxa"/>
              <w:bottom w:w="100" w:type="dxa"/>
              <w:left w:w="140" w:type="dxa"/>
              <w:right w:w="140" w:type="dxa"/>
            </w:tcMar>
            <w:tcBorders>
              <w:top w:val="none"/>
              <w:left w:val="none"/>
              <w:bottom w:val="single" w:sz="4" w:space="0" w:color="CBD5E1"/>
              <w:right w:val="none"/>
            </w:tcBorders>
          </w:tcPr>
          <w:p>
            <w:pPr>
              <w:spacing w:before="0" w:after="0" w:line="269" w:lineRule="auto"/>
            </w:pPr>
            <w:r>
              <w:rPr>
                <w:rFonts w:ascii="Segoe UI" w:hAnsi="Segoe UI"/>
                <w:color w:val="334155"/>
                <w:sz w:val="18"/>
              </w:rPr>
              <w:t>Enterprise Tenant Accounts</w:t>
            </w:r>
          </w:p>
        </w:tc>
        <w:tc>
          <w:tcPr>
            <w:tcW w:type="dxa" w:w="4752"/>
            <w:shd w:fill="FFFFFF"/>
            <w:tcMar>
              <w:top w:w="100" w:type="dxa"/>
              <w:bottom w:w="100" w:type="dxa"/>
              <w:left w:w="140" w:type="dxa"/>
              <w:right w:w="140" w:type="dxa"/>
            </w:tcMar>
            <w:tcBorders>
              <w:top w:val="none"/>
              <w:left w:val="none"/>
              <w:bottom w:val="single" w:sz="4" w:space="0" w:color="CBD5E1"/>
              <w:right w:val="none"/>
            </w:tcBorders>
          </w:tcPr>
          <w:p>
            <w:pPr>
              <w:spacing w:before="0" w:after="0" w:line="269" w:lineRule="auto"/>
            </w:pPr>
            <w:r>
              <w:rPr>
                <w:rFonts w:ascii="Segoe UI" w:hAnsi="Segoe UI"/>
                <w:color w:val="334155"/>
                <w:sz w:val="18"/>
              </w:rPr>
              <w:t>Multi-tenant organization accounts, subscription tier, plant licenses, and status.</w:t>
            </w:r>
          </w:p>
        </w:tc>
      </w:tr>
      <w:tr>
        <w:tc>
          <w:tcPr>
            <w:tcW w:type="dxa" w:w="2592"/>
            <w:shd w:fill="F8FAFC"/>
            <w:tcMar>
              <w:top w:w="100" w:type="dxa"/>
              <w:bottom w:w="100" w:type="dxa"/>
              <w:left w:w="140" w:type="dxa"/>
              <w:right w:w="140" w:type="dxa"/>
            </w:tcMar>
            <w:tcBorders>
              <w:top w:val="none"/>
              <w:left w:val="none"/>
              <w:bottom w:val="single" w:sz="4" w:space="0" w:color="CBD5E1"/>
              <w:right w:val="none"/>
            </w:tcBorders>
          </w:tcPr>
          <w:p>
            <w:pPr>
              <w:spacing w:before="0" w:after="0" w:line="269" w:lineRule="auto"/>
            </w:pPr>
            <w:r>
              <w:rPr>
                <w:rFonts w:ascii="Segoe UI" w:hAnsi="Segoe UI"/>
                <w:color w:val="334155"/>
                <w:sz w:val="18"/>
              </w:rPr>
              <w:t>users</w:t>
            </w:r>
          </w:p>
        </w:tc>
        <w:tc>
          <w:tcPr>
            <w:tcW w:type="dxa" w:w="2592"/>
            <w:shd w:fill="F8FAFC"/>
            <w:tcMar>
              <w:top w:w="100" w:type="dxa"/>
              <w:bottom w:w="100" w:type="dxa"/>
              <w:left w:w="140" w:type="dxa"/>
              <w:right w:w="140" w:type="dxa"/>
            </w:tcMar>
            <w:tcBorders>
              <w:top w:val="none"/>
              <w:left w:val="none"/>
              <w:bottom w:val="single" w:sz="4" w:space="0" w:color="CBD5E1"/>
              <w:right w:val="none"/>
            </w:tcBorders>
          </w:tcPr>
          <w:p>
            <w:pPr>
              <w:spacing w:before="0" w:after="0" w:line="269" w:lineRule="auto"/>
            </w:pPr>
            <w:r>
              <w:rPr>
                <w:rFonts w:ascii="Segoe UI" w:hAnsi="Segoe UI"/>
                <w:color w:val="334155"/>
                <w:sz w:val="18"/>
              </w:rPr>
              <w:t>User Master Directory</w:t>
            </w:r>
          </w:p>
        </w:tc>
        <w:tc>
          <w:tcPr>
            <w:tcW w:type="dxa" w:w="4752"/>
            <w:shd w:fill="F8FAFC"/>
            <w:tcMar>
              <w:top w:w="100" w:type="dxa"/>
              <w:bottom w:w="100" w:type="dxa"/>
              <w:left w:w="140" w:type="dxa"/>
              <w:right w:w="140" w:type="dxa"/>
            </w:tcMar>
            <w:tcBorders>
              <w:top w:val="none"/>
              <w:left w:val="none"/>
              <w:bottom w:val="single" w:sz="4" w:space="0" w:color="CBD5E1"/>
              <w:right w:val="none"/>
            </w:tcBorders>
          </w:tcPr>
          <w:p>
            <w:pPr>
              <w:spacing w:before="0" w:after="0" w:line="269" w:lineRule="auto"/>
            </w:pPr>
            <w:r>
              <w:rPr>
                <w:rFonts w:ascii="Segoe UI" w:hAnsi="Segoe UI"/>
                <w:color w:val="334155"/>
                <w:sz w:val="18"/>
              </w:rPr>
              <w:t>User login credentials, bcrypt password hashes, plant affiliations, and primary assigned roles.</w:t>
            </w:r>
          </w:p>
        </w:tc>
      </w:tr>
      <w:tr>
        <w:tc>
          <w:tcPr>
            <w:tcW w:type="dxa" w:w="2592"/>
            <w:shd w:fill="FFFFFF"/>
            <w:tcMar>
              <w:top w:w="100" w:type="dxa"/>
              <w:bottom w:w="100" w:type="dxa"/>
              <w:left w:w="140" w:type="dxa"/>
              <w:right w:w="140" w:type="dxa"/>
            </w:tcMar>
            <w:tcBorders>
              <w:top w:val="none"/>
              <w:left w:val="none"/>
              <w:bottom w:val="single" w:sz="4" w:space="0" w:color="CBD5E1"/>
              <w:right w:val="none"/>
            </w:tcBorders>
          </w:tcPr>
          <w:p>
            <w:pPr>
              <w:spacing w:before="0" w:after="0" w:line="269" w:lineRule="auto"/>
            </w:pPr>
            <w:r>
              <w:rPr>
                <w:rFonts w:ascii="Segoe UI" w:hAnsi="Segoe UI"/>
                <w:color w:val="334155"/>
                <w:sz w:val="18"/>
              </w:rPr>
              <w:t>roles</w:t>
            </w:r>
          </w:p>
        </w:tc>
        <w:tc>
          <w:tcPr>
            <w:tcW w:type="dxa" w:w="2592"/>
            <w:shd w:fill="FFFFFF"/>
            <w:tcMar>
              <w:top w:w="100" w:type="dxa"/>
              <w:bottom w:w="100" w:type="dxa"/>
              <w:left w:w="140" w:type="dxa"/>
              <w:right w:w="140" w:type="dxa"/>
            </w:tcMar>
            <w:tcBorders>
              <w:top w:val="none"/>
              <w:left w:val="none"/>
              <w:bottom w:val="single" w:sz="4" w:space="0" w:color="CBD5E1"/>
              <w:right w:val="none"/>
            </w:tcBorders>
          </w:tcPr>
          <w:p>
            <w:pPr>
              <w:spacing w:before="0" w:after="0" w:line="269" w:lineRule="auto"/>
            </w:pPr>
            <w:r>
              <w:rPr>
                <w:rFonts w:ascii="Segoe UI" w:hAnsi="Segoe UI"/>
                <w:color w:val="334155"/>
                <w:sz w:val="18"/>
              </w:rPr>
              <w:t>Security Roles</w:t>
            </w:r>
          </w:p>
        </w:tc>
        <w:tc>
          <w:tcPr>
            <w:tcW w:type="dxa" w:w="4752"/>
            <w:shd w:fill="FFFFFF"/>
            <w:tcMar>
              <w:top w:w="100" w:type="dxa"/>
              <w:bottom w:w="100" w:type="dxa"/>
              <w:left w:w="140" w:type="dxa"/>
              <w:right w:w="140" w:type="dxa"/>
            </w:tcMar>
            <w:tcBorders>
              <w:top w:val="none"/>
              <w:left w:val="none"/>
              <w:bottom w:val="single" w:sz="4" w:space="0" w:color="CBD5E1"/>
              <w:right w:val="none"/>
            </w:tcBorders>
          </w:tcPr>
          <w:p>
            <w:pPr>
              <w:spacing w:before="0" w:after="0" w:line="269" w:lineRule="auto"/>
            </w:pPr>
            <w:r>
              <w:rPr>
                <w:rFonts w:ascii="Segoe UI" w:hAnsi="Segoe UI"/>
                <w:color w:val="334155"/>
                <w:sz w:val="18"/>
              </w:rPr>
              <w:t>System roles (Plant Director, Line Operator, CI Lead, QA Analyst, Maintenance Tech, Admin).</w:t>
            </w:r>
          </w:p>
        </w:tc>
      </w:tr>
      <w:tr>
        <w:tc>
          <w:tcPr>
            <w:tcW w:type="dxa" w:w="2592"/>
            <w:shd w:fill="F8FAFC"/>
            <w:tcMar>
              <w:top w:w="100" w:type="dxa"/>
              <w:bottom w:w="100" w:type="dxa"/>
              <w:left w:w="140" w:type="dxa"/>
              <w:right w:w="140" w:type="dxa"/>
            </w:tcMar>
            <w:tcBorders>
              <w:top w:val="none"/>
              <w:left w:val="none"/>
              <w:bottom w:val="single" w:sz="4" w:space="0" w:color="CBD5E1"/>
              <w:right w:val="none"/>
            </w:tcBorders>
          </w:tcPr>
          <w:p>
            <w:pPr>
              <w:spacing w:before="0" w:after="0" w:line="269" w:lineRule="auto"/>
            </w:pPr>
            <w:r>
              <w:rPr>
                <w:rFonts w:ascii="Segoe UI" w:hAnsi="Segoe UI"/>
                <w:color w:val="334155"/>
                <w:sz w:val="18"/>
              </w:rPr>
              <w:t>permissions</w:t>
            </w:r>
          </w:p>
        </w:tc>
        <w:tc>
          <w:tcPr>
            <w:tcW w:type="dxa" w:w="2592"/>
            <w:shd w:fill="F8FAFC"/>
            <w:tcMar>
              <w:top w:w="100" w:type="dxa"/>
              <w:bottom w:w="100" w:type="dxa"/>
              <w:left w:w="140" w:type="dxa"/>
              <w:right w:w="140" w:type="dxa"/>
            </w:tcMar>
            <w:tcBorders>
              <w:top w:val="none"/>
              <w:left w:val="none"/>
              <w:bottom w:val="single" w:sz="4" w:space="0" w:color="CBD5E1"/>
              <w:right w:val="none"/>
            </w:tcBorders>
          </w:tcPr>
          <w:p>
            <w:pPr>
              <w:spacing w:before="0" w:after="0" w:line="269" w:lineRule="auto"/>
            </w:pPr>
            <w:r>
              <w:rPr>
                <w:rFonts w:ascii="Segoe UI" w:hAnsi="Segoe UI"/>
                <w:color w:val="334155"/>
                <w:sz w:val="18"/>
              </w:rPr>
              <w:t>Granular Resource Permissions</w:t>
            </w:r>
          </w:p>
        </w:tc>
        <w:tc>
          <w:tcPr>
            <w:tcW w:type="dxa" w:w="4752"/>
            <w:shd w:fill="F8FAFC"/>
            <w:tcMar>
              <w:top w:w="100" w:type="dxa"/>
              <w:bottom w:w="100" w:type="dxa"/>
              <w:left w:w="140" w:type="dxa"/>
              <w:right w:w="140" w:type="dxa"/>
            </w:tcMar>
            <w:tcBorders>
              <w:top w:val="none"/>
              <w:left w:val="none"/>
              <w:bottom w:val="single" w:sz="4" w:space="0" w:color="CBD5E1"/>
              <w:right w:val="none"/>
            </w:tcBorders>
          </w:tcPr>
          <w:p>
            <w:pPr>
              <w:spacing w:before="0" w:after="0" w:line="269" w:lineRule="auto"/>
            </w:pPr>
            <w:r>
              <w:rPr>
                <w:rFonts w:ascii="Segoe UI" w:hAnsi="Segoe UI"/>
                <w:color w:val="334155"/>
                <w:sz w:val="18"/>
              </w:rPr>
              <w:t>Action-level permissions (e.g., 'production:create', 'qa:release', 'admin:config').</w:t>
            </w:r>
          </w:p>
        </w:tc>
      </w:tr>
      <w:tr>
        <w:tc>
          <w:tcPr>
            <w:tcW w:type="dxa" w:w="2592"/>
            <w:shd w:fill="FFFFFF"/>
            <w:tcMar>
              <w:top w:w="100" w:type="dxa"/>
              <w:bottom w:w="100" w:type="dxa"/>
              <w:left w:w="140" w:type="dxa"/>
              <w:right w:w="140" w:type="dxa"/>
            </w:tcMar>
            <w:tcBorders>
              <w:top w:val="none"/>
              <w:left w:val="none"/>
              <w:bottom w:val="single" w:sz="4" w:space="0" w:color="CBD5E1"/>
              <w:right w:val="none"/>
            </w:tcBorders>
          </w:tcPr>
          <w:p>
            <w:pPr>
              <w:spacing w:before="0" w:after="0" w:line="269" w:lineRule="auto"/>
            </w:pPr>
            <w:r>
              <w:rPr>
                <w:rFonts w:ascii="Segoe UI" w:hAnsi="Segoe UI"/>
                <w:color w:val="334155"/>
                <w:sz w:val="18"/>
              </w:rPr>
              <w:t>user_roles</w:t>
            </w:r>
          </w:p>
        </w:tc>
        <w:tc>
          <w:tcPr>
            <w:tcW w:type="dxa" w:w="2592"/>
            <w:shd w:fill="FFFFFF"/>
            <w:tcMar>
              <w:top w:w="100" w:type="dxa"/>
              <w:bottom w:w="100" w:type="dxa"/>
              <w:left w:w="140" w:type="dxa"/>
              <w:right w:w="140" w:type="dxa"/>
            </w:tcMar>
            <w:tcBorders>
              <w:top w:val="none"/>
              <w:left w:val="none"/>
              <w:bottom w:val="single" w:sz="4" w:space="0" w:color="CBD5E1"/>
              <w:right w:val="none"/>
            </w:tcBorders>
          </w:tcPr>
          <w:p>
            <w:pPr>
              <w:spacing w:before="0" w:after="0" w:line="269" w:lineRule="auto"/>
            </w:pPr>
            <w:r>
              <w:rPr>
                <w:rFonts w:ascii="Segoe UI" w:hAnsi="Segoe UI"/>
                <w:color w:val="334155"/>
                <w:sz w:val="18"/>
              </w:rPr>
              <w:t>User-Role Junction</w:t>
            </w:r>
          </w:p>
        </w:tc>
        <w:tc>
          <w:tcPr>
            <w:tcW w:type="dxa" w:w="4752"/>
            <w:shd w:fill="FFFFFF"/>
            <w:tcMar>
              <w:top w:w="100" w:type="dxa"/>
              <w:bottom w:w="100" w:type="dxa"/>
              <w:left w:w="140" w:type="dxa"/>
              <w:right w:w="140" w:type="dxa"/>
            </w:tcMar>
            <w:tcBorders>
              <w:top w:val="none"/>
              <w:left w:val="none"/>
              <w:bottom w:val="single" w:sz="4" w:space="0" w:color="CBD5E1"/>
              <w:right w:val="none"/>
            </w:tcBorders>
          </w:tcPr>
          <w:p>
            <w:pPr>
              <w:spacing w:before="0" w:after="0" w:line="269" w:lineRule="auto"/>
            </w:pPr>
            <w:r>
              <w:rPr>
                <w:rFonts w:ascii="Segoe UI" w:hAnsi="Segoe UI"/>
                <w:color w:val="334155"/>
                <w:sz w:val="18"/>
              </w:rPr>
              <w:t>Many-to-many junction mapping users to multiple security roles.</w:t>
            </w:r>
          </w:p>
        </w:tc>
      </w:tr>
      <w:tr>
        <w:tc>
          <w:tcPr>
            <w:tcW w:type="dxa" w:w="2592"/>
            <w:shd w:fill="F8FAFC"/>
            <w:tcMar>
              <w:top w:w="100" w:type="dxa"/>
              <w:bottom w:w="100" w:type="dxa"/>
              <w:left w:w="140" w:type="dxa"/>
              <w:right w:w="140" w:type="dxa"/>
            </w:tcMar>
            <w:tcBorders>
              <w:top w:val="none"/>
              <w:left w:val="none"/>
              <w:bottom w:val="single" w:sz="4" w:space="0" w:color="CBD5E1"/>
              <w:right w:val="none"/>
            </w:tcBorders>
          </w:tcPr>
          <w:p>
            <w:pPr>
              <w:spacing w:before="0" w:after="0" w:line="269" w:lineRule="auto"/>
            </w:pPr>
            <w:r>
              <w:rPr>
                <w:rFonts w:ascii="Segoe UI" w:hAnsi="Segoe UI"/>
                <w:color w:val="334155"/>
                <w:sz w:val="18"/>
              </w:rPr>
              <w:t>role_permissions</w:t>
            </w:r>
          </w:p>
        </w:tc>
        <w:tc>
          <w:tcPr>
            <w:tcW w:type="dxa" w:w="2592"/>
            <w:shd w:fill="F8FAFC"/>
            <w:tcMar>
              <w:top w:w="100" w:type="dxa"/>
              <w:bottom w:w="100" w:type="dxa"/>
              <w:left w:w="140" w:type="dxa"/>
              <w:right w:w="140" w:type="dxa"/>
            </w:tcMar>
            <w:tcBorders>
              <w:top w:val="none"/>
              <w:left w:val="none"/>
              <w:bottom w:val="single" w:sz="4" w:space="0" w:color="CBD5E1"/>
              <w:right w:val="none"/>
            </w:tcBorders>
          </w:tcPr>
          <w:p>
            <w:pPr>
              <w:spacing w:before="0" w:after="0" w:line="269" w:lineRule="auto"/>
            </w:pPr>
            <w:r>
              <w:rPr>
                <w:rFonts w:ascii="Segoe UI" w:hAnsi="Segoe UI"/>
                <w:color w:val="334155"/>
                <w:sz w:val="18"/>
              </w:rPr>
              <w:t>Role-Permission Junction</w:t>
            </w:r>
          </w:p>
        </w:tc>
        <w:tc>
          <w:tcPr>
            <w:tcW w:type="dxa" w:w="4752"/>
            <w:shd w:fill="F8FAFC"/>
            <w:tcMar>
              <w:top w:w="100" w:type="dxa"/>
              <w:bottom w:w="100" w:type="dxa"/>
              <w:left w:w="140" w:type="dxa"/>
              <w:right w:w="140" w:type="dxa"/>
            </w:tcMar>
            <w:tcBorders>
              <w:top w:val="none"/>
              <w:left w:val="none"/>
              <w:bottom w:val="single" w:sz="4" w:space="0" w:color="CBD5E1"/>
              <w:right w:val="none"/>
            </w:tcBorders>
          </w:tcPr>
          <w:p>
            <w:pPr>
              <w:spacing w:before="0" w:after="0" w:line="269" w:lineRule="auto"/>
            </w:pPr>
            <w:r>
              <w:rPr>
                <w:rFonts w:ascii="Segoe UI" w:hAnsi="Segoe UI"/>
                <w:color w:val="334155"/>
                <w:sz w:val="18"/>
              </w:rPr>
              <w:t>Granular permission mappings assigned to each specific role.</w:t>
            </w:r>
          </w:p>
        </w:tc>
      </w:tr>
      <w:tr>
        <w:tc>
          <w:tcPr>
            <w:tcW w:type="dxa" w:w="2592"/>
            <w:shd w:fill="FFFFFF"/>
            <w:tcMar>
              <w:top w:w="100" w:type="dxa"/>
              <w:bottom w:w="100" w:type="dxa"/>
              <w:left w:w="140" w:type="dxa"/>
              <w:right w:w="140" w:type="dxa"/>
            </w:tcMar>
            <w:tcBorders>
              <w:top w:val="none"/>
              <w:left w:val="none"/>
              <w:bottom w:val="single" w:sz="4" w:space="0" w:color="CBD5E1"/>
              <w:right w:val="none"/>
            </w:tcBorders>
          </w:tcPr>
          <w:p>
            <w:pPr>
              <w:spacing w:before="0" w:after="0" w:line="269" w:lineRule="auto"/>
            </w:pPr>
            <w:r>
              <w:rPr>
                <w:rFonts w:ascii="Segoe UI" w:hAnsi="Segoe UI"/>
                <w:color w:val="334155"/>
                <w:sz w:val="18"/>
              </w:rPr>
              <w:t>audit_logs</w:t>
            </w:r>
          </w:p>
        </w:tc>
        <w:tc>
          <w:tcPr>
            <w:tcW w:type="dxa" w:w="2592"/>
            <w:shd w:fill="FFFFFF"/>
            <w:tcMar>
              <w:top w:w="100" w:type="dxa"/>
              <w:bottom w:w="100" w:type="dxa"/>
              <w:left w:w="140" w:type="dxa"/>
              <w:right w:w="140" w:type="dxa"/>
            </w:tcMar>
            <w:tcBorders>
              <w:top w:val="none"/>
              <w:left w:val="none"/>
              <w:bottom w:val="single" w:sz="4" w:space="0" w:color="CBD5E1"/>
              <w:right w:val="none"/>
            </w:tcBorders>
          </w:tcPr>
          <w:p>
            <w:pPr>
              <w:spacing w:before="0" w:after="0" w:line="269" w:lineRule="auto"/>
            </w:pPr>
            <w:r>
              <w:rPr>
                <w:rFonts w:ascii="Segoe UI" w:hAnsi="Segoe UI"/>
                <w:color w:val="334155"/>
                <w:sz w:val="18"/>
              </w:rPr>
              <w:t>21 CFR Part 11 Audit Trail</w:t>
            </w:r>
          </w:p>
        </w:tc>
        <w:tc>
          <w:tcPr>
            <w:tcW w:type="dxa" w:w="4752"/>
            <w:shd w:fill="FFFFFF"/>
            <w:tcMar>
              <w:top w:w="100" w:type="dxa"/>
              <w:bottom w:w="100" w:type="dxa"/>
              <w:left w:w="140" w:type="dxa"/>
              <w:right w:w="140" w:type="dxa"/>
            </w:tcMar>
            <w:tcBorders>
              <w:top w:val="none"/>
              <w:left w:val="none"/>
              <w:bottom w:val="single" w:sz="4" w:space="0" w:color="CBD5E1"/>
              <w:right w:val="none"/>
            </w:tcBorders>
          </w:tcPr>
          <w:p>
            <w:pPr>
              <w:spacing w:before="0" w:after="0" w:line="269" w:lineRule="auto"/>
            </w:pPr>
            <w:r>
              <w:rPr>
                <w:rFonts w:ascii="Segoe UI" w:hAnsi="Segoe UI"/>
                <w:color w:val="334155"/>
                <w:sz w:val="18"/>
              </w:rPr>
              <w:t>Tamper-evident logs capturing who, what, when, IP address, old JSON state, and new JSON state.</w:t>
            </w:r>
          </w:p>
        </w:tc>
      </w:tr>
      <w:tr>
        <w:tc>
          <w:tcPr>
            <w:tcW w:type="dxa" w:w="2592"/>
            <w:shd w:fill="F8FAFC"/>
            <w:tcMar>
              <w:top w:w="100" w:type="dxa"/>
              <w:bottom w:w="100" w:type="dxa"/>
              <w:left w:w="140" w:type="dxa"/>
              <w:right w:w="140" w:type="dxa"/>
            </w:tcMar>
            <w:tcBorders>
              <w:top w:val="none"/>
              <w:left w:val="none"/>
              <w:bottom w:val="single" w:sz="4" w:space="0" w:color="CBD5E1"/>
              <w:right w:val="none"/>
            </w:tcBorders>
          </w:tcPr>
          <w:p>
            <w:pPr>
              <w:spacing w:before="0" w:after="0" w:line="269" w:lineRule="auto"/>
            </w:pPr>
            <w:r>
              <w:rPr>
                <w:rFonts w:ascii="Segoe UI" w:hAnsi="Segoe UI"/>
                <w:color w:val="334155"/>
                <w:sz w:val="18"/>
              </w:rPr>
              <w:t>digital_signatures</w:t>
            </w:r>
          </w:p>
        </w:tc>
        <w:tc>
          <w:tcPr>
            <w:tcW w:type="dxa" w:w="2592"/>
            <w:shd w:fill="F8FAFC"/>
            <w:tcMar>
              <w:top w:w="100" w:type="dxa"/>
              <w:bottom w:w="100" w:type="dxa"/>
              <w:left w:w="140" w:type="dxa"/>
              <w:right w:w="140" w:type="dxa"/>
            </w:tcMar>
            <w:tcBorders>
              <w:top w:val="none"/>
              <w:left w:val="none"/>
              <w:bottom w:val="single" w:sz="4" w:space="0" w:color="CBD5E1"/>
              <w:right w:val="none"/>
            </w:tcBorders>
          </w:tcPr>
          <w:p>
            <w:pPr>
              <w:spacing w:before="0" w:after="0" w:line="269" w:lineRule="auto"/>
            </w:pPr>
            <w:r>
              <w:rPr>
                <w:rFonts w:ascii="Segoe UI" w:hAnsi="Segoe UI"/>
                <w:color w:val="334155"/>
                <w:sz w:val="18"/>
              </w:rPr>
              <w:t>Cryptographic Signatures</w:t>
            </w:r>
          </w:p>
        </w:tc>
        <w:tc>
          <w:tcPr>
            <w:tcW w:type="dxa" w:w="4752"/>
            <w:shd w:fill="F8FAFC"/>
            <w:tcMar>
              <w:top w:w="100" w:type="dxa"/>
              <w:bottom w:w="100" w:type="dxa"/>
              <w:left w:w="140" w:type="dxa"/>
              <w:right w:w="140" w:type="dxa"/>
            </w:tcMar>
            <w:tcBorders>
              <w:top w:val="none"/>
              <w:left w:val="none"/>
              <w:bottom w:val="single" w:sz="4" w:space="0" w:color="CBD5E1"/>
              <w:right w:val="none"/>
            </w:tcBorders>
          </w:tcPr>
          <w:p>
            <w:pPr>
              <w:spacing w:before="0" w:after="0" w:line="269" w:lineRule="auto"/>
            </w:pPr>
            <w:r>
              <w:rPr>
                <w:rFonts w:ascii="Segoe UI" w:hAnsi="Segoe UI"/>
                <w:color w:val="334155"/>
                <w:sz w:val="18"/>
              </w:rPr>
              <w:t>Electronic signature records certifying batch releases, CoA approvals, and recipe modifications.</w:t>
            </w:r>
          </w:p>
        </w:tc>
      </w:tr>
    </w:tbl>
    <w:p>
      <w:pPr>
        <w:spacing w:before="40" w:after="120"/>
      </w:pPr>
    </w:p>
    <w:p>
      <w:pPr>
        <w:pStyle w:val="Heading2"/>
        <w:keepNext/>
        <w:spacing w:before="280" w:after="80"/>
      </w:pPr>
      <w:r>
        <w:rPr>
          <w:rFonts w:ascii="Segoe UI" w:hAnsi="Segoe UI"/>
          <w:b/>
          <w:color w:val="1E3A8A"/>
          <w:sz w:val="26"/>
        </w:rPr>
        <w:t>6.2 Master Data &amp; Factory Hierarchy (10 Tables)</w:t>
      </w:r>
    </w:p>
    <w:tbl>
      <w:tblPr>
        <w:tblW w:type="auto" w:w="0"/>
        <w:jc w:val="center"/>
        <w:tblLayout w:type="fixed"/>
        <w:tblLook w:firstColumn="1" w:firstRow="1" w:lastColumn="0" w:lastRow="0" w:noHBand="0" w:noVBand="1" w:val="04A0"/>
      </w:tblPr>
      <w:tblGrid>
        <w:gridCol w:w="3312"/>
        <w:gridCol w:w="3312"/>
        <w:gridCol w:w="3312"/>
      </w:tblGrid>
      <w:tr>
        <w:tc>
          <w:tcPr>
            <w:tcW w:type="dxa" w:w="2592"/>
            <w:shd w:fill="0F172A"/>
            <w:tcMar>
              <w:top w:w="130" w:type="dxa"/>
              <w:bottom w:w="130" w:type="dxa"/>
              <w:left w:w="140" w:type="dxa"/>
              <w:right w:w="140" w:type="dxa"/>
            </w:tcMar>
            <w:tcBorders>
              <w:top w:val="single" w:sz="4" w:space="0" w:color="0F172A"/>
              <w:left w:val="none"/>
              <w:bottom w:val="single" w:sz="10" w:space="0" w:color="C89547"/>
              <w:right w:val="none"/>
            </w:tcBorders>
          </w:tcPr>
          <w:p>
            <w:pPr>
              <w:spacing w:before="0" w:after="0"/>
            </w:pPr>
            <w:r>
              <w:rPr>
                <w:rFonts w:ascii="Segoe UI" w:hAnsi="Segoe UI"/>
                <w:b/>
                <w:color w:val="FFFFFF"/>
                <w:sz w:val="19"/>
              </w:rPr>
              <w:t>Database Table</w:t>
            </w:r>
          </w:p>
        </w:tc>
        <w:tc>
          <w:tcPr>
            <w:tcW w:type="dxa" w:w="2592"/>
            <w:shd w:fill="0F172A"/>
            <w:tcMar>
              <w:top w:w="130" w:type="dxa"/>
              <w:bottom w:w="130" w:type="dxa"/>
              <w:left w:w="140" w:type="dxa"/>
              <w:right w:w="140" w:type="dxa"/>
            </w:tcMar>
            <w:tcBorders>
              <w:top w:val="single" w:sz="4" w:space="0" w:color="0F172A"/>
              <w:left w:val="none"/>
              <w:bottom w:val="single" w:sz="10" w:space="0" w:color="C89547"/>
              <w:right w:val="none"/>
            </w:tcBorders>
          </w:tcPr>
          <w:p>
            <w:pPr>
              <w:spacing w:before="0" w:after="0"/>
            </w:pPr>
            <w:r>
              <w:rPr>
                <w:rFonts w:ascii="Segoe UI" w:hAnsi="Segoe UI"/>
                <w:b/>
                <w:color w:val="FFFFFF"/>
                <w:sz w:val="19"/>
              </w:rPr>
              <w:t>Functional Entity Name</w:t>
            </w:r>
          </w:p>
        </w:tc>
        <w:tc>
          <w:tcPr>
            <w:tcW w:type="dxa" w:w="4752"/>
            <w:shd w:fill="0F172A"/>
            <w:tcMar>
              <w:top w:w="130" w:type="dxa"/>
              <w:bottom w:w="130" w:type="dxa"/>
              <w:left w:w="140" w:type="dxa"/>
              <w:right w:w="140" w:type="dxa"/>
            </w:tcMar>
            <w:tcBorders>
              <w:top w:val="single" w:sz="4" w:space="0" w:color="0F172A"/>
              <w:left w:val="none"/>
              <w:bottom w:val="single" w:sz="10" w:space="0" w:color="C89547"/>
              <w:right w:val="none"/>
            </w:tcBorders>
          </w:tcPr>
          <w:p>
            <w:pPr>
              <w:spacing w:before="0" w:after="0"/>
            </w:pPr>
            <w:r>
              <w:rPr>
                <w:rFonts w:ascii="Segoe UI" w:hAnsi="Segoe UI"/>
                <w:b/>
                <w:color w:val="FFFFFF"/>
                <w:sz w:val="19"/>
              </w:rPr>
              <w:t>Operational Purpose &amp; Records Stored</w:t>
            </w:r>
          </w:p>
        </w:tc>
      </w:tr>
      <w:tr>
        <w:tc>
          <w:tcPr>
            <w:tcW w:type="dxa" w:w="2592"/>
            <w:shd w:fill="FFFFFF"/>
            <w:tcMar>
              <w:top w:w="100" w:type="dxa"/>
              <w:bottom w:w="100" w:type="dxa"/>
              <w:left w:w="140" w:type="dxa"/>
              <w:right w:w="140" w:type="dxa"/>
            </w:tcMar>
            <w:tcBorders>
              <w:top w:val="none"/>
              <w:left w:val="none"/>
              <w:bottom w:val="single" w:sz="4" w:space="0" w:color="CBD5E1"/>
              <w:right w:val="none"/>
            </w:tcBorders>
          </w:tcPr>
          <w:p>
            <w:pPr>
              <w:spacing w:before="0" w:after="0" w:line="269" w:lineRule="auto"/>
            </w:pPr>
            <w:r>
              <w:rPr>
                <w:rFonts w:ascii="Segoe UI" w:hAnsi="Segoe UI"/>
                <w:color w:val="334155"/>
                <w:sz w:val="18"/>
              </w:rPr>
              <w:t>plants</w:t>
            </w:r>
          </w:p>
        </w:tc>
        <w:tc>
          <w:tcPr>
            <w:tcW w:type="dxa" w:w="2592"/>
            <w:shd w:fill="FFFFFF"/>
            <w:tcMar>
              <w:top w:w="100" w:type="dxa"/>
              <w:bottom w:w="100" w:type="dxa"/>
              <w:left w:w="140" w:type="dxa"/>
              <w:right w:w="140" w:type="dxa"/>
            </w:tcMar>
            <w:tcBorders>
              <w:top w:val="none"/>
              <w:left w:val="none"/>
              <w:bottom w:val="single" w:sz="4" w:space="0" w:color="CBD5E1"/>
              <w:right w:val="none"/>
            </w:tcBorders>
          </w:tcPr>
          <w:p>
            <w:pPr>
              <w:spacing w:before="0" w:after="0" w:line="269" w:lineRule="auto"/>
            </w:pPr>
            <w:r>
              <w:rPr>
                <w:rFonts w:ascii="Segoe UI" w:hAnsi="Segoe UI"/>
                <w:color w:val="334155"/>
                <w:sz w:val="18"/>
              </w:rPr>
              <w:t>Manufacturing Plant Facilities</w:t>
            </w:r>
          </w:p>
        </w:tc>
        <w:tc>
          <w:tcPr>
            <w:tcW w:type="dxa" w:w="4752"/>
            <w:shd w:fill="FFFFFF"/>
            <w:tcMar>
              <w:top w:w="100" w:type="dxa"/>
              <w:bottom w:w="100" w:type="dxa"/>
              <w:left w:w="140" w:type="dxa"/>
              <w:right w:w="140" w:type="dxa"/>
            </w:tcMar>
            <w:tcBorders>
              <w:top w:val="none"/>
              <w:left w:val="none"/>
              <w:bottom w:val="single" w:sz="4" w:space="0" w:color="CBD5E1"/>
              <w:right w:val="none"/>
            </w:tcBorders>
          </w:tcPr>
          <w:p>
            <w:pPr>
              <w:spacing w:before="0" w:after="0" w:line="269" w:lineRule="auto"/>
            </w:pPr>
            <w:r>
              <w:rPr>
                <w:rFonts w:ascii="Segoe UI" w:hAnsi="Segoe UI"/>
                <w:color w:val="334155"/>
                <w:sz w:val="18"/>
              </w:rPr>
              <w:t>Physical site registry, address, timezone, operational calendar, and base currency.</w:t>
            </w:r>
          </w:p>
        </w:tc>
      </w:tr>
      <w:tr>
        <w:tc>
          <w:tcPr>
            <w:tcW w:type="dxa" w:w="2592"/>
            <w:shd w:fill="F8FAFC"/>
            <w:tcMar>
              <w:top w:w="100" w:type="dxa"/>
              <w:bottom w:w="100" w:type="dxa"/>
              <w:left w:w="140" w:type="dxa"/>
              <w:right w:w="140" w:type="dxa"/>
            </w:tcMar>
            <w:tcBorders>
              <w:top w:val="none"/>
              <w:left w:val="none"/>
              <w:bottom w:val="single" w:sz="4" w:space="0" w:color="CBD5E1"/>
              <w:right w:val="none"/>
            </w:tcBorders>
          </w:tcPr>
          <w:p>
            <w:pPr>
              <w:spacing w:before="0" w:after="0" w:line="269" w:lineRule="auto"/>
            </w:pPr>
            <w:r>
              <w:rPr>
                <w:rFonts w:ascii="Segoe UI" w:hAnsi="Segoe UI"/>
                <w:color w:val="334155"/>
                <w:sz w:val="18"/>
              </w:rPr>
              <w:t>warehouses</w:t>
            </w:r>
          </w:p>
        </w:tc>
        <w:tc>
          <w:tcPr>
            <w:tcW w:type="dxa" w:w="2592"/>
            <w:shd w:fill="F8FAFC"/>
            <w:tcMar>
              <w:top w:w="100" w:type="dxa"/>
              <w:bottom w:w="100" w:type="dxa"/>
              <w:left w:w="140" w:type="dxa"/>
              <w:right w:w="140" w:type="dxa"/>
            </w:tcMar>
            <w:tcBorders>
              <w:top w:val="none"/>
              <w:left w:val="none"/>
              <w:bottom w:val="single" w:sz="4" w:space="0" w:color="CBD5E1"/>
              <w:right w:val="none"/>
            </w:tcBorders>
          </w:tcPr>
          <w:p>
            <w:pPr>
              <w:spacing w:before="0" w:after="0" w:line="269" w:lineRule="auto"/>
            </w:pPr>
            <w:r>
              <w:rPr>
                <w:rFonts w:ascii="Segoe UI" w:hAnsi="Segoe UI"/>
                <w:color w:val="334155"/>
                <w:sz w:val="18"/>
              </w:rPr>
              <w:t>Warehouse Facilities</w:t>
            </w:r>
          </w:p>
        </w:tc>
        <w:tc>
          <w:tcPr>
            <w:tcW w:type="dxa" w:w="4752"/>
            <w:shd w:fill="F8FAFC"/>
            <w:tcMar>
              <w:top w:w="100" w:type="dxa"/>
              <w:bottom w:w="100" w:type="dxa"/>
              <w:left w:w="140" w:type="dxa"/>
              <w:right w:w="140" w:type="dxa"/>
            </w:tcMar>
            <w:tcBorders>
              <w:top w:val="none"/>
              <w:left w:val="none"/>
              <w:bottom w:val="single" w:sz="4" w:space="0" w:color="CBD5E1"/>
              <w:right w:val="none"/>
            </w:tcBorders>
          </w:tcPr>
          <w:p>
            <w:pPr>
              <w:spacing w:before="0" w:after="0" w:line="269" w:lineRule="auto"/>
            </w:pPr>
            <w:r>
              <w:rPr>
                <w:rFonts w:ascii="Segoe UI" w:hAnsi="Segoe UI"/>
                <w:color w:val="334155"/>
                <w:sz w:val="18"/>
              </w:rPr>
              <w:t>Warehouse entities located within plant boundaries with storage zones.</w:t>
            </w:r>
          </w:p>
        </w:tc>
      </w:tr>
      <w:tr>
        <w:tc>
          <w:tcPr>
            <w:tcW w:type="dxa" w:w="2592"/>
            <w:shd w:fill="FFFFFF"/>
            <w:tcMar>
              <w:top w:w="100" w:type="dxa"/>
              <w:bottom w:w="100" w:type="dxa"/>
              <w:left w:w="140" w:type="dxa"/>
              <w:right w:w="140" w:type="dxa"/>
            </w:tcMar>
            <w:tcBorders>
              <w:top w:val="none"/>
              <w:left w:val="none"/>
              <w:bottom w:val="single" w:sz="4" w:space="0" w:color="CBD5E1"/>
              <w:right w:val="none"/>
            </w:tcBorders>
          </w:tcPr>
          <w:p>
            <w:pPr>
              <w:spacing w:before="0" w:after="0" w:line="269" w:lineRule="auto"/>
            </w:pPr>
            <w:r>
              <w:rPr>
                <w:rFonts w:ascii="Segoe UI" w:hAnsi="Segoe UI"/>
                <w:color w:val="334155"/>
                <w:sz w:val="18"/>
              </w:rPr>
              <w:t>production_lines</w:t>
            </w:r>
          </w:p>
        </w:tc>
        <w:tc>
          <w:tcPr>
            <w:tcW w:type="dxa" w:w="2592"/>
            <w:shd w:fill="FFFFFF"/>
            <w:tcMar>
              <w:top w:w="100" w:type="dxa"/>
              <w:bottom w:w="100" w:type="dxa"/>
              <w:left w:w="140" w:type="dxa"/>
              <w:right w:w="140" w:type="dxa"/>
            </w:tcMar>
            <w:tcBorders>
              <w:top w:val="none"/>
              <w:left w:val="none"/>
              <w:bottom w:val="single" w:sz="4" w:space="0" w:color="CBD5E1"/>
              <w:right w:val="none"/>
            </w:tcBorders>
          </w:tcPr>
          <w:p>
            <w:pPr>
              <w:spacing w:before="0" w:after="0" w:line="269" w:lineRule="auto"/>
            </w:pPr>
            <w:r>
              <w:rPr>
                <w:rFonts w:ascii="Segoe UI" w:hAnsi="Segoe UI"/>
                <w:color w:val="334155"/>
                <w:sz w:val="18"/>
              </w:rPr>
              <w:t>Manufacturing &amp; Packaging Lines</w:t>
            </w:r>
          </w:p>
        </w:tc>
        <w:tc>
          <w:tcPr>
            <w:tcW w:type="dxa" w:w="4752"/>
            <w:shd w:fill="FFFFFF"/>
            <w:tcMar>
              <w:top w:w="100" w:type="dxa"/>
              <w:bottom w:w="100" w:type="dxa"/>
              <w:left w:w="140" w:type="dxa"/>
              <w:right w:w="140" w:type="dxa"/>
            </w:tcMar>
            <w:tcBorders>
              <w:top w:val="none"/>
              <w:left w:val="none"/>
              <w:bottom w:val="single" w:sz="4" w:space="0" w:color="CBD5E1"/>
              <w:right w:val="none"/>
            </w:tcBorders>
          </w:tcPr>
          <w:p>
            <w:pPr>
              <w:spacing w:before="0" w:after="0" w:line="269" w:lineRule="auto"/>
            </w:pPr>
            <w:r>
              <w:rPr>
                <w:rFonts w:ascii="Segoe UI" w:hAnsi="Segoe UI"/>
                <w:color w:val="334155"/>
                <w:sz w:val="18"/>
              </w:rPr>
              <w:t>Production lines with standard rated speeds (BPH/CPH), department, and line type.</w:t>
            </w:r>
          </w:p>
        </w:tc>
      </w:tr>
      <w:tr>
        <w:tc>
          <w:tcPr>
            <w:tcW w:type="dxa" w:w="2592"/>
            <w:shd w:fill="F8FAFC"/>
            <w:tcMar>
              <w:top w:w="100" w:type="dxa"/>
              <w:bottom w:w="100" w:type="dxa"/>
              <w:left w:w="140" w:type="dxa"/>
              <w:right w:w="140" w:type="dxa"/>
            </w:tcMar>
            <w:tcBorders>
              <w:top w:val="none"/>
              <w:left w:val="none"/>
              <w:bottom w:val="single" w:sz="4" w:space="0" w:color="CBD5E1"/>
              <w:right w:val="none"/>
            </w:tcBorders>
          </w:tcPr>
          <w:p>
            <w:pPr>
              <w:spacing w:before="0" w:after="0" w:line="269" w:lineRule="auto"/>
            </w:pPr>
            <w:r>
              <w:rPr>
                <w:rFonts w:ascii="Segoe UI" w:hAnsi="Segoe UI"/>
                <w:color w:val="334155"/>
                <w:sz w:val="18"/>
              </w:rPr>
              <w:t>work_centers</w:t>
            </w:r>
          </w:p>
        </w:tc>
        <w:tc>
          <w:tcPr>
            <w:tcW w:type="dxa" w:w="2592"/>
            <w:shd w:fill="F8FAFC"/>
            <w:tcMar>
              <w:top w:w="100" w:type="dxa"/>
              <w:bottom w:w="100" w:type="dxa"/>
              <w:left w:w="140" w:type="dxa"/>
              <w:right w:w="140" w:type="dxa"/>
            </w:tcMar>
            <w:tcBorders>
              <w:top w:val="none"/>
              <w:left w:val="none"/>
              <w:bottom w:val="single" w:sz="4" w:space="0" w:color="CBD5E1"/>
              <w:right w:val="none"/>
            </w:tcBorders>
          </w:tcPr>
          <w:p>
            <w:pPr>
              <w:spacing w:before="0" w:after="0" w:line="269" w:lineRule="auto"/>
            </w:pPr>
            <w:r>
              <w:rPr>
                <w:rFonts w:ascii="Segoe UI" w:hAnsi="Segoe UI"/>
                <w:color w:val="334155"/>
                <w:sz w:val="18"/>
              </w:rPr>
              <w:t>Workstation Work Centers</w:t>
            </w:r>
          </w:p>
        </w:tc>
        <w:tc>
          <w:tcPr>
            <w:tcW w:type="dxa" w:w="4752"/>
            <w:shd w:fill="F8FAFC"/>
            <w:tcMar>
              <w:top w:w="100" w:type="dxa"/>
              <w:bottom w:w="100" w:type="dxa"/>
              <w:left w:w="140" w:type="dxa"/>
              <w:right w:w="140" w:type="dxa"/>
            </w:tcMar>
            <w:tcBorders>
              <w:top w:val="none"/>
              <w:left w:val="none"/>
              <w:bottom w:val="single" w:sz="4" w:space="0" w:color="CBD5E1"/>
              <w:right w:val="none"/>
            </w:tcBorders>
          </w:tcPr>
          <w:p>
            <w:pPr>
              <w:spacing w:before="0" w:after="0" w:line="269" w:lineRule="auto"/>
            </w:pPr>
            <w:r>
              <w:rPr>
                <w:rFonts w:ascii="Segoe UI" w:hAnsi="Segoe UI"/>
                <w:color w:val="334155"/>
                <w:sz w:val="18"/>
              </w:rPr>
              <w:t>Individual equipment stations (Depalletizer, Monoblock, Seamer, Labeler, Case Packer).</w:t>
            </w:r>
          </w:p>
        </w:tc>
      </w:tr>
      <w:tr>
        <w:tc>
          <w:tcPr>
            <w:tcW w:type="dxa" w:w="2592"/>
            <w:shd w:fill="FFFFFF"/>
            <w:tcMar>
              <w:top w:w="100" w:type="dxa"/>
              <w:bottom w:w="100" w:type="dxa"/>
              <w:left w:w="140" w:type="dxa"/>
              <w:right w:w="140" w:type="dxa"/>
            </w:tcMar>
            <w:tcBorders>
              <w:top w:val="none"/>
              <w:left w:val="none"/>
              <w:bottom w:val="single" w:sz="4" w:space="0" w:color="CBD5E1"/>
              <w:right w:val="none"/>
            </w:tcBorders>
          </w:tcPr>
          <w:p>
            <w:pPr>
              <w:spacing w:before="0" w:after="0" w:line="269" w:lineRule="auto"/>
            </w:pPr>
            <w:r>
              <w:rPr>
                <w:rFonts w:ascii="Segoe UI" w:hAnsi="Segoe UI"/>
                <w:color w:val="334155"/>
                <w:sz w:val="18"/>
              </w:rPr>
              <w:t>shifts</w:t>
            </w:r>
          </w:p>
        </w:tc>
        <w:tc>
          <w:tcPr>
            <w:tcW w:type="dxa" w:w="2592"/>
            <w:shd w:fill="FFFFFF"/>
            <w:tcMar>
              <w:top w:w="100" w:type="dxa"/>
              <w:bottom w:w="100" w:type="dxa"/>
              <w:left w:w="140" w:type="dxa"/>
              <w:right w:w="140" w:type="dxa"/>
            </w:tcMar>
            <w:tcBorders>
              <w:top w:val="none"/>
              <w:left w:val="none"/>
              <w:bottom w:val="single" w:sz="4" w:space="0" w:color="CBD5E1"/>
              <w:right w:val="none"/>
            </w:tcBorders>
          </w:tcPr>
          <w:p>
            <w:pPr>
              <w:spacing w:before="0" w:after="0" w:line="269" w:lineRule="auto"/>
            </w:pPr>
            <w:r>
              <w:rPr>
                <w:rFonts w:ascii="Segoe UI" w:hAnsi="Segoe UI"/>
                <w:color w:val="334155"/>
                <w:sz w:val="18"/>
              </w:rPr>
              <w:t>Shift Operating Schedules</w:t>
            </w:r>
          </w:p>
        </w:tc>
        <w:tc>
          <w:tcPr>
            <w:tcW w:type="dxa" w:w="4752"/>
            <w:shd w:fill="FFFFFF"/>
            <w:tcMar>
              <w:top w:w="100" w:type="dxa"/>
              <w:bottom w:w="100" w:type="dxa"/>
              <w:left w:w="140" w:type="dxa"/>
              <w:right w:w="140" w:type="dxa"/>
            </w:tcMar>
            <w:tcBorders>
              <w:top w:val="none"/>
              <w:left w:val="none"/>
              <w:bottom w:val="single" w:sz="4" w:space="0" w:color="CBD5E1"/>
              <w:right w:val="none"/>
            </w:tcBorders>
          </w:tcPr>
          <w:p>
            <w:pPr>
              <w:spacing w:before="0" w:after="0" w:line="269" w:lineRule="auto"/>
            </w:pPr>
            <w:r>
              <w:rPr>
                <w:rFonts w:ascii="Segoe UI" w:hAnsi="Segoe UI"/>
                <w:color w:val="334155"/>
                <w:sz w:val="18"/>
              </w:rPr>
              <w:t>Operating shifts (Morning, Afternoon, Night) with start times, end times, and duration.</w:t>
            </w:r>
          </w:p>
        </w:tc>
      </w:tr>
      <w:tr>
        <w:tc>
          <w:tcPr>
            <w:tcW w:type="dxa" w:w="2592"/>
            <w:shd w:fill="F8FAFC"/>
            <w:tcMar>
              <w:top w:w="100" w:type="dxa"/>
              <w:bottom w:w="100" w:type="dxa"/>
              <w:left w:w="140" w:type="dxa"/>
              <w:right w:w="140" w:type="dxa"/>
            </w:tcMar>
            <w:tcBorders>
              <w:top w:val="none"/>
              <w:left w:val="none"/>
              <w:bottom w:val="single" w:sz="4" w:space="0" w:color="CBD5E1"/>
              <w:right w:val="none"/>
            </w:tcBorders>
          </w:tcPr>
          <w:p>
            <w:pPr>
              <w:spacing w:before="0" w:after="0" w:line="269" w:lineRule="auto"/>
            </w:pPr>
            <w:r>
              <w:rPr>
                <w:rFonts w:ascii="Segoe UI" w:hAnsi="Segoe UI"/>
                <w:color w:val="334155"/>
                <w:sz w:val="18"/>
              </w:rPr>
              <w:t>staff</w:t>
            </w:r>
          </w:p>
        </w:tc>
        <w:tc>
          <w:tcPr>
            <w:tcW w:type="dxa" w:w="2592"/>
            <w:shd w:fill="F8FAFC"/>
            <w:tcMar>
              <w:top w:w="100" w:type="dxa"/>
              <w:bottom w:w="100" w:type="dxa"/>
              <w:left w:w="140" w:type="dxa"/>
              <w:right w:w="140" w:type="dxa"/>
            </w:tcMar>
            <w:tcBorders>
              <w:top w:val="none"/>
              <w:left w:val="none"/>
              <w:bottom w:val="single" w:sz="4" w:space="0" w:color="CBD5E1"/>
              <w:right w:val="none"/>
            </w:tcBorders>
          </w:tcPr>
          <w:p>
            <w:pPr>
              <w:spacing w:before="0" w:after="0" w:line="269" w:lineRule="auto"/>
            </w:pPr>
            <w:r>
              <w:rPr>
                <w:rFonts w:ascii="Segoe UI" w:hAnsi="Segoe UI"/>
                <w:color w:val="334155"/>
                <w:sz w:val="18"/>
              </w:rPr>
              <w:t>Plant Personnel Registry</w:t>
            </w:r>
          </w:p>
        </w:tc>
        <w:tc>
          <w:tcPr>
            <w:tcW w:type="dxa" w:w="4752"/>
            <w:shd w:fill="F8FAFC"/>
            <w:tcMar>
              <w:top w:w="100" w:type="dxa"/>
              <w:bottom w:w="100" w:type="dxa"/>
              <w:left w:w="140" w:type="dxa"/>
              <w:right w:w="140" w:type="dxa"/>
            </w:tcMar>
            <w:tcBorders>
              <w:top w:val="none"/>
              <w:left w:val="none"/>
              <w:bottom w:val="single" w:sz="4" w:space="0" w:color="CBD5E1"/>
              <w:right w:val="none"/>
            </w:tcBorders>
          </w:tcPr>
          <w:p>
            <w:pPr>
              <w:spacing w:before="0" w:after="0" w:line="269" w:lineRule="auto"/>
            </w:pPr>
            <w:r>
              <w:rPr>
                <w:rFonts w:ascii="Segoe UI" w:hAnsi="Segoe UI"/>
                <w:color w:val="334155"/>
                <w:sz w:val="18"/>
              </w:rPr>
              <w:t>Factory employees, badge IDs, department, role, and certified machine skill ratings.</w:t>
            </w:r>
          </w:p>
        </w:tc>
      </w:tr>
      <w:tr>
        <w:tc>
          <w:tcPr>
            <w:tcW w:type="dxa" w:w="2592"/>
            <w:shd w:fill="FFFFFF"/>
            <w:tcMar>
              <w:top w:w="100" w:type="dxa"/>
              <w:bottom w:w="100" w:type="dxa"/>
              <w:left w:w="140" w:type="dxa"/>
              <w:right w:w="140" w:type="dxa"/>
            </w:tcMar>
            <w:tcBorders>
              <w:top w:val="none"/>
              <w:left w:val="none"/>
              <w:bottom w:val="single" w:sz="4" w:space="0" w:color="CBD5E1"/>
              <w:right w:val="none"/>
            </w:tcBorders>
          </w:tcPr>
          <w:p>
            <w:pPr>
              <w:spacing w:before="0" w:after="0" w:line="269" w:lineRule="auto"/>
            </w:pPr>
            <w:r>
              <w:rPr>
                <w:rFonts w:ascii="Segoe UI" w:hAnsi="Segoe UI"/>
                <w:color w:val="334155"/>
                <w:sz w:val="18"/>
              </w:rPr>
              <w:t>product_families</w:t>
            </w:r>
          </w:p>
        </w:tc>
        <w:tc>
          <w:tcPr>
            <w:tcW w:type="dxa" w:w="2592"/>
            <w:shd w:fill="FFFFFF"/>
            <w:tcMar>
              <w:top w:w="100" w:type="dxa"/>
              <w:bottom w:w="100" w:type="dxa"/>
              <w:left w:w="140" w:type="dxa"/>
              <w:right w:w="140" w:type="dxa"/>
            </w:tcMar>
            <w:tcBorders>
              <w:top w:val="none"/>
              <w:left w:val="none"/>
              <w:bottom w:val="single" w:sz="4" w:space="0" w:color="CBD5E1"/>
              <w:right w:val="none"/>
            </w:tcBorders>
          </w:tcPr>
          <w:p>
            <w:pPr>
              <w:spacing w:before="0" w:after="0" w:line="269" w:lineRule="auto"/>
            </w:pPr>
            <w:r>
              <w:rPr>
                <w:rFonts w:ascii="Segoe UI" w:hAnsi="Segoe UI"/>
                <w:color w:val="334155"/>
                <w:sz w:val="18"/>
              </w:rPr>
              <w:t>Product Category Hierarchies</w:t>
            </w:r>
          </w:p>
        </w:tc>
        <w:tc>
          <w:tcPr>
            <w:tcW w:type="dxa" w:w="4752"/>
            <w:shd w:fill="FFFFFF"/>
            <w:tcMar>
              <w:top w:w="100" w:type="dxa"/>
              <w:bottom w:w="100" w:type="dxa"/>
              <w:left w:w="140" w:type="dxa"/>
              <w:right w:w="140" w:type="dxa"/>
            </w:tcMar>
            <w:tcBorders>
              <w:top w:val="none"/>
              <w:left w:val="none"/>
              <w:bottom w:val="single" w:sz="4" w:space="0" w:color="CBD5E1"/>
              <w:right w:val="none"/>
            </w:tcBorders>
          </w:tcPr>
          <w:p>
            <w:pPr>
              <w:spacing w:before="0" w:after="0" w:line="269" w:lineRule="auto"/>
            </w:pPr>
            <w:r>
              <w:rPr>
                <w:rFonts w:ascii="Segoe UI" w:hAnsi="Segoe UI"/>
                <w:color w:val="334155"/>
                <w:sz w:val="18"/>
              </w:rPr>
              <w:t>High-level brand and category groupings for manufactured beverages and goods.</w:t>
            </w:r>
          </w:p>
        </w:tc>
      </w:tr>
      <w:tr>
        <w:tc>
          <w:tcPr>
            <w:tcW w:type="dxa" w:w="2592"/>
            <w:shd w:fill="F8FAFC"/>
            <w:tcMar>
              <w:top w:w="100" w:type="dxa"/>
              <w:bottom w:w="100" w:type="dxa"/>
              <w:left w:w="140" w:type="dxa"/>
              <w:right w:w="140" w:type="dxa"/>
            </w:tcMar>
            <w:tcBorders>
              <w:top w:val="none"/>
              <w:left w:val="none"/>
              <w:bottom w:val="single" w:sz="4" w:space="0" w:color="CBD5E1"/>
              <w:right w:val="none"/>
            </w:tcBorders>
          </w:tcPr>
          <w:p>
            <w:pPr>
              <w:spacing w:before="0" w:after="0" w:line="269" w:lineRule="auto"/>
            </w:pPr>
            <w:r>
              <w:rPr>
                <w:rFonts w:ascii="Segoe UI" w:hAnsi="Segoe UI"/>
                <w:color w:val="334155"/>
                <w:sz w:val="18"/>
              </w:rPr>
              <w:t>skus</w:t>
            </w:r>
          </w:p>
        </w:tc>
        <w:tc>
          <w:tcPr>
            <w:tcW w:type="dxa" w:w="2592"/>
            <w:shd w:fill="F8FAFC"/>
            <w:tcMar>
              <w:top w:w="100" w:type="dxa"/>
              <w:bottom w:w="100" w:type="dxa"/>
              <w:left w:w="140" w:type="dxa"/>
              <w:right w:w="140" w:type="dxa"/>
            </w:tcMar>
            <w:tcBorders>
              <w:top w:val="none"/>
              <w:left w:val="none"/>
              <w:bottom w:val="single" w:sz="4" w:space="0" w:color="CBD5E1"/>
              <w:right w:val="none"/>
            </w:tcBorders>
          </w:tcPr>
          <w:p>
            <w:pPr>
              <w:spacing w:before="0" w:after="0" w:line="269" w:lineRule="auto"/>
            </w:pPr>
            <w:r>
              <w:rPr>
                <w:rFonts w:ascii="Segoe UI" w:hAnsi="Segoe UI"/>
                <w:color w:val="334155"/>
                <w:sz w:val="18"/>
              </w:rPr>
              <w:t>Stock Keeping Units (SKUs)</w:t>
            </w:r>
          </w:p>
        </w:tc>
        <w:tc>
          <w:tcPr>
            <w:tcW w:type="dxa" w:w="4752"/>
            <w:shd w:fill="F8FAFC"/>
            <w:tcMar>
              <w:top w:w="100" w:type="dxa"/>
              <w:bottom w:w="100" w:type="dxa"/>
              <w:left w:w="140" w:type="dxa"/>
              <w:right w:w="140" w:type="dxa"/>
            </w:tcMar>
            <w:tcBorders>
              <w:top w:val="none"/>
              <w:left w:val="none"/>
              <w:bottom w:val="single" w:sz="4" w:space="0" w:color="CBD5E1"/>
              <w:right w:val="none"/>
            </w:tcBorders>
          </w:tcPr>
          <w:p>
            <w:pPr>
              <w:spacing w:before="0" w:after="0" w:line="269" w:lineRule="auto"/>
            </w:pPr>
            <w:r>
              <w:rPr>
                <w:rFonts w:ascii="Segoe UI" w:hAnsi="Segoe UI"/>
                <w:color w:val="334155"/>
                <w:sz w:val="18"/>
              </w:rPr>
              <w:t>Master item register for Raw Materials, Packaging Materials, and Finished Goods.</w:t>
            </w:r>
          </w:p>
        </w:tc>
      </w:tr>
      <w:tr>
        <w:tc>
          <w:tcPr>
            <w:tcW w:type="dxa" w:w="2592"/>
            <w:shd w:fill="FFFFFF"/>
            <w:tcMar>
              <w:top w:w="100" w:type="dxa"/>
              <w:bottom w:w="100" w:type="dxa"/>
              <w:left w:w="140" w:type="dxa"/>
              <w:right w:w="140" w:type="dxa"/>
            </w:tcMar>
            <w:tcBorders>
              <w:top w:val="none"/>
              <w:left w:val="none"/>
              <w:bottom w:val="single" w:sz="4" w:space="0" w:color="CBD5E1"/>
              <w:right w:val="none"/>
            </w:tcBorders>
          </w:tcPr>
          <w:p>
            <w:pPr>
              <w:spacing w:before="0" w:after="0" w:line="269" w:lineRule="auto"/>
            </w:pPr>
            <w:r>
              <w:rPr>
                <w:rFonts w:ascii="Segoe UI" w:hAnsi="Segoe UI"/>
                <w:color w:val="334155"/>
                <w:sz w:val="18"/>
              </w:rPr>
              <w:t>boms</w:t>
            </w:r>
          </w:p>
        </w:tc>
        <w:tc>
          <w:tcPr>
            <w:tcW w:type="dxa" w:w="2592"/>
            <w:shd w:fill="FFFFFF"/>
            <w:tcMar>
              <w:top w:w="100" w:type="dxa"/>
              <w:bottom w:w="100" w:type="dxa"/>
              <w:left w:w="140" w:type="dxa"/>
              <w:right w:w="140" w:type="dxa"/>
            </w:tcMar>
            <w:tcBorders>
              <w:top w:val="none"/>
              <w:left w:val="none"/>
              <w:bottom w:val="single" w:sz="4" w:space="0" w:color="CBD5E1"/>
              <w:right w:val="none"/>
            </w:tcBorders>
          </w:tcPr>
          <w:p>
            <w:pPr>
              <w:spacing w:before="0" w:after="0" w:line="269" w:lineRule="auto"/>
            </w:pPr>
            <w:r>
              <w:rPr>
                <w:rFonts w:ascii="Segoe UI" w:hAnsi="Segoe UI"/>
                <w:color w:val="334155"/>
                <w:sz w:val="18"/>
              </w:rPr>
              <w:t>Bill of Materials (BOM) Headers</w:t>
            </w:r>
          </w:p>
        </w:tc>
        <w:tc>
          <w:tcPr>
            <w:tcW w:type="dxa" w:w="4752"/>
            <w:shd w:fill="FFFFFF"/>
            <w:tcMar>
              <w:top w:w="100" w:type="dxa"/>
              <w:bottom w:w="100" w:type="dxa"/>
              <w:left w:w="140" w:type="dxa"/>
              <w:right w:w="140" w:type="dxa"/>
            </w:tcMar>
            <w:tcBorders>
              <w:top w:val="none"/>
              <w:left w:val="none"/>
              <w:bottom w:val="single" w:sz="4" w:space="0" w:color="CBD5E1"/>
              <w:right w:val="none"/>
            </w:tcBorders>
          </w:tcPr>
          <w:p>
            <w:pPr>
              <w:spacing w:before="0" w:after="0" w:line="269" w:lineRule="auto"/>
            </w:pPr>
            <w:r>
              <w:rPr>
                <w:rFonts w:ascii="Segoe UI" w:hAnsi="Segoe UI"/>
                <w:color w:val="334155"/>
                <w:sz w:val="18"/>
              </w:rPr>
              <w:t>Recipe version headers, effective dates, revision number, and approval status.</w:t>
            </w:r>
          </w:p>
        </w:tc>
      </w:tr>
      <w:tr>
        <w:tc>
          <w:tcPr>
            <w:tcW w:type="dxa" w:w="2592"/>
            <w:shd w:fill="F8FAFC"/>
            <w:tcMar>
              <w:top w:w="100" w:type="dxa"/>
              <w:bottom w:w="100" w:type="dxa"/>
              <w:left w:w="140" w:type="dxa"/>
              <w:right w:w="140" w:type="dxa"/>
            </w:tcMar>
            <w:tcBorders>
              <w:top w:val="none"/>
              <w:left w:val="none"/>
              <w:bottom w:val="single" w:sz="4" w:space="0" w:color="CBD5E1"/>
              <w:right w:val="none"/>
            </w:tcBorders>
          </w:tcPr>
          <w:p>
            <w:pPr>
              <w:spacing w:before="0" w:after="0" w:line="269" w:lineRule="auto"/>
            </w:pPr>
            <w:r>
              <w:rPr>
                <w:rFonts w:ascii="Segoe UI" w:hAnsi="Segoe UI"/>
                <w:color w:val="334155"/>
                <w:sz w:val="18"/>
              </w:rPr>
              <w:t>bom_items</w:t>
            </w:r>
          </w:p>
        </w:tc>
        <w:tc>
          <w:tcPr>
            <w:tcW w:type="dxa" w:w="2592"/>
            <w:shd w:fill="F8FAFC"/>
            <w:tcMar>
              <w:top w:w="100" w:type="dxa"/>
              <w:bottom w:w="100" w:type="dxa"/>
              <w:left w:w="140" w:type="dxa"/>
              <w:right w:w="140" w:type="dxa"/>
            </w:tcMar>
            <w:tcBorders>
              <w:top w:val="none"/>
              <w:left w:val="none"/>
              <w:bottom w:val="single" w:sz="4" w:space="0" w:color="CBD5E1"/>
              <w:right w:val="none"/>
            </w:tcBorders>
          </w:tcPr>
          <w:p>
            <w:pPr>
              <w:spacing w:before="0" w:after="0" w:line="269" w:lineRule="auto"/>
            </w:pPr>
            <w:r>
              <w:rPr>
                <w:rFonts w:ascii="Segoe UI" w:hAnsi="Segoe UI"/>
                <w:color w:val="334155"/>
                <w:sz w:val="18"/>
              </w:rPr>
              <w:t>BOM Component Line Items</w:t>
            </w:r>
          </w:p>
        </w:tc>
        <w:tc>
          <w:tcPr>
            <w:tcW w:type="dxa" w:w="4752"/>
            <w:shd w:fill="F8FAFC"/>
            <w:tcMar>
              <w:top w:w="100" w:type="dxa"/>
              <w:bottom w:w="100" w:type="dxa"/>
              <w:left w:w="140" w:type="dxa"/>
              <w:right w:w="140" w:type="dxa"/>
            </w:tcMar>
            <w:tcBorders>
              <w:top w:val="none"/>
              <w:left w:val="none"/>
              <w:bottom w:val="single" w:sz="4" w:space="0" w:color="CBD5E1"/>
              <w:right w:val="none"/>
            </w:tcBorders>
          </w:tcPr>
          <w:p>
            <w:pPr>
              <w:spacing w:before="0" w:after="0" w:line="269" w:lineRule="auto"/>
            </w:pPr>
            <w:r>
              <w:rPr>
                <w:rFonts w:ascii="Segoe UI" w:hAnsi="Segoe UI"/>
                <w:color w:val="334155"/>
                <w:sz w:val="18"/>
              </w:rPr>
              <w:t>Detailed ingredient and packaging quantities per finished unit with scrap allowances.</w:t>
            </w:r>
          </w:p>
        </w:tc>
      </w:tr>
    </w:tbl>
    <w:p>
      <w:pPr>
        <w:spacing w:before="40" w:after="120"/>
      </w:pPr>
    </w:p>
    <w:p>
      <w:pPr>
        <w:pStyle w:val="Heading2"/>
        <w:keepNext/>
        <w:spacing w:before="280" w:after="80"/>
      </w:pPr>
      <w:r>
        <w:rPr>
          <w:rFonts w:ascii="Segoe UI" w:hAnsi="Segoe UI"/>
          <w:b/>
          <w:color w:val="1E3A8A"/>
          <w:sz w:val="26"/>
        </w:rPr>
        <w:t>6.3 Production Routings (2 Tables)</w:t>
      </w:r>
    </w:p>
    <w:tbl>
      <w:tblPr>
        <w:tblW w:type="auto" w:w="0"/>
        <w:jc w:val="center"/>
        <w:tblLayout w:type="fixed"/>
        <w:tblLook w:firstColumn="1" w:firstRow="1" w:lastColumn="0" w:lastRow="0" w:noHBand="0" w:noVBand="1" w:val="04A0"/>
      </w:tblPr>
      <w:tblGrid>
        <w:gridCol w:w="3312"/>
        <w:gridCol w:w="3312"/>
        <w:gridCol w:w="3312"/>
      </w:tblGrid>
      <w:tr>
        <w:tc>
          <w:tcPr>
            <w:tcW w:type="dxa" w:w="2592"/>
            <w:shd w:fill="0F172A"/>
            <w:tcMar>
              <w:top w:w="130" w:type="dxa"/>
              <w:bottom w:w="130" w:type="dxa"/>
              <w:left w:w="140" w:type="dxa"/>
              <w:right w:w="140" w:type="dxa"/>
            </w:tcMar>
            <w:tcBorders>
              <w:top w:val="single" w:sz="4" w:space="0" w:color="0F172A"/>
              <w:left w:val="none"/>
              <w:bottom w:val="single" w:sz="10" w:space="0" w:color="C89547"/>
              <w:right w:val="none"/>
            </w:tcBorders>
          </w:tcPr>
          <w:p>
            <w:pPr>
              <w:spacing w:before="0" w:after="0"/>
            </w:pPr>
            <w:r>
              <w:rPr>
                <w:rFonts w:ascii="Segoe UI" w:hAnsi="Segoe UI"/>
                <w:b/>
                <w:color w:val="FFFFFF"/>
                <w:sz w:val="19"/>
              </w:rPr>
              <w:t>Database Table</w:t>
            </w:r>
          </w:p>
        </w:tc>
        <w:tc>
          <w:tcPr>
            <w:tcW w:type="dxa" w:w="2592"/>
            <w:shd w:fill="0F172A"/>
            <w:tcMar>
              <w:top w:w="130" w:type="dxa"/>
              <w:bottom w:w="130" w:type="dxa"/>
              <w:left w:w="140" w:type="dxa"/>
              <w:right w:w="140" w:type="dxa"/>
            </w:tcMar>
            <w:tcBorders>
              <w:top w:val="single" w:sz="4" w:space="0" w:color="0F172A"/>
              <w:left w:val="none"/>
              <w:bottom w:val="single" w:sz="10" w:space="0" w:color="C89547"/>
              <w:right w:val="none"/>
            </w:tcBorders>
          </w:tcPr>
          <w:p>
            <w:pPr>
              <w:spacing w:before="0" w:after="0"/>
            </w:pPr>
            <w:r>
              <w:rPr>
                <w:rFonts w:ascii="Segoe UI" w:hAnsi="Segoe UI"/>
                <w:b/>
                <w:color w:val="FFFFFF"/>
                <w:sz w:val="19"/>
              </w:rPr>
              <w:t>Functional Entity Name</w:t>
            </w:r>
          </w:p>
        </w:tc>
        <w:tc>
          <w:tcPr>
            <w:tcW w:type="dxa" w:w="4752"/>
            <w:shd w:fill="0F172A"/>
            <w:tcMar>
              <w:top w:w="130" w:type="dxa"/>
              <w:bottom w:w="130" w:type="dxa"/>
              <w:left w:w="140" w:type="dxa"/>
              <w:right w:w="140" w:type="dxa"/>
            </w:tcMar>
            <w:tcBorders>
              <w:top w:val="single" w:sz="4" w:space="0" w:color="0F172A"/>
              <w:left w:val="none"/>
              <w:bottom w:val="single" w:sz="10" w:space="0" w:color="C89547"/>
              <w:right w:val="none"/>
            </w:tcBorders>
          </w:tcPr>
          <w:p>
            <w:pPr>
              <w:spacing w:before="0" w:after="0"/>
            </w:pPr>
            <w:r>
              <w:rPr>
                <w:rFonts w:ascii="Segoe UI" w:hAnsi="Segoe UI"/>
                <w:b/>
                <w:color w:val="FFFFFF"/>
                <w:sz w:val="19"/>
              </w:rPr>
              <w:t>Operational Purpose &amp; Records Stored</w:t>
            </w:r>
          </w:p>
        </w:tc>
      </w:tr>
      <w:tr>
        <w:tc>
          <w:tcPr>
            <w:tcW w:type="dxa" w:w="2592"/>
            <w:shd w:fill="FFFFFF"/>
            <w:tcMar>
              <w:top w:w="100" w:type="dxa"/>
              <w:bottom w:w="100" w:type="dxa"/>
              <w:left w:w="140" w:type="dxa"/>
              <w:right w:w="140" w:type="dxa"/>
            </w:tcMar>
            <w:tcBorders>
              <w:top w:val="none"/>
              <w:left w:val="none"/>
              <w:bottom w:val="single" w:sz="4" w:space="0" w:color="CBD5E1"/>
              <w:right w:val="none"/>
            </w:tcBorders>
          </w:tcPr>
          <w:p>
            <w:pPr>
              <w:spacing w:before="0" w:after="0" w:line="269" w:lineRule="auto"/>
            </w:pPr>
            <w:r>
              <w:rPr>
                <w:rFonts w:ascii="Segoe UI" w:hAnsi="Segoe UI"/>
                <w:color w:val="334155"/>
                <w:sz w:val="18"/>
              </w:rPr>
              <w:t>routings</w:t>
            </w:r>
          </w:p>
        </w:tc>
        <w:tc>
          <w:tcPr>
            <w:tcW w:type="dxa" w:w="2592"/>
            <w:shd w:fill="FFFFFF"/>
            <w:tcMar>
              <w:top w:w="100" w:type="dxa"/>
              <w:bottom w:w="100" w:type="dxa"/>
              <w:left w:w="140" w:type="dxa"/>
              <w:right w:w="140" w:type="dxa"/>
            </w:tcMar>
            <w:tcBorders>
              <w:top w:val="none"/>
              <w:left w:val="none"/>
              <w:bottom w:val="single" w:sz="4" w:space="0" w:color="CBD5E1"/>
              <w:right w:val="none"/>
            </w:tcBorders>
          </w:tcPr>
          <w:p>
            <w:pPr>
              <w:spacing w:before="0" w:after="0" w:line="269" w:lineRule="auto"/>
            </w:pPr>
            <w:r>
              <w:rPr>
                <w:rFonts w:ascii="Segoe UI" w:hAnsi="Segoe UI"/>
                <w:color w:val="334155"/>
                <w:sz w:val="18"/>
              </w:rPr>
              <w:t>Routing Master Headers</w:t>
            </w:r>
          </w:p>
        </w:tc>
        <w:tc>
          <w:tcPr>
            <w:tcW w:type="dxa" w:w="4752"/>
            <w:shd w:fill="FFFFFF"/>
            <w:tcMar>
              <w:top w:w="100" w:type="dxa"/>
              <w:bottom w:w="100" w:type="dxa"/>
              <w:left w:w="140" w:type="dxa"/>
              <w:right w:w="140" w:type="dxa"/>
            </w:tcMar>
            <w:tcBorders>
              <w:top w:val="none"/>
              <w:left w:val="none"/>
              <w:bottom w:val="single" w:sz="4" w:space="0" w:color="CBD5E1"/>
              <w:right w:val="none"/>
            </w:tcBorders>
          </w:tcPr>
          <w:p>
            <w:pPr>
              <w:spacing w:before="0" w:after="0" w:line="269" w:lineRule="auto"/>
            </w:pPr>
            <w:r>
              <w:rPr>
                <w:rFonts w:ascii="Segoe UI" w:hAnsi="Segoe UI"/>
                <w:color w:val="334155"/>
                <w:sz w:val="18"/>
              </w:rPr>
              <w:t>Defines the sequential manufacturing path required to produce a specific SKU.</w:t>
            </w:r>
          </w:p>
        </w:tc>
      </w:tr>
      <w:tr>
        <w:tc>
          <w:tcPr>
            <w:tcW w:type="dxa" w:w="2592"/>
            <w:shd w:fill="F8FAFC"/>
            <w:tcMar>
              <w:top w:w="100" w:type="dxa"/>
              <w:bottom w:w="100" w:type="dxa"/>
              <w:left w:w="140" w:type="dxa"/>
              <w:right w:w="140" w:type="dxa"/>
            </w:tcMar>
            <w:tcBorders>
              <w:top w:val="none"/>
              <w:left w:val="none"/>
              <w:bottom w:val="single" w:sz="4" w:space="0" w:color="CBD5E1"/>
              <w:right w:val="none"/>
            </w:tcBorders>
          </w:tcPr>
          <w:p>
            <w:pPr>
              <w:spacing w:before="0" w:after="0" w:line="269" w:lineRule="auto"/>
            </w:pPr>
            <w:r>
              <w:rPr>
                <w:rFonts w:ascii="Segoe UI" w:hAnsi="Segoe UI"/>
                <w:color w:val="334155"/>
                <w:sz w:val="18"/>
              </w:rPr>
              <w:t>routing_steps</w:t>
            </w:r>
          </w:p>
        </w:tc>
        <w:tc>
          <w:tcPr>
            <w:tcW w:type="dxa" w:w="2592"/>
            <w:shd w:fill="F8FAFC"/>
            <w:tcMar>
              <w:top w:w="100" w:type="dxa"/>
              <w:bottom w:w="100" w:type="dxa"/>
              <w:left w:w="140" w:type="dxa"/>
              <w:right w:w="140" w:type="dxa"/>
            </w:tcMar>
            <w:tcBorders>
              <w:top w:val="none"/>
              <w:left w:val="none"/>
              <w:bottom w:val="single" w:sz="4" w:space="0" w:color="CBD5E1"/>
              <w:right w:val="none"/>
            </w:tcBorders>
          </w:tcPr>
          <w:p>
            <w:pPr>
              <w:spacing w:before="0" w:after="0" w:line="269" w:lineRule="auto"/>
            </w:pPr>
            <w:r>
              <w:rPr>
                <w:rFonts w:ascii="Segoe UI" w:hAnsi="Segoe UI"/>
                <w:color w:val="334155"/>
                <w:sz w:val="18"/>
              </w:rPr>
              <w:t>Detailed Routing Operations</w:t>
            </w:r>
          </w:p>
        </w:tc>
        <w:tc>
          <w:tcPr>
            <w:tcW w:type="dxa" w:w="4752"/>
            <w:shd w:fill="F8FAFC"/>
            <w:tcMar>
              <w:top w:w="100" w:type="dxa"/>
              <w:bottom w:w="100" w:type="dxa"/>
              <w:left w:w="140" w:type="dxa"/>
              <w:right w:w="140" w:type="dxa"/>
            </w:tcMar>
            <w:tcBorders>
              <w:top w:val="none"/>
              <w:left w:val="none"/>
              <w:bottom w:val="single" w:sz="4" w:space="0" w:color="CBD5E1"/>
              <w:right w:val="none"/>
            </w:tcBorders>
          </w:tcPr>
          <w:p>
            <w:pPr>
              <w:spacing w:before="0" w:after="0" w:line="269" w:lineRule="auto"/>
            </w:pPr>
            <w:r>
              <w:rPr>
                <w:rFonts w:ascii="Segoe UI" w:hAnsi="Segoe UI"/>
                <w:color w:val="334155"/>
                <w:sz w:val="18"/>
              </w:rPr>
              <w:t>Ordered operational steps with cycle times, setup minutes, and assigned work centers.</w:t>
            </w:r>
          </w:p>
        </w:tc>
      </w:tr>
    </w:tbl>
    <w:p>
      <w:pPr>
        <w:spacing w:before="40" w:after="120"/>
      </w:pPr>
    </w:p>
    <w:p>
      <w:pPr>
        <w:pStyle w:val="Heading2"/>
        <w:keepNext/>
        <w:spacing w:before="280" w:after="80"/>
      </w:pPr>
      <w:r>
        <w:rPr>
          <w:rFonts w:ascii="Segoe UI" w:hAnsi="Segoe UI"/>
          <w:b/>
          <w:color w:val="1E3A8A"/>
          <w:sz w:val="26"/>
        </w:rPr>
        <w:t>6.4 Planning, APS &amp; MRP Netting (5 Tables)</w:t>
      </w:r>
    </w:p>
    <w:tbl>
      <w:tblPr>
        <w:tblW w:type="auto" w:w="0"/>
        <w:jc w:val="center"/>
        <w:tblLayout w:type="fixed"/>
        <w:tblLook w:firstColumn="1" w:firstRow="1" w:lastColumn="0" w:lastRow="0" w:noHBand="0" w:noVBand="1" w:val="04A0"/>
      </w:tblPr>
      <w:tblGrid>
        <w:gridCol w:w="3312"/>
        <w:gridCol w:w="3312"/>
        <w:gridCol w:w="3312"/>
      </w:tblGrid>
      <w:tr>
        <w:tc>
          <w:tcPr>
            <w:tcW w:type="dxa" w:w="2592"/>
            <w:shd w:fill="0F172A"/>
            <w:tcMar>
              <w:top w:w="130" w:type="dxa"/>
              <w:bottom w:w="130" w:type="dxa"/>
              <w:left w:w="140" w:type="dxa"/>
              <w:right w:w="140" w:type="dxa"/>
            </w:tcMar>
            <w:tcBorders>
              <w:top w:val="single" w:sz="4" w:space="0" w:color="0F172A"/>
              <w:left w:val="none"/>
              <w:bottom w:val="single" w:sz="10" w:space="0" w:color="C89547"/>
              <w:right w:val="none"/>
            </w:tcBorders>
          </w:tcPr>
          <w:p>
            <w:pPr>
              <w:spacing w:before="0" w:after="0"/>
            </w:pPr>
            <w:r>
              <w:rPr>
                <w:rFonts w:ascii="Segoe UI" w:hAnsi="Segoe UI"/>
                <w:b/>
                <w:color w:val="FFFFFF"/>
                <w:sz w:val="19"/>
              </w:rPr>
              <w:t>Database Table</w:t>
            </w:r>
          </w:p>
        </w:tc>
        <w:tc>
          <w:tcPr>
            <w:tcW w:type="dxa" w:w="2592"/>
            <w:shd w:fill="0F172A"/>
            <w:tcMar>
              <w:top w:w="130" w:type="dxa"/>
              <w:bottom w:w="130" w:type="dxa"/>
              <w:left w:w="140" w:type="dxa"/>
              <w:right w:w="140" w:type="dxa"/>
            </w:tcMar>
            <w:tcBorders>
              <w:top w:val="single" w:sz="4" w:space="0" w:color="0F172A"/>
              <w:left w:val="none"/>
              <w:bottom w:val="single" w:sz="10" w:space="0" w:color="C89547"/>
              <w:right w:val="none"/>
            </w:tcBorders>
          </w:tcPr>
          <w:p>
            <w:pPr>
              <w:spacing w:before="0" w:after="0"/>
            </w:pPr>
            <w:r>
              <w:rPr>
                <w:rFonts w:ascii="Segoe UI" w:hAnsi="Segoe UI"/>
                <w:b/>
                <w:color w:val="FFFFFF"/>
                <w:sz w:val="19"/>
              </w:rPr>
              <w:t>Functional Entity Name</w:t>
            </w:r>
          </w:p>
        </w:tc>
        <w:tc>
          <w:tcPr>
            <w:tcW w:type="dxa" w:w="4752"/>
            <w:shd w:fill="0F172A"/>
            <w:tcMar>
              <w:top w:w="130" w:type="dxa"/>
              <w:bottom w:w="130" w:type="dxa"/>
              <w:left w:w="140" w:type="dxa"/>
              <w:right w:w="140" w:type="dxa"/>
            </w:tcMar>
            <w:tcBorders>
              <w:top w:val="single" w:sz="4" w:space="0" w:color="0F172A"/>
              <w:left w:val="none"/>
              <w:bottom w:val="single" w:sz="10" w:space="0" w:color="C89547"/>
              <w:right w:val="none"/>
            </w:tcBorders>
          </w:tcPr>
          <w:p>
            <w:pPr>
              <w:spacing w:before="0" w:after="0"/>
            </w:pPr>
            <w:r>
              <w:rPr>
                <w:rFonts w:ascii="Segoe UI" w:hAnsi="Segoe UI"/>
                <w:b/>
                <w:color w:val="FFFFFF"/>
                <w:sz w:val="19"/>
              </w:rPr>
              <w:t>Operational Purpose &amp; Records Stored</w:t>
            </w:r>
          </w:p>
        </w:tc>
      </w:tr>
      <w:tr>
        <w:tc>
          <w:tcPr>
            <w:tcW w:type="dxa" w:w="2592"/>
            <w:shd w:fill="FFFFFF"/>
            <w:tcMar>
              <w:top w:w="100" w:type="dxa"/>
              <w:bottom w:w="100" w:type="dxa"/>
              <w:left w:w="140" w:type="dxa"/>
              <w:right w:w="140" w:type="dxa"/>
            </w:tcMar>
            <w:tcBorders>
              <w:top w:val="none"/>
              <w:left w:val="none"/>
              <w:bottom w:val="single" w:sz="4" w:space="0" w:color="CBD5E1"/>
              <w:right w:val="none"/>
            </w:tcBorders>
          </w:tcPr>
          <w:p>
            <w:pPr>
              <w:spacing w:before="0" w:after="0" w:line="269" w:lineRule="auto"/>
            </w:pPr>
            <w:r>
              <w:rPr>
                <w:rFonts w:ascii="Segoe UI" w:hAnsi="Segoe UI"/>
                <w:color w:val="334155"/>
                <w:sz w:val="18"/>
              </w:rPr>
              <w:t>customer_orders</w:t>
            </w:r>
          </w:p>
        </w:tc>
        <w:tc>
          <w:tcPr>
            <w:tcW w:type="dxa" w:w="2592"/>
            <w:shd w:fill="FFFFFF"/>
            <w:tcMar>
              <w:top w:w="100" w:type="dxa"/>
              <w:bottom w:w="100" w:type="dxa"/>
              <w:left w:w="140" w:type="dxa"/>
              <w:right w:w="140" w:type="dxa"/>
            </w:tcMar>
            <w:tcBorders>
              <w:top w:val="none"/>
              <w:left w:val="none"/>
              <w:bottom w:val="single" w:sz="4" w:space="0" w:color="CBD5E1"/>
              <w:right w:val="none"/>
            </w:tcBorders>
          </w:tcPr>
          <w:p>
            <w:pPr>
              <w:spacing w:before="0" w:after="0" w:line="269" w:lineRule="auto"/>
            </w:pPr>
            <w:r>
              <w:rPr>
                <w:rFonts w:ascii="Segoe UI" w:hAnsi="Segoe UI"/>
                <w:color w:val="334155"/>
                <w:sz w:val="18"/>
              </w:rPr>
              <w:t>Sales Demand Orders</w:t>
            </w:r>
          </w:p>
        </w:tc>
        <w:tc>
          <w:tcPr>
            <w:tcW w:type="dxa" w:w="4752"/>
            <w:shd w:fill="FFFFFF"/>
            <w:tcMar>
              <w:top w:w="100" w:type="dxa"/>
              <w:bottom w:w="100" w:type="dxa"/>
              <w:left w:w="140" w:type="dxa"/>
              <w:right w:w="140" w:type="dxa"/>
            </w:tcMar>
            <w:tcBorders>
              <w:top w:val="none"/>
              <w:left w:val="none"/>
              <w:bottom w:val="single" w:sz="4" w:space="0" w:color="CBD5E1"/>
              <w:right w:val="none"/>
            </w:tcBorders>
          </w:tcPr>
          <w:p>
            <w:pPr>
              <w:spacing w:before="0" w:after="0" w:line="269" w:lineRule="auto"/>
            </w:pPr>
            <w:r>
              <w:rPr>
                <w:rFonts w:ascii="Segoe UI" w:hAnsi="Segoe UI"/>
                <w:color w:val="334155"/>
                <w:sz w:val="18"/>
              </w:rPr>
              <w:t>Sales orders received from ERP/customers with requested ship dates and quantities.</w:t>
            </w:r>
          </w:p>
        </w:tc>
      </w:tr>
      <w:tr>
        <w:tc>
          <w:tcPr>
            <w:tcW w:type="dxa" w:w="2592"/>
            <w:shd w:fill="F8FAFC"/>
            <w:tcMar>
              <w:top w:w="100" w:type="dxa"/>
              <w:bottom w:w="100" w:type="dxa"/>
              <w:left w:w="140" w:type="dxa"/>
              <w:right w:w="140" w:type="dxa"/>
            </w:tcMar>
            <w:tcBorders>
              <w:top w:val="none"/>
              <w:left w:val="none"/>
              <w:bottom w:val="single" w:sz="4" w:space="0" w:color="CBD5E1"/>
              <w:right w:val="none"/>
            </w:tcBorders>
          </w:tcPr>
          <w:p>
            <w:pPr>
              <w:spacing w:before="0" w:after="0" w:line="269" w:lineRule="auto"/>
            </w:pPr>
            <w:r>
              <w:rPr>
                <w:rFonts w:ascii="Segoe UI" w:hAnsi="Segoe UI"/>
                <w:color w:val="334155"/>
                <w:sz w:val="18"/>
              </w:rPr>
              <w:t>forecasts</w:t>
            </w:r>
          </w:p>
        </w:tc>
        <w:tc>
          <w:tcPr>
            <w:tcW w:type="dxa" w:w="2592"/>
            <w:shd w:fill="F8FAFC"/>
            <w:tcMar>
              <w:top w:w="100" w:type="dxa"/>
              <w:bottom w:w="100" w:type="dxa"/>
              <w:left w:w="140" w:type="dxa"/>
              <w:right w:w="140" w:type="dxa"/>
            </w:tcMar>
            <w:tcBorders>
              <w:top w:val="none"/>
              <w:left w:val="none"/>
              <w:bottom w:val="single" w:sz="4" w:space="0" w:color="CBD5E1"/>
              <w:right w:val="none"/>
            </w:tcBorders>
          </w:tcPr>
          <w:p>
            <w:pPr>
              <w:spacing w:before="0" w:after="0" w:line="269" w:lineRule="auto"/>
            </w:pPr>
            <w:r>
              <w:rPr>
                <w:rFonts w:ascii="Segoe UI" w:hAnsi="Segoe UI"/>
                <w:color w:val="334155"/>
                <w:sz w:val="18"/>
              </w:rPr>
              <w:t>Demand Forecast Projections</w:t>
            </w:r>
          </w:p>
        </w:tc>
        <w:tc>
          <w:tcPr>
            <w:tcW w:type="dxa" w:w="4752"/>
            <w:shd w:fill="F8FAFC"/>
            <w:tcMar>
              <w:top w:w="100" w:type="dxa"/>
              <w:bottom w:w="100" w:type="dxa"/>
              <w:left w:w="140" w:type="dxa"/>
              <w:right w:w="140" w:type="dxa"/>
            </w:tcMar>
            <w:tcBorders>
              <w:top w:val="none"/>
              <w:left w:val="none"/>
              <w:bottom w:val="single" w:sz="4" w:space="0" w:color="CBD5E1"/>
              <w:right w:val="none"/>
            </w:tcBorders>
          </w:tcPr>
          <w:p>
            <w:pPr>
              <w:spacing w:before="0" w:after="0" w:line="269" w:lineRule="auto"/>
            </w:pPr>
            <w:r>
              <w:rPr>
                <w:rFonts w:ascii="Segoe UI" w:hAnsi="Segoe UI"/>
                <w:color w:val="334155"/>
                <w:sz w:val="18"/>
              </w:rPr>
              <w:t>Statistical demand forecasts with baseline volumes and seasonal/promotional uplifts.</w:t>
            </w:r>
          </w:p>
        </w:tc>
      </w:tr>
      <w:tr>
        <w:tc>
          <w:tcPr>
            <w:tcW w:type="dxa" w:w="2592"/>
            <w:shd w:fill="FFFFFF"/>
            <w:tcMar>
              <w:top w:w="100" w:type="dxa"/>
              <w:bottom w:w="100" w:type="dxa"/>
              <w:left w:w="140" w:type="dxa"/>
              <w:right w:w="140" w:type="dxa"/>
            </w:tcMar>
            <w:tcBorders>
              <w:top w:val="none"/>
              <w:left w:val="none"/>
              <w:bottom w:val="single" w:sz="4" w:space="0" w:color="CBD5E1"/>
              <w:right w:val="none"/>
            </w:tcBorders>
          </w:tcPr>
          <w:p>
            <w:pPr>
              <w:spacing w:before="0" w:after="0" w:line="269" w:lineRule="auto"/>
            </w:pPr>
            <w:r>
              <w:rPr>
                <w:rFonts w:ascii="Segoe UI" w:hAnsi="Segoe UI"/>
                <w:color w:val="334155"/>
                <w:sz w:val="18"/>
              </w:rPr>
              <w:t>aps_schedules</w:t>
            </w:r>
          </w:p>
        </w:tc>
        <w:tc>
          <w:tcPr>
            <w:tcW w:type="dxa" w:w="2592"/>
            <w:shd w:fill="FFFFFF"/>
            <w:tcMar>
              <w:top w:w="100" w:type="dxa"/>
              <w:bottom w:w="100" w:type="dxa"/>
              <w:left w:w="140" w:type="dxa"/>
              <w:right w:w="140" w:type="dxa"/>
            </w:tcMar>
            <w:tcBorders>
              <w:top w:val="none"/>
              <w:left w:val="none"/>
              <w:bottom w:val="single" w:sz="4" w:space="0" w:color="CBD5E1"/>
              <w:right w:val="none"/>
            </w:tcBorders>
          </w:tcPr>
          <w:p>
            <w:pPr>
              <w:spacing w:before="0" w:after="0" w:line="269" w:lineRule="auto"/>
            </w:pPr>
            <w:r>
              <w:rPr>
                <w:rFonts w:ascii="Segoe UI" w:hAnsi="Segoe UI"/>
                <w:color w:val="334155"/>
                <w:sz w:val="18"/>
              </w:rPr>
              <w:t>Finite Shift Schedule Blocks</w:t>
            </w:r>
          </w:p>
        </w:tc>
        <w:tc>
          <w:tcPr>
            <w:tcW w:type="dxa" w:w="4752"/>
            <w:shd w:fill="FFFFFF"/>
            <w:tcMar>
              <w:top w:w="100" w:type="dxa"/>
              <w:bottom w:w="100" w:type="dxa"/>
              <w:left w:w="140" w:type="dxa"/>
              <w:right w:w="140" w:type="dxa"/>
            </w:tcMar>
            <w:tcBorders>
              <w:top w:val="none"/>
              <w:left w:val="none"/>
              <w:bottom w:val="single" w:sz="4" w:space="0" w:color="CBD5E1"/>
              <w:right w:val="none"/>
            </w:tcBorders>
          </w:tcPr>
          <w:p>
            <w:pPr>
              <w:spacing w:before="0" w:after="0" w:line="269" w:lineRule="auto"/>
            </w:pPr>
            <w:r>
              <w:rPr>
                <w:rFonts w:ascii="Segoe UI" w:hAnsi="Segoe UI"/>
                <w:color w:val="334155"/>
                <w:sz w:val="18"/>
              </w:rPr>
              <w:t>Planned shift production blocks with assigned lines, SKUs, target cases, and lock flags.</w:t>
            </w:r>
          </w:p>
        </w:tc>
      </w:tr>
      <w:tr>
        <w:tc>
          <w:tcPr>
            <w:tcW w:type="dxa" w:w="2592"/>
            <w:shd w:fill="F8FAFC"/>
            <w:tcMar>
              <w:top w:w="100" w:type="dxa"/>
              <w:bottom w:w="100" w:type="dxa"/>
              <w:left w:w="140" w:type="dxa"/>
              <w:right w:w="140" w:type="dxa"/>
            </w:tcMar>
            <w:tcBorders>
              <w:top w:val="none"/>
              <w:left w:val="none"/>
              <w:bottom w:val="single" w:sz="4" w:space="0" w:color="CBD5E1"/>
              <w:right w:val="none"/>
            </w:tcBorders>
          </w:tcPr>
          <w:p>
            <w:pPr>
              <w:spacing w:before="0" w:after="0" w:line="269" w:lineRule="auto"/>
            </w:pPr>
            <w:r>
              <w:rPr>
                <w:rFonts w:ascii="Segoe UI" w:hAnsi="Segoe UI"/>
                <w:color w:val="334155"/>
                <w:sz w:val="18"/>
              </w:rPr>
              <w:t>mrp_requirements</w:t>
            </w:r>
          </w:p>
        </w:tc>
        <w:tc>
          <w:tcPr>
            <w:tcW w:type="dxa" w:w="2592"/>
            <w:shd w:fill="F8FAFC"/>
            <w:tcMar>
              <w:top w:w="100" w:type="dxa"/>
              <w:bottom w:w="100" w:type="dxa"/>
              <w:left w:w="140" w:type="dxa"/>
              <w:right w:w="140" w:type="dxa"/>
            </w:tcMar>
            <w:tcBorders>
              <w:top w:val="none"/>
              <w:left w:val="none"/>
              <w:bottom w:val="single" w:sz="4" w:space="0" w:color="CBD5E1"/>
              <w:right w:val="none"/>
            </w:tcBorders>
          </w:tcPr>
          <w:p>
            <w:pPr>
              <w:spacing w:before="0" w:after="0" w:line="269" w:lineRule="auto"/>
            </w:pPr>
            <w:r>
              <w:rPr>
                <w:rFonts w:ascii="Segoe UI" w:hAnsi="Segoe UI"/>
                <w:color w:val="334155"/>
                <w:sz w:val="18"/>
              </w:rPr>
              <w:t>MRP Net Material Requirements</w:t>
            </w:r>
          </w:p>
        </w:tc>
        <w:tc>
          <w:tcPr>
            <w:tcW w:type="dxa" w:w="4752"/>
            <w:shd w:fill="F8FAFC"/>
            <w:tcMar>
              <w:top w:w="100" w:type="dxa"/>
              <w:bottom w:w="100" w:type="dxa"/>
              <w:left w:w="140" w:type="dxa"/>
              <w:right w:w="140" w:type="dxa"/>
            </w:tcMar>
            <w:tcBorders>
              <w:top w:val="none"/>
              <w:left w:val="none"/>
              <w:bottom w:val="single" w:sz="4" w:space="0" w:color="CBD5E1"/>
              <w:right w:val="none"/>
            </w:tcBorders>
          </w:tcPr>
          <w:p>
            <w:pPr>
              <w:spacing w:before="0" w:after="0" w:line="269" w:lineRule="auto"/>
            </w:pPr>
            <w:r>
              <w:rPr>
                <w:rFonts w:ascii="Segoe UI" w:hAnsi="Segoe UI"/>
                <w:color w:val="334155"/>
                <w:sz w:val="18"/>
              </w:rPr>
              <w:t>Gross requirement calculations, on-hand balances, and calculated net shortages.</w:t>
            </w:r>
          </w:p>
        </w:tc>
      </w:tr>
      <w:tr>
        <w:tc>
          <w:tcPr>
            <w:tcW w:type="dxa" w:w="2592"/>
            <w:shd w:fill="FFFFFF"/>
            <w:tcMar>
              <w:top w:w="100" w:type="dxa"/>
              <w:bottom w:w="100" w:type="dxa"/>
              <w:left w:w="140" w:type="dxa"/>
              <w:right w:w="140" w:type="dxa"/>
            </w:tcMar>
            <w:tcBorders>
              <w:top w:val="none"/>
              <w:left w:val="none"/>
              <w:bottom w:val="single" w:sz="4" w:space="0" w:color="CBD5E1"/>
              <w:right w:val="none"/>
            </w:tcBorders>
          </w:tcPr>
          <w:p>
            <w:pPr>
              <w:spacing w:before="0" w:after="0" w:line="269" w:lineRule="auto"/>
            </w:pPr>
            <w:r>
              <w:rPr>
                <w:rFonts w:ascii="Segoe UI" w:hAnsi="Segoe UI"/>
                <w:color w:val="334155"/>
                <w:sz w:val="18"/>
              </w:rPr>
              <w:t>purchase_requisitions</w:t>
            </w:r>
          </w:p>
        </w:tc>
        <w:tc>
          <w:tcPr>
            <w:tcW w:type="dxa" w:w="2592"/>
            <w:shd w:fill="FFFFFF"/>
            <w:tcMar>
              <w:top w:w="100" w:type="dxa"/>
              <w:bottom w:w="100" w:type="dxa"/>
              <w:left w:w="140" w:type="dxa"/>
              <w:right w:w="140" w:type="dxa"/>
            </w:tcMar>
            <w:tcBorders>
              <w:top w:val="none"/>
              <w:left w:val="none"/>
              <w:bottom w:val="single" w:sz="4" w:space="0" w:color="CBD5E1"/>
              <w:right w:val="none"/>
            </w:tcBorders>
          </w:tcPr>
          <w:p>
            <w:pPr>
              <w:spacing w:before="0" w:after="0" w:line="269" w:lineRule="auto"/>
            </w:pPr>
            <w:r>
              <w:rPr>
                <w:rFonts w:ascii="Segoe UI" w:hAnsi="Segoe UI"/>
                <w:color w:val="334155"/>
                <w:sz w:val="18"/>
              </w:rPr>
              <w:t>Automated Purchase Requisitions</w:t>
            </w:r>
          </w:p>
        </w:tc>
        <w:tc>
          <w:tcPr>
            <w:tcW w:type="dxa" w:w="4752"/>
            <w:shd w:fill="FFFFFF"/>
            <w:tcMar>
              <w:top w:w="100" w:type="dxa"/>
              <w:bottom w:w="100" w:type="dxa"/>
              <w:left w:w="140" w:type="dxa"/>
              <w:right w:w="140" w:type="dxa"/>
            </w:tcMar>
            <w:tcBorders>
              <w:top w:val="none"/>
              <w:left w:val="none"/>
              <w:bottom w:val="single" w:sz="4" w:space="0" w:color="CBD5E1"/>
              <w:right w:val="none"/>
            </w:tcBorders>
          </w:tcPr>
          <w:p>
            <w:pPr>
              <w:spacing w:before="0" w:after="0" w:line="269" w:lineRule="auto"/>
            </w:pPr>
            <w:r>
              <w:rPr>
                <w:rFonts w:ascii="Segoe UI" w:hAnsi="Segoe UI"/>
                <w:color w:val="334155"/>
                <w:sz w:val="18"/>
              </w:rPr>
              <w:t>Auto-generated purchase requests sent to procurement for materials with lead times.</w:t>
            </w:r>
          </w:p>
        </w:tc>
      </w:tr>
    </w:tbl>
    <w:p>
      <w:pPr>
        <w:spacing w:before="40" w:after="120"/>
      </w:pPr>
    </w:p>
    <w:p>
      <w:pPr>
        <w:pStyle w:val="Heading2"/>
        <w:keepNext/>
        <w:spacing w:before="280" w:after="80"/>
      </w:pPr>
      <w:r>
        <w:rPr>
          <w:rFonts w:ascii="Segoe UI" w:hAnsi="Segoe UI"/>
          <w:b/>
          <w:color w:val="1E3A8A"/>
          <w:sz w:val="26"/>
        </w:rPr>
        <w:t>6.5 Production Execution &amp; MES Core (5 Tables)</w:t>
      </w:r>
    </w:p>
    <w:tbl>
      <w:tblPr>
        <w:tblW w:type="auto" w:w="0"/>
        <w:jc w:val="center"/>
        <w:tblLayout w:type="fixed"/>
        <w:tblLook w:firstColumn="1" w:firstRow="1" w:lastColumn="0" w:lastRow="0" w:noHBand="0" w:noVBand="1" w:val="04A0"/>
      </w:tblPr>
      <w:tblGrid>
        <w:gridCol w:w="3312"/>
        <w:gridCol w:w="3312"/>
        <w:gridCol w:w="3312"/>
      </w:tblGrid>
      <w:tr>
        <w:tc>
          <w:tcPr>
            <w:tcW w:type="dxa" w:w="2592"/>
            <w:shd w:fill="0F172A"/>
            <w:tcMar>
              <w:top w:w="130" w:type="dxa"/>
              <w:bottom w:w="130" w:type="dxa"/>
              <w:left w:w="140" w:type="dxa"/>
              <w:right w:w="140" w:type="dxa"/>
            </w:tcMar>
            <w:tcBorders>
              <w:top w:val="single" w:sz="4" w:space="0" w:color="0F172A"/>
              <w:left w:val="none"/>
              <w:bottom w:val="single" w:sz="10" w:space="0" w:color="C89547"/>
              <w:right w:val="none"/>
            </w:tcBorders>
          </w:tcPr>
          <w:p>
            <w:pPr>
              <w:spacing w:before="0" w:after="0"/>
            </w:pPr>
            <w:r>
              <w:rPr>
                <w:rFonts w:ascii="Segoe UI" w:hAnsi="Segoe UI"/>
                <w:b/>
                <w:color w:val="FFFFFF"/>
                <w:sz w:val="19"/>
              </w:rPr>
              <w:t>Database Table</w:t>
            </w:r>
          </w:p>
        </w:tc>
        <w:tc>
          <w:tcPr>
            <w:tcW w:type="dxa" w:w="2592"/>
            <w:shd w:fill="0F172A"/>
            <w:tcMar>
              <w:top w:w="130" w:type="dxa"/>
              <w:bottom w:w="130" w:type="dxa"/>
              <w:left w:w="140" w:type="dxa"/>
              <w:right w:w="140" w:type="dxa"/>
            </w:tcMar>
            <w:tcBorders>
              <w:top w:val="single" w:sz="4" w:space="0" w:color="0F172A"/>
              <w:left w:val="none"/>
              <w:bottom w:val="single" w:sz="10" w:space="0" w:color="C89547"/>
              <w:right w:val="none"/>
            </w:tcBorders>
          </w:tcPr>
          <w:p>
            <w:pPr>
              <w:spacing w:before="0" w:after="0"/>
            </w:pPr>
            <w:r>
              <w:rPr>
                <w:rFonts w:ascii="Segoe UI" w:hAnsi="Segoe UI"/>
                <w:b/>
                <w:color w:val="FFFFFF"/>
                <w:sz w:val="19"/>
              </w:rPr>
              <w:t>Functional Entity Name</w:t>
            </w:r>
          </w:p>
        </w:tc>
        <w:tc>
          <w:tcPr>
            <w:tcW w:type="dxa" w:w="4752"/>
            <w:shd w:fill="0F172A"/>
            <w:tcMar>
              <w:top w:w="130" w:type="dxa"/>
              <w:bottom w:w="130" w:type="dxa"/>
              <w:left w:w="140" w:type="dxa"/>
              <w:right w:w="140" w:type="dxa"/>
            </w:tcMar>
            <w:tcBorders>
              <w:top w:val="single" w:sz="4" w:space="0" w:color="0F172A"/>
              <w:left w:val="none"/>
              <w:bottom w:val="single" w:sz="10" w:space="0" w:color="C89547"/>
              <w:right w:val="none"/>
            </w:tcBorders>
          </w:tcPr>
          <w:p>
            <w:pPr>
              <w:spacing w:before="0" w:after="0"/>
            </w:pPr>
            <w:r>
              <w:rPr>
                <w:rFonts w:ascii="Segoe UI" w:hAnsi="Segoe UI"/>
                <w:b/>
                <w:color w:val="FFFFFF"/>
                <w:sz w:val="19"/>
              </w:rPr>
              <w:t>Operational Purpose &amp; Records Stored</w:t>
            </w:r>
          </w:p>
        </w:tc>
      </w:tr>
      <w:tr>
        <w:tc>
          <w:tcPr>
            <w:tcW w:type="dxa" w:w="2592"/>
            <w:shd w:fill="FFFFFF"/>
            <w:tcMar>
              <w:top w:w="100" w:type="dxa"/>
              <w:bottom w:w="100" w:type="dxa"/>
              <w:left w:w="140" w:type="dxa"/>
              <w:right w:w="140" w:type="dxa"/>
            </w:tcMar>
            <w:tcBorders>
              <w:top w:val="none"/>
              <w:left w:val="none"/>
              <w:bottom w:val="single" w:sz="4" w:space="0" w:color="CBD5E1"/>
              <w:right w:val="none"/>
            </w:tcBorders>
          </w:tcPr>
          <w:p>
            <w:pPr>
              <w:spacing w:before="0" w:after="0" w:line="269" w:lineRule="auto"/>
            </w:pPr>
            <w:r>
              <w:rPr>
                <w:rFonts w:ascii="Segoe UI" w:hAnsi="Segoe UI"/>
                <w:color w:val="334155"/>
                <w:sz w:val="18"/>
              </w:rPr>
              <w:t>production_orders</w:t>
            </w:r>
          </w:p>
        </w:tc>
        <w:tc>
          <w:tcPr>
            <w:tcW w:type="dxa" w:w="2592"/>
            <w:shd w:fill="FFFFFF"/>
            <w:tcMar>
              <w:top w:w="100" w:type="dxa"/>
              <w:bottom w:w="100" w:type="dxa"/>
              <w:left w:w="140" w:type="dxa"/>
              <w:right w:w="140" w:type="dxa"/>
            </w:tcMar>
            <w:tcBorders>
              <w:top w:val="none"/>
              <w:left w:val="none"/>
              <w:bottom w:val="single" w:sz="4" w:space="0" w:color="CBD5E1"/>
              <w:right w:val="none"/>
            </w:tcBorders>
          </w:tcPr>
          <w:p>
            <w:pPr>
              <w:spacing w:before="0" w:after="0" w:line="269" w:lineRule="auto"/>
            </w:pPr>
            <w:r>
              <w:rPr>
                <w:rFonts w:ascii="Segoe UI" w:hAnsi="Segoe UI"/>
                <w:color w:val="334155"/>
                <w:sz w:val="18"/>
              </w:rPr>
              <w:t>Floor Production Orders</w:t>
            </w:r>
          </w:p>
        </w:tc>
        <w:tc>
          <w:tcPr>
            <w:tcW w:type="dxa" w:w="4752"/>
            <w:shd w:fill="FFFFFF"/>
            <w:tcMar>
              <w:top w:w="100" w:type="dxa"/>
              <w:bottom w:w="100" w:type="dxa"/>
              <w:left w:w="140" w:type="dxa"/>
              <w:right w:w="140" w:type="dxa"/>
            </w:tcMar>
            <w:tcBorders>
              <w:top w:val="none"/>
              <w:left w:val="none"/>
              <w:bottom w:val="single" w:sz="4" w:space="0" w:color="CBD5E1"/>
              <w:right w:val="none"/>
            </w:tcBorders>
          </w:tcPr>
          <w:p>
            <w:pPr>
              <w:spacing w:before="0" w:after="0" w:line="269" w:lineRule="auto"/>
            </w:pPr>
            <w:r>
              <w:rPr>
                <w:rFonts w:ascii="Segoe UI" w:hAnsi="Segoe UI"/>
                <w:color w:val="334155"/>
                <w:sz w:val="18"/>
              </w:rPr>
              <w:t>Executable production work orders with target, produced, scrap counts, and batch links.</w:t>
            </w:r>
          </w:p>
        </w:tc>
      </w:tr>
      <w:tr>
        <w:tc>
          <w:tcPr>
            <w:tcW w:type="dxa" w:w="2592"/>
            <w:shd w:fill="F8FAFC"/>
            <w:tcMar>
              <w:top w:w="100" w:type="dxa"/>
              <w:bottom w:w="100" w:type="dxa"/>
              <w:left w:w="140" w:type="dxa"/>
              <w:right w:w="140" w:type="dxa"/>
            </w:tcMar>
            <w:tcBorders>
              <w:top w:val="none"/>
              <w:left w:val="none"/>
              <w:bottom w:val="single" w:sz="4" w:space="0" w:color="CBD5E1"/>
              <w:right w:val="none"/>
            </w:tcBorders>
          </w:tcPr>
          <w:p>
            <w:pPr>
              <w:spacing w:before="0" w:after="0" w:line="269" w:lineRule="auto"/>
            </w:pPr>
            <w:r>
              <w:rPr>
                <w:rFonts w:ascii="Segoe UI" w:hAnsi="Segoe UI"/>
                <w:color w:val="334155"/>
                <w:sz w:val="18"/>
              </w:rPr>
              <w:t>batches</w:t>
            </w:r>
          </w:p>
        </w:tc>
        <w:tc>
          <w:tcPr>
            <w:tcW w:type="dxa" w:w="2592"/>
            <w:shd w:fill="F8FAFC"/>
            <w:tcMar>
              <w:top w:w="100" w:type="dxa"/>
              <w:bottom w:w="100" w:type="dxa"/>
              <w:left w:w="140" w:type="dxa"/>
              <w:right w:w="140" w:type="dxa"/>
            </w:tcMar>
            <w:tcBorders>
              <w:top w:val="none"/>
              <w:left w:val="none"/>
              <w:bottom w:val="single" w:sz="4" w:space="0" w:color="CBD5E1"/>
              <w:right w:val="none"/>
            </w:tcBorders>
          </w:tcPr>
          <w:p>
            <w:pPr>
              <w:spacing w:before="0" w:after="0" w:line="269" w:lineRule="auto"/>
            </w:pPr>
            <w:r>
              <w:rPr>
                <w:rFonts w:ascii="Segoe UI" w:hAnsi="Segoe UI"/>
                <w:color w:val="334155"/>
                <w:sz w:val="18"/>
              </w:rPr>
              <w:t>Electronic Batch Records (eBR)</w:t>
            </w:r>
          </w:p>
        </w:tc>
        <w:tc>
          <w:tcPr>
            <w:tcW w:type="dxa" w:w="4752"/>
            <w:shd w:fill="F8FAFC"/>
            <w:tcMar>
              <w:top w:w="100" w:type="dxa"/>
              <w:bottom w:w="100" w:type="dxa"/>
              <w:left w:w="140" w:type="dxa"/>
              <w:right w:w="140" w:type="dxa"/>
            </w:tcMar>
            <w:tcBorders>
              <w:top w:val="none"/>
              <w:left w:val="none"/>
              <w:bottom w:val="single" w:sz="4" w:space="0" w:color="CBD5E1"/>
              <w:right w:val="none"/>
            </w:tcBorders>
          </w:tcPr>
          <w:p>
            <w:pPr>
              <w:spacing w:before="0" w:after="0" w:line="269" w:lineRule="auto"/>
            </w:pPr>
            <w:r>
              <w:rPr>
                <w:rFonts w:ascii="Segoe UI" w:hAnsi="Segoe UI"/>
                <w:color w:val="334155"/>
                <w:sz w:val="18"/>
              </w:rPr>
              <w:t>Batch execution headers tracking real-time batch progress (0% to 100%) and QA status.</w:t>
            </w:r>
          </w:p>
        </w:tc>
      </w:tr>
      <w:tr>
        <w:tc>
          <w:tcPr>
            <w:tcW w:type="dxa" w:w="2592"/>
            <w:shd w:fill="FFFFFF"/>
            <w:tcMar>
              <w:top w:w="100" w:type="dxa"/>
              <w:bottom w:w="100" w:type="dxa"/>
              <w:left w:w="140" w:type="dxa"/>
              <w:right w:w="140" w:type="dxa"/>
            </w:tcMar>
            <w:tcBorders>
              <w:top w:val="none"/>
              <w:left w:val="none"/>
              <w:bottom w:val="single" w:sz="4" w:space="0" w:color="CBD5E1"/>
              <w:right w:val="none"/>
            </w:tcBorders>
          </w:tcPr>
          <w:p>
            <w:pPr>
              <w:spacing w:before="0" w:after="0" w:line="269" w:lineRule="auto"/>
            </w:pPr>
            <w:r>
              <w:rPr>
                <w:rFonts w:ascii="Segoe UI" w:hAnsi="Segoe UI"/>
                <w:color w:val="334155"/>
                <w:sz w:val="18"/>
              </w:rPr>
              <w:t>batch_steps</w:t>
            </w:r>
          </w:p>
        </w:tc>
        <w:tc>
          <w:tcPr>
            <w:tcW w:type="dxa" w:w="2592"/>
            <w:shd w:fill="FFFFFF"/>
            <w:tcMar>
              <w:top w:w="100" w:type="dxa"/>
              <w:bottom w:w="100" w:type="dxa"/>
              <w:left w:w="140" w:type="dxa"/>
              <w:right w:w="140" w:type="dxa"/>
            </w:tcMar>
            <w:tcBorders>
              <w:top w:val="none"/>
              <w:left w:val="none"/>
              <w:bottom w:val="single" w:sz="4" w:space="0" w:color="CBD5E1"/>
              <w:right w:val="none"/>
            </w:tcBorders>
          </w:tcPr>
          <w:p>
            <w:pPr>
              <w:spacing w:before="0" w:after="0" w:line="269" w:lineRule="auto"/>
            </w:pPr>
            <w:r>
              <w:rPr>
                <w:rFonts w:ascii="Segoe UI" w:hAnsi="Segoe UI"/>
                <w:color w:val="334155"/>
                <w:sz w:val="18"/>
              </w:rPr>
              <w:t>eBR 6 Execution Steps</w:t>
            </w:r>
          </w:p>
        </w:tc>
        <w:tc>
          <w:tcPr>
            <w:tcW w:type="dxa" w:w="4752"/>
            <w:shd w:fill="FFFFFF"/>
            <w:tcMar>
              <w:top w:w="100" w:type="dxa"/>
              <w:bottom w:w="100" w:type="dxa"/>
              <w:left w:w="140" w:type="dxa"/>
              <w:right w:w="140" w:type="dxa"/>
            </w:tcMar>
            <w:tcBorders>
              <w:top w:val="none"/>
              <w:left w:val="none"/>
              <w:bottom w:val="single" w:sz="4" w:space="0" w:color="CBD5E1"/>
              <w:right w:val="none"/>
            </w:tcBorders>
          </w:tcPr>
          <w:p>
            <w:pPr>
              <w:spacing w:before="0" w:after="0" w:line="269" w:lineRule="auto"/>
            </w:pPr>
            <w:r>
              <w:rPr>
                <w:rFonts w:ascii="Segoe UI" w:hAnsi="Segoe UI"/>
                <w:color w:val="334155"/>
                <w:sz w:val="18"/>
              </w:rPr>
              <w:t>Detailed 6 steps per batch with JSONB process parameters, sensor readings, and signatures.</w:t>
            </w:r>
          </w:p>
        </w:tc>
      </w:tr>
      <w:tr>
        <w:tc>
          <w:tcPr>
            <w:tcW w:type="dxa" w:w="2592"/>
            <w:shd w:fill="F8FAFC"/>
            <w:tcMar>
              <w:top w:w="100" w:type="dxa"/>
              <w:bottom w:w="100" w:type="dxa"/>
              <w:left w:w="140" w:type="dxa"/>
              <w:right w:w="140" w:type="dxa"/>
            </w:tcMar>
            <w:tcBorders>
              <w:top w:val="none"/>
              <w:left w:val="none"/>
              <w:bottom w:val="single" w:sz="4" w:space="0" w:color="CBD5E1"/>
              <w:right w:val="none"/>
            </w:tcBorders>
          </w:tcPr>
          <w:p>
            <w:pPr>
              <w:spacing w:before="0" w:after="0" w:line="269" w:lineRule="auto"/>
            </w:pPr>
            <w:r>
              <w:rPr>
                <w:rFonts w:ascii="Segoe UI" w:hAnsi="Segoe UI"/>
                <w:color w:val="334155"/>
                <w:sz w:val="18"/>
              </w:rPr>
              <w:t>shift_logs</w:t>
            </w:r>
          </w:p>
        </w:tc>
        <w:tc>
          <w:tcPr>
            <w:tcW w:type="dxa" w:w="2592"/>
            <w:shd w:fill="F8FAFC"/>
            <w:tcMar>
              <w:top w:w="100" w:type="dxa"/>
              <w:bottom w:w="100" w:type="dxa"/>
              <w:left w:w="140" w:type="dxa"/>
              <w:right w:w="140" w:type="dxa"/>
            </w:tcMar>
            <w:tcBorders>
              <w:top w:val="none"/>
              <w:left w:val="none"/>
              <w:bottom w:val="single" w:sz="4" w:space="0" w:color="CBD5E1"/>
              <w:right w:val="none"/>
            </w:tcBorders>
          </w:tcPr>
          <w:p>
            <w:pPr>
              <w:spacing w:before="0" w:after="0" w:line="269" w:lineRule="auto"/>
            </w:pPr>
            <w:r>
              <w:rPr>
                <w:rFonts w:ascii="Segoe UI" w:hAnsi="Segoe UI"/>
                <w:color w:val="334155"/>
                <w:sz w:val="18"/>
              </w:rPr>
              <w:t>Hourly Production Pitch Logs</w:t>
            </w:r>
          </w:p>
        </w:tc>
        <w:tc>
          <w:tcPr>
            <w:tcW w:type="dxa" w:w="4752"/>
            <w:shd w:fill="F8FAFC"/>
            <w:tcMar>
              <w:top w:w="100" w:type="dxa"/>
              <w:bottom w:w="100" w:type="dxa"/>
              <w:left w:w="140" w:type="dxa"/>
              <w:right w:w="140" w:type="dxa"/>
            </w:tcMar>
            <w:tcBorders>
              <w:top w:val="none"/>
              <w:left w:val="none"/>
              <w:bottom w:val="single" w:sz="4" w:space="0" w:color="CBD5E1"/>
              <w:right w:val="none"/>
            </w:tcBorders>
          </w:tcPr>
          <w:p>
            <w:pPr>
              <w:spacing w:before="0" w:after="0" w:line="269" w:lineRule="auto"/>
            </w:pPr>
            <w:r>
              <w:rPr>
                <w:rFonts w:ascii="Segoe UI" w:hAnsi="Segoe UI"/>
                <w:color w:val="334155"/>
                <w:sz w:val="18"/>
              </w:rPr>
              <w:t>Hour-by-hour operator pitch logs recording good units, scrap units, and pacing variance.</w:t>
            </w:r>
          </w:p>
        </w:tc>
      </w:tr>
      <w:tr>
        <w:tc>
          <w:tcPr>
            <w:tcW w:type="dxa" w:w="2592"/>
            <w:shd w:fill="FFFFFF"/>
            <w:tcMar>
              <w:top w:w="100" w:type="dxa"/>
              <w:bottom w:w="100" w:type="dxa"/>
              <w:left w:w="140" w:type="dxa"/>
              <w:right w:w="140" w:type="dxa"/>
            </w:tcMar>
            <w:tcBorders>
              <w:top w:val="none"/>
              <w:left w:val="none"/>
              <w:bottom w:val="single" w:sz="4" w:space="0" w:color="CBD5E1"/>
              <w:right w:val="none"/>
            </w:tcBorders>
          </w:tcPr>
          <w:p>
            <w:pPr>
              <w:spacing w:before="0" w:after="0" w:line="269" w:lineRule="auto"/>
            </w:pPr>
            <w:r>
              <w:rPr>
                <w:rFonts w:ascii="Segoe UI" w:hAnsi="Segoe UI"/>
                <w:color w:val="334155"/>
                <w:sz w:val="18"/>
              </w:rPr>
              <w:t>downtime_logs</w:t>
            </w:r>
          </w:p>
        </w:tc>
        <w:tc>
          <w:tcPr>
            <w:tcW w:type="dxa" w:w="2592"/>
            <w:shd w:fill="FFFFFF"/>
            <w:tcMar>
              <w:top w:w="100" w:type="dxa"/>
              <w:bottom w:w="100" w:type="dxa"/>
              <w:left w:w="140" w:type="dxa"/>
              <w:right w:w="140" w:type="dxa"/>
            </w:tcMar>
            <w:tcBorders>
              <w:top w:val="none"/>
              <w:left w:val="none"/>
              <w:bottom w:val="single" w:sz="4" w:space="0" w:color="CBD5E1"/>
              <w:right w:val="none"/>
            </w:tcBorders>
          </w:tcPr>
          <w:p>
            <w:pPr>
              <w:spacing w:before="0" w:after="0" w:line="269" w:lineRule="auto"/>
            </w:pPr>
            <w:r>
              <w:rPr>
                <w:rFonts w:ascii="Segoe UI" w:hAnsi="Segoe UI"/>
                <w:color w:val="334155"/>
                <w:sz w:val="18"/>
              </w:rPr>
              <w:t>Machine Stoppage Records</w:t>
            </w:r>
          </w:p>
        </w:tc>
        <w:tc>
          <w:tcPr>
            <w:tcW w:type="dxa" w:w="4752"/>
            <w:shd w:fill="FFFFFF"/>
            <w:tcMar>
              <w:top w:w="100" w:type="dxa"/>
              <w:bottom w:w="100" w:type="dxa"/>
              <w:left w:w="140" w:type="dxa"/>
              <w:right w:w="140" w:type="dxa"/>
            </w:tcMar>
            <w:tcBorders>
              <w:top w:val="none"/>
              <w:left w:val="none"/>
              <w:bottom w:val="single" w:sz="4" w:space="0" w:color="CBD5E1"/>
              <w:right w:val="none"/>
            </w:tcBorders>
          </w:tcPr>
          <w:p>
            <w:pPr>
              <w:spacing w:before="0" w:after="0" w:line="269" w:lineRule="auto"/>
            </w:pPr>
            <w:r>
              <w:rPr>
                <w:rFonts w:ascii="Segoe UI" w:hAnsi="Segoe UI"/>
                <w:color w:val="334155"/>
                <w:sz w:val="18"/>
              </w:rPr>
              <w:t>Stoppage event logbook recording machine, start/end time, duration, and reason codes.</w:t>
            </w:r>
          </w:p>
        </w:tc>
      </w:tr>
    </w:tbl>
    <w:p>
      <w:pPr>
        <w:spacing w:before="40" w:after="120"/>
      </w:pPr>
    </w:p>
    <w:p>
      <w:pPr>
        <w:pStyle w:val="Heading2"/>
        <w:keepNext/>
        <w:spacing w:before="280" w:after="80"/>
      </w:pPr>
      <w:r>
        <w:rPr>
          <w:rFonts w:ascii="Segoe UI" w:hAnsi="Segoe UI"/>
          <w:b/>
          <w:color w:val="1E3A8A"/>
          <w:sz w:val="26"/>
        </w:rPr>
        <w:t>6.6 Plant Manager Command Center (9 Tables)</w:t>
      </w:r>
    </w:p>
    <w:tbl>
      <w:tblPr>
        <w:tblW w:type="auto" w:w="0"/>
        <w:jc w:val="center"/>
        <w:tblLayout w:type="fixed"/>
        <w:tblLook w:firstColumn="1" w:firstRow="1" w:lastColumn="0" w:lastRow="0" w:noHBand="0" w:noVBand="1" w:val="04A0"/>
      </w:tblPr>
      <w:tblGrid>
        <w:gridCol w:w="3312"/>
        <w:gridCol w:w="3312"/>
        <w:gridCol w:w="3312"/>
      </w:tblGrid>
      <w:tr>
        <w:tc>
          <w:tcPr>
            <w:tcW w:type="dxa" w:w="2592"/>
            <w:shd w:fill="0F172A"/>
            <w:tcMar>
              <w:top w:w="130" w:type="dxa"/>
              <w:bottom w:w="130" w:type="dxa"/>
              <w:left w:w="140" w:type="dxa"/>
              <w:right w:w="140" w:type="dxa"/>
            </w:tcMar>
            <w:tcBorders>
              <w:top w:val="single" w:sz="4" w:space="0" w:color="0F172A"/>
              <w:left w:val="none"/>
              <w:bottom w:val="single" w:sz="10" w:space="0" w:color="C89547"/>
              <w:right w:val="none"/>
            </w:tcBorders>
          </w:tcPr>
          <w:p>
            <w:pPr>
              <w:spacing w:before="0" w:after="0"/>
            </w:pPr>
            <w:r>
              <w:rPr>
                <w:rFonts w:ascii="Segoe UI" w:hAnsi="Segoe UI"/>
                <w:b/>
                <w:color w:val="FFFFFF"/>
                <w:sz w:val="19"/>
              </w:rPr>
              <w:t>Database Table</w:t>
            </w:r>
          </w:p>
        </w:tc>
        <w:tc>
          <w:tcPr>
            <w:tcW w:type="dxa" w:w="2592"/>
            <w:shd w:fill="0F172A"/>
            <w:tcMar>
              <w:top w:w="130" w:type="dxa"/>
              <w:bottom w:w="130" w:type="dxa"/>
              <w:left w:w="140" w:type="dxa"/>
              <w:right w:w="140" w:type="dxa"/>
            </w:tcMar>
            <w:tcBorders>
              <w:top w:val="single" w:sz="4" w:space="0" w:color="0F172A"/>
              <w:left w:val="none"/>
              <w:bottom w:val="single" w:sz="10" w:space="0" w:color="C89547"/>
              <w:right w:val="none"/>
            </w:tcBorders>
          </w:tcPr>
          <w:p>
            <w:pPr>
              <w:spacing w:before="0" w:after="0"/>
            </w:pPr>
            <w:r>
              <w:rPr>
                <w:rFonts w:ascii="Segoe UI" w:hAnsi="Segoe UI"/>
                <w:b/>
                <w:color w:val="FFFFFF"/>
                <w:sz w:val="19"/>
              </w:rPr>
              <w:t>Functional Entity Name</w:t>
            </w:r>
          </w:p>
        </w:tc>
        <w:tc>
          <w:tcPr>
            <w:tcW w:type="dxa" w:w="4752"/>
            <w:shd w:fill="0F172A"/>
            <w:tcMar>
              <w:top w:w="130" w:type="dxa"/>
              <w:bottom w:w="130" w:type="dxa"/>
              <w:left w:w="140" w:type="dxa"/>
              <w:right w:w="140" w:type="dxa"/>
            </w:tcMar>
            <w:tcBorders>
              <w:top w:val="single" w:sz="4" w:space="0" w:color="0F172A"/>
              <w:left w:val="none"/>
              <w:bottom w:val="single" w:sz="10" w:space="0" w:color="C89547"/>
              <w:right w:val="none"/>
            </w:tcBorders>
          </w:tcPr>
          <w:p>
            <w:pPr>
              <w:spacing w:before="0" w:after="0"/>
            </w:pPr>
            <w:r>
              <w:rPr>
                <w:rFonts w:ascii="Segoe UI" w:hAnsi="Segoe UI"/>
                <w:b/>
                <w:color w:val="FFFFFF"/>
                <w:sz w:val="19"/>
              </w:rPr>
              <w:t>Operational Purpose &amp; Records Stored</w:t>
            </w:r>
          </w:p>
        </w:tc>
      </w:tr>
      <w:tr>
        <w:tc>
          <w:tcPr>
            <w:tcW w:type="dxa" w:w="2592"/>
            <w:shd w:fill="FFFFFF"/>
            <w:tcMar>
              <w:top w:w="100" w:type="dxa"/>
              <w:bottom w:w="100" w:type="dxa"/>
              <w:left w:w="140" w:type="dxa"/>
              <w:right w:w="140" w:type="dxa"/>
            </w:tcMar>
            <w:tcBorders>
              <w:top w:val="none"/>
              <w:left w:val="none"/>
              <w:bottom w:val="single" w:sz="4" w:space="0" w:color="CBD5E1"/>
              <w:right w:val="none"/>
            </w:tcBorders>
          </w:tcPr>
          <w:p>
            <w:pPr>
              <w:spacing w:before="0" w:after="0" w:line="269" w:lineRule="auto"/>
            </w:pPr>
            <w:r>
              <w:rPr>
                <w:rFonts w:ascii="Segoe UI" w:hAnsi="Segoe UI"/>
                <w:color w:val="334155"/>
                <w:sz w:val="18"/>
              </w:rPr>
              <w:t>pm_hb_logs</w:t>
            </w:r>
          </w:p>
        </w:tc>
        <w:tc>
          <w:tcPr>
            <w:tcW w:type="dxa" w:w="2592"/>
            <w:shd w:fill="FFFFFF"/>
            <w:tcMar>
              <w:top w:w="100" w:type="dxa"/>
              <w:bottom w:w="100" w:type="dxa"/>
              <w:left w:w="140" w:type="dxa"/>
              <w:right w:w="140" w:type="dxa"/>
            </w:tcMar>
            <w:tcBorders>
              <w:top w:val="none"/>
              <w:left w:val="none"/>
              <w:bottom w:val="single" w:sz="4" w:space="0" w:color="CBD5E1"/>
              <w:right w:val="none"/>
            </w:tcBorders>
          </w:tcPr>
          <w:p>
            <w:pPr>
              <w:spacing w:before="0" w:after="0" w:line="269" w:lineRule="auto"/>
            </w:pPr>
            <w:r>
              <w:rPr>
                <w:rFonts w:ascii="Segoe UI" w:hAnsi="Segoe UI"/>
                <w:color w:val="334155"/>
                <w:sz w:val="18"/>
              </w:rPr>
              <w:t>Executive H/B Pitch Ledger</w:t>
            </w:r>
          </w:p>
        </w:tc>
        <w:tc>
          <w:tcPr>
            <w:tcW w:type="dxa" w:w="4752"/>
            <w:shd w:fill="FFFFFF"/>
            <w:tcMar>
              <w:top w:w="100" w:type="dxa"/>
              <w:bottom w:w="100" w:type="dxa"/>
              <w:left w:w="140" w:type="dxa"/>
              <w:right w:w="140" w:type="dxa"/>
            </w:tcMar>
            <w:tcBorders>
              <w:top w:val="none"/>
              <w:left w:val="none"/>
              <w:bottom w:val="single" w:sz="4" w:space="0" w:color="CBD5E1"/>
              <w:right w:val="none"/>
            </w:tcBorders>
          </w:tcPr>
          <w:p>
            <w:pPr>
              <w:spacing w:before="0" w:after="0" w:line="269" w:lineRule="auto"/>
            </w:pPr>
            <w:r>
              <w:rPr>
                <w:rFonts w:ascii="Segoe UI" w:hAnsi="Segoe UI"/>
                <w:color w:val="334155"/>
                <w:sz w:val="18"/>
              </w:rPr>
              <w:t>Pitch-by-pitch hourly production tracking comparing actual vs target cases with variance reasons.</w:t>
            </w:r>
          </w:p>
        </w:tc>
      </w:tr>
      <w:tr>
        <w:tc>
          <w:tcPr>
            <w:tcW w:type="dxa" w:w="2592"/>
            <w:shd w:fill="F8FAFC"/>
            <w:tcMar>
              <w:top w:w="100" w:type="dxa"/>
              <w:bottom w:w="100" w:type="dxa"/>
              <w:left w:w="140" w:type="dxa"/>
              <w:right w:w="140" w:type="dxa"/>
            </w:tcMar>
            <w:tcBorders>
              <w:top w:val="none"/>
              <w:left w:val="none"/>
              <w:bottom w:val="single" w:sz="4" w:space="0" w:color="CBD5E1"/>
              <w:right w:val="none"/>
            </w:tcBorders>
          </w:tcPr>
          <w:p>
            <w:pPr>
              <w:spacing w:before="0" w:after="0" w:line="269" w:lineRule="auto"/>
            </w:pPr>
            <w:r>
              <w:rPr>
                <w:rFonts w:ascii="Segoe UI" w:hAnsi="Segoe UI"/>
                <w:color w:val="334155"/>
                <w:sz w:val="18"/>
              </w:rPr>
              <w:t>pm_production_schedules</w:t>
            </w:r>
          </w:p>
        </w:tc>
        <w:tc>
          <w:tcPr>
            <w:tcW w:type="dxa" w:w="2592"/>
            <w:shd w:fill="F8FAFC"/>
            <w:tcMar>
              <w:top w:w="100" w:type="dxa"/>
              <w:bottom w:w="100" w:type="dxa"/>
              <w:left w:w="140" w:type="dxa"/>
              <w:right w:w="140" w:type="dxa"/>
            </w:tcMar>
            <w:tcBorders>
              <w:top w:val="none"/>
              <w:left w:val="none"/>
              <w:bottom w:val="single" w:sz="4" w:space="0" w:color="CBD5E1"/>
              <w:right w:val="none"/>
            </w:tcBorders>
          </w:tcPr>
          <w:p>
            <w:pPr>
              <w:spacing w:before="0" w:after="0" w:line="269" w:lineRule="auto"/>
            </w:pPr>
            <w:r>
              <w:rPr>
                <w:rFonts w:ascii="Segoe UI" w:hAnsi="Segoe UI"/>
                <w:color w:val="334155"/>
                <w:sz w:val="18"/>
              </w:rPr>
              <w:t>Master Production Schedule Plans</w:t>
            </w:r>
          </w:p>
        </w:tc>
        <w:tc>
          <w:tcPr>
            <w:tcW w:type="dxa" w:w="4752"/>
            <w:shd w:fill="F8FAFC"/>
            <w:tcMar>
              <w:top w:w="100" w:type="dxa"/>
              <w:bottom w:w="100" w:type="dxa"/>
              <w:left w:w="140" w:type="dxa"/>
              <w:right w:w="140" w:type="dxa"/>
            </w:tcMar>
            <w:tcBorders>
              <w:top w:val="none"/>
              <w:left w:val="none"/>
              <w:bottom w:val="single" w:sz="4" w:space="0" w:color="CBD5E1"/>
              <w:right w:val="none"/>
            </w:tcBorders>
          </w:tcPr>
          <w:p>
            <w:pPr>
              <w:spacing w:before="0" w:after="0" w:line="269" w:lineRule="auto"/>
            </w:pPr>
            <w:r>
              <w:rPr>
                <w:rFonts w:ascii="Segoe UI" w:hAnsi="Segoe UI"/>
                <w:color w:val="334155"/>
                <w:sz w:val="18"/>
              </w:rPr>
              <w:t>High-level MPS schedules balancing plant capacity with order demand.</w:t>
            </w:r>
          </w:p>
        </w:tc>
      </w:tr>
      <w:tr>
        <w:tc>
          <w:tcPr>
            <w:tcW w:type="dxa" w:w="2592"/>
            <w:shd w:fill="FFFFFF"/>
            <w:tcMar>
              <w:top w:w="100" w:type="dxa"/>
              <w:bottom w:w="100" w:type="dxa"/>
              <w:left w:w="140" w:type="dxa"/>
              <w:right w:w="140" w:type="dxa"/>
            </w:tcMar>
            <w:tcBorders>
              <w:top w:val="none"/>
              <w:left w:val="none"/>
              <w:bottom w:val="single" w:sz="4" w:space="0" w:color="CBD5E1"/>
              <w:right w:val="none"/>
            </w:tcBorders>
          </w:tcPr>
          <w:p>
            <w:pPr>
              <w:spacing w:before="0" w:after="0" w:line="269" w:lineRule="auto"/>
            </w:pPr>
            <w:r>
              <w:rPr>
                <w:rFonts w:ascii="Segoe UI" w:hAnsi="Segoe UI"/>
                <w:color w:val="334155"/>
                <w:sz w:val="18"/>
              </w:rPr>
              <w:t>pm_capacity_plans</w:t>
            </w:r>
          </w:p>
        </w:tc>
        <w:tc>
          <w:tcPr>
            <w:tcW w:type="dxa" w:w="2592"/>
            <w:shd w:fill="FFFFFF"/>
            <w:tcMar>
              <w:top w:w="100" w:type="dxa"/>
              <w:bottom w:w="100" w:type="dxa"/>
              <w:left w:w="140" w:type="dxa"/>
              <w:right w:w="140" w:type="dxa"/>
            </w:tcMar>
            <w:tcBorders>
              <w:top w:val="none"/>
              <w:left w:val="none"/>
              <w:bottom w:val="single" w:sz="4" w:space="0" w:color="CBD5E1"/>
              <w:right w:val="none"/>
            </w:tcBorders>
          </w:tcPr>
          <w:p>
            <w:pPr>
              <w:spacing w:before="0" w:after="0" w:line="269" w:lineRule="auto"/>
            </w:pPr>
            <w:r>
              <w:rPr>
                <w:rFonts w:ascii="Segoe UI" w:hAnsi="Segoe UI"/>
                <w:color w:val="334155"/>
                <w:sz w:val="18"/>
              </w:rPr>
              <w:t>Line Capacity Planning</w:t>
            </w:r>
          </w:p>
        </w:tc>
        <w:tc>
          <w:tcPr>
            <w:tcW w:type="dxa" w:w="4752"/>
            <w:shd w:fill="FFFFFF"/>
            <w:tcMar>
              <w:top w:w="100" w:type="dxa"/>
              <w:bottom w:w="100" w:type="dxa"/>
              <w:left w:w="140" w:type="dxa"/>
              <w:right w:w="140" w:type="dxa"/>
            </w:tcMar>
            <w:tcBorders>
              <w:top w:val="none"/>
              <w:left w:val="none"/>
              <w:bottom w:val="single" w:sz="4" w:space="0" w:color="CBD5E1"/>
              <w:right w:val="none"/>
            </w:tcBorders>
          </w:tcPr>
          <w:p>
            <w:pPr>
              <w:spacing w:before="0" w:after="0" w:line="269" w:lineRule="auto"/>
            </w:pPr>
            <w:r>
              <w:rPr>
                <w:rFonts w:ascii="Segoe UI" w:hAnsi="Segoe UI"/>
                <w:color w:val="334155"/>
                <w:sz w:val="18"/>
              </w:rPr>
              <w:t>Weekly machine line capacity loads, available hours, and percentage utilization.</w:t>
            </w:r>
          </w:p>
        </w:tc>
      </w:tr>
      <w:tr>
        <w:tc>
          <w:tcPr>
            <w:tcW w:type="dxa" w:w="2592"/>
            <w:shd w:fill="F8FAFC"/>
            <w:tcMar>
              <w:top w:w="100" w:type="dxa"/>
              <w:bottom w:w="100" w:type="dxa"/>
              <w:left w:w="140" w:type="dxa"/>
              <w:right w:w="140" w:type="dxa"/>
            </w:tcMar>
            <w:tcBorders>
              <w:top w:val="none"/>
              <w:left w:val="none"/>
              <w:bottom w:val="single" w:sz="4" w:space="0" w:color="CBD5E1"/>
              <w:right w:val="none"/>
            </w:tcBorders>
          </w:tcPr>
          <w:p>
            <w:pPr>
              <w:spacing w:before="0" w:after="0" w:line="269" w:lineRule="auto"/>
            </w:pPr>
            <w:r>
              <w:rPr>
                <w:rFonts w:ascii="Segoe UI" w:hAnsi="Segoe UI"/>
                <w:color w:val="334155"/>
                <w:sz w:val="18"/>
              </w:rPr>
              <w:t>pm_planning_constraints</w:t>
            </w:r>
          </w:p>
        </w:tc>
        <w:tc>
          <w:tcPr>
            <w:tcW w:type="dxa" w:w="2592"/>
            <w:shd w:fill="F8FAFC"/>
            <w:tcMar>
              <w:top w:w="100" w:type="dxa"/>
              <w:bottom w:w="100" w:type="dxa"/>
              <w:left w:w="140" w:type="dxa"/>
              <w:right w:w="140" w:type="dxa"/>
            </w:tcMar>
            <w:tcBorders>
              <w:top w:val="none"/>
              <w:left w:val="none"/>
              <w:bottom w:val="single" w:sz="4" w:space="0" w:color="CBD5E1"/>
              <w:right w:val="none"/>
            </w:tcBorders>
          </w:tcPr>
          <w:p>
            <w:pPr>
              <w:spacing w:before="0" w:after="0" w:line="269" w:lineRule="auto"/>
            </w:pPr>
            <w:r>
              <w:rPr>
                <w:rFonts w:ascii="Segoe UI" w:hAnsi="Segoe UI"/>
                <w:color w:val="334155"/>
                <w:sz w:val="18"/>
              </w:rPr>
              <w:t>Manufacturing Constraints Matrix</w:t>
            </w:r>
          </w:p>
        </w:tc>
        <w:tc>
          <w:tcPr>
            <w:tcW w:type="dxa" w:w="4752"/>
            <w:shd w:fill="F8FAFC"/>
            <w:tcMar>
              <w:top w:w="100" w:type="dxa"/>
              <w:bottom w:w="100" w:type="dxa"/>
              <w:left w:w="140" w:type="dxa"/>
              <w:right w:w="140" w:type="dxa"/>
            </w:tcMar>
            <w:tcBorders>
              <w:top w:val="none"/>
              <w:left w:val="none"/>
              <w:bottom w:val="single" w:sz="4" w:space="0" w:color="CBD5E1"/>
              <w:right w:val="none"/>
            </w:tcBorders>
          </w:tcPr>
          <w:p>
            <w:pPr>
              <w:spacing w:before="0" w:after="0" w:line="269" w:lineRule="auto"/>
            </w:pPr>
            <w:r>
              <w:rPr>
                <w:rFonts w:ascii="Segoe UI" w:hAnsi="Segoe UI"/>
                <w:color w:val="334155"/>
                <w:sz w:val="18"/>
              </w:rPr>
              <w:t>Sanitation CIP, allergen washouts, tooling changeover, and maintenance restrictions.</w:t>
            </w:r>
          </w:p>
        </w:tc>
      </w:tr>
      <w:tr>
        <w:tc>
          <w:tcPr>
            <w:tcW w:type="dxa" w:w="2592"/>
            <w:shd w:fill="FFFFFF"/>
            <w:tcMar>
              <w:top w:w="100" w:type="dxa"/>
              <w:bottom w:w="100" w:type="dxa"/>
              <w:left w:w="140" w:type="dxa"/>
              <w:right w:w="140" w:type="dxa"/>
            </w:tcMar>
            <w:tcBorders>
              <w:top w:val="none"/>
              <w:left w:val="none"/>
              <w:bottom w:val="single" w:sz="4" w:space="0" w:color="CBD5E1"/>
              <w:right w:val="none"/>
            </w:tcBorders>
          </w:tcPr>
          <w:p>
            <w:pPr>
              <w:spacing w:before="0" w:after="0" w:line="269" w:lineRule="auto"/>
            </w:pPr>
            <w:r>
              <w:rPr>
                <w:rFonts w:ascii="Segoe UI" w:hAnsi="Segoe UI"/>
                <w:color w:val="334155"/>
                <w:sz w:val="18"/>
              </w:rPr>
              <w:t>pm_recovery_plans</w:t>
            </w:r>
          </w:p>
        </w:tc>
        <w:tc>
          <w:tcPr>
            <w:tcW w:type="dxa" w:w="2592"/>
            <w:shd w:fill="FFFFFF"/>
            <w:tcMar>
              <w:top w:w="100" w:type="dxa"/>
              <w:bottom w:w="100" w:type="dxa"/>
              <w:left w:w="140" w:type="dxa"/>
              <w:right w:w="140" w:type="dxa"/>
            </w:tcMar>
            <w:tcBorders>
              <w:top w:val="none"/>
              <w:left w:val="none"/>
              <w:bottom w:val="single" w:sz="4" w:space="0" w:color="CBD5E1"/>
              <w:right w:val="none"/>
            </w:tcBorders>
          </w:tcPr>
          <w:p>
            <w:pPr>
              <w:spacing w:before="0" w:after="0" w:line="269" w:lineRule="auto"/>
            </w:pPr>
            <w:r>
              <w:rPr>
                <w:rFonts w:ascii="Segoe UI" w:hAnsi="Segoe UI"/>
                <w:color w:val="334155"/>
                <w:sz w:val="18"/>
              </w:rPr>
              <w:t>Overtime &amp; Speed Recovery Plans</w:t>
            </w:r>
          </w:p>
        </w:tc>
        <w:tc>
          <w:tcPr>
            <w:tcW w:type="dxa" w:w="4752"/>
            <w:shd w:fill="FFFFFF"/>
            <w:tcMar>
              <w:top w:w="100" w:type="dxa"/>
              <w:bottom w:w="100" w:type="dxa"/>
              <w:left w:w="140" w:type="dxa"/>
              <w:right w:w="140" w:type="dxa"/>
            </w:tcMar>
            <w:tcBorders>
              <w:top w:val="none"/>
              <w:left w:val="none"/>
              <w:bottom w:val="single" w:sz="4" w:space="0" w:color="CBD5E1"/>
              <w:right w:val="none"/>
            </w:tcBorders>
          </w:tcPr>
          <w:p>
            <w:pPr>
              <w:spacing w:before="0" w:after="0" w:line="269" w:lineRule="auto"/>
            </w:pPr>
            <w:r>
              <w:rPr>
                <w:rFonts w:ascii="Segoe UI" w:hAnsi="Segoe UI"/>
                <w:color w:val="334155"/>
                <w:sz w:val="18"/>
              </w:rPr>
              <w:t>Simulated mathematical recovery scenarios for recovering lagging shift volume.</w:t>
            </w:r>
          </w:p>
        </w:tc>
      </w:tr>
      <w:tr>
        <w:tc>
          <w:tcPr>
            <w:tcW w:type="dxa" w:w="2592"/>
            <w:shd w:fill="F8FAFC"/>
            <w:tcMar>
              <w:top w:w="100" w:type="dxa"/>
              <w:bottom w:w="100" w:type="dxa"/>
              <w:left w:w="140" w:type="dxa"/>
              <w:right w:w="140" w:type="dxa"/>
            </w:tcMar>
            <w:tcBorders>
              <w:top w:val="none"/>
              <w:left w:val="none"/>
              <w:bottom w:val="single" w:sz="4" w:space="0" w:color="CBD5E1"/>
              <w:right w:val="none"/>
            </w:tcBorders>
          </w:tcPr>
          <w:p>
            <w:pPr>
              <w:spacing w:before="0" w:after="0" w:line="269" w:lineRule="auto"/>
            </w:pPr>
            <w:r>
              <w:rPr>
                <w:rFonts w:ascii="Segoe UI" w:hAnsi="Segoe UI"/>
                <w:color w:val="334155"/>
                <w:sz w:val="18"/>
              </w:rPr>
              <w:t>pm_shift_handoffs</w:t>
            </w:r>
          </w:p>
        </w:tc>
        <w:tc>
          <w:tcPr>
            <w:tcW w:type="dxa" w:w="2592"/>
            <w:shd w:fill="F8FAFC"/>
            <w:tcMar>
              <w:top w:w="100" w:type="dxa"/>
              <w:bottom w:w="100" w:type="dxa"/>
              <w:left w:w="140" w:type="dxa"/>
              <w:right w:w="140" w:type="dxa"/>
            </w:tcMar>
            <w:tcBorders>
              <w:top w:val="none"/>
              <w:left w:val="none"/>
              <w:bottom w:val="single" w:sz="4" w:space="0" w:color="CBD5E1"/>
              <w:right w:val="none"/>
            </w:tcBorders>
          </w:tcPr>
          <w:p>
            <w:pPr>
              <w:spacing w:before="0" w:after="0" w:line="269" w:lineRule="auto"/>
            </w:pPr>
            <w:r>
              <w:rPr>
                <w:rFonts w:ascii="Segoe UI" w:hAnsi="Segoe UI"/>
                <w:color w:val="334155"/>
                <w:sz w:val="18"/>
              </w:rPr>
              <w:t>Shift Transition Reports</w:t>
            </w:r>
          </w:p>
        </w:tc>
        <w:tc>
          <w:tcPr>
            <w:tcW w:type="dxa" w:w="4752"/>
            <w:shd w:fill="F8FAFC"/>
            <w:tcMar>
              <w:top w:w="100" w:type="dxa"/>
              <w:bottom w:w="100" w:type="dxa"/>
              <w:left w:w="140" w:type="dxa"/>
              <w:right w:w="140" w:type="dxa"/>
            </w:tcMar>
            <w:tcBorders>
              <w:top w:val="none"/>
              <w:left w:val="none"/>
              <w:bottom w:val="single" w:sz="4" w:space="0" w:color="CBD5E1"/>
              <w:right w:val="none"/>
            </w:tcBorders>
          </w:tcPr>
          <w:p>
            <w:pPr>
              <w:spacing w:before="0" w:after="0" w:line="269" w:lineRule="auto"/>
            </w:pPr>
            <w:r>
              <w:rPr>
                <w:rFonts w:ascii="Segoe UI" w:hAnsi="Segoe UI"/>
                <w:color w:val="334155"/>
                <w:sz w:val="18"/>
              </w:rPr>
              <w:t>Digital shift turnover logs with scrap reconciliation, open maintenance, and sign-offs.</w:t>
            </w:r>
          </w:p>
        </w:tc>
      </w:tr>
      <w:tr>
        <w:tc>
          <w:tcPr>
            <w:tcW w:type="dxa" w:w="2592"/>
            <w:shd w:fill="FFFFFF"/>
            <w:tcMar>
              <w:top w:w="100" w:type="dxa"/>
              <w:bottom w:w="100" w:type="dxa"/>
              <w:left w:w="140" w:type="dxa"/>
              <w:right w:w="140" w:type="dxa"/>
            </w:tcMar>
            <w:tcBorders>
              <w:top w:val="none"/>
              <w:left w:val="none"/>
              <w:bottom w:val="single" w:sz="4" w:space="0" w:color="CBD5E1"/>
              <w:right w:val="none"/>
            </w:tcBorders>
          </w:tcPr>
          <w:p>
            <w:pPr>
              <w:spacing w:before="0" w:after="0" w:line="269" w:lineRule="auto"/>
            </w:pPr>
            <w:r>
              <w:rPr>
                <w:rFonts w:ascii="Segoe UI" w:hAnsi="Segoe UI"/>
                <w:color w:val="334155"/>
                <w:sz w:val="18"/>
              </w:rPr>
              <w:t>pm_machine_telemetry</w:t>
            </w:r>
          </w:p>
        </w:tc>
        <w:tc>
          <w:tcPr>
            <w:tcW w:type="dxa" w:w="2592"/>
            <w:shd w:fill="FFFFFF"/>
            <w:tcMar>
              <w:top w:w="100" w:type="dxa"/>
              <w:bottom w:w="100" w:type="dxa"/>
              <w:left w:w="140" w:type="dxa"/>
              <w:right w:w="140" w:type="dxa"/>
            </w:tcMar>
            <w:tcBorders>
              <w:top w:val="none"/>
              <w:left w:val="none"/>
              <w:bottom w:val="single" w:sz="4" w:space="0" w:color="CBD5E1"/>
              <w:right w:val="none"/>
            </w:tcBorders>
          </w:tcPr>
          <w:p>
            <w:pPr>
              <w:spacing w:before="0" w:after="0" w:line="269" w:lineRule="auto"/>
            </w:pPr>
            <w:r>
              <w:rPr>
                <w:rFonts w:ascii="Segoe UI" w:hAnsi="Segoe UI"/>
                <w:color w:val="334155"/>
                <w:sz w:val="18"/>
              </w:rPr>
              <w:t>Live Machine Telemetry</w:t>
            </w:r>
          </w:p>
        </w:tc>
        <w:tc>
          <w:tcPr>
            <w:tcW w:type="dxa" w:w="4752"/>
            <w:shd w:fill="FFFFFF"/>
            <w:tcMar>
              <w:top w:w="100" w:type="dxa"/>
              <w:bottom w:w="100" w:type="dxa"/>
              <w:left w:w="140" w:type="dxa"/>
              <w:right w:w="140" w:type="dxa"/>
            </w:tcMar>
            <w:tcBorders>
              <w:top w:val="none"/>
              <w:left w:val="none"/>
              <w:bottom w:val="single" w:sz="4" w:space="0" w:color="CBD5E1"/>
              <w:right w:val="none"/>
            </w:tcBorders>
          </w:tcPr>
          <w:p>
            <w:pPr>
              <w:spacing w:before="0" w:after="0" w:line="269" w:lineRule="auto"/>
            </w:pPr>
            <w:r>
              <w:rPr>
                <w:rFonts w:ascii="Segoe UI" w:hAnsi="Segoe UI"/>
                <w:color w:val="334155"/>
                <w:sz w:val="18"/>
              </w:rPr>
              <w:t>Real-time machine speeds, target counts, operating states, and runtime hours.</w:t>
            </w:r>
          </w:p>
        </w:tc>
      </w:tr>
      <w:tr>
        <w:tc>
          <w:tcPr>
            <w:tcW w:type="dxa" w:w="2592"/>
            <w:shd w:fill="F8FAFC"/>
            <w:tcMar>
              <w:top w:w="100" w:type="dxa"/>
              <w:bottom w:w="100" w:type="dxa"/>
              <w:left w:w="140" w:type="dxa"/>
              <w:right w:w="140" w:type="dxa"/>
            </w:tcMar>
            <w:tcBorders>
              <w:top w:val="none"/>
              <w:left w:val="none"/>
              <w:bottom w:val="single" w:sz="4" w:space="0" w:color="CBD5E1"/>
              <w:right w:val="none"/>
            </w:tcBorders>
          </w:tcPr>
          <w:p>
            <w:pPr>
              <w:spacing w:before="0" w:after="0" w:line="269" w:lineRule="auto"/>
            </w:pPr>
            <w:r>
              <w:rPr>
                <w:rFonts w:ascii="Segoe UI" w:hAnsi="Segoe UI"/>
                <w:color w:val="334155"/>
                <w:sz w:val="18"/>
              </w:rPr>
              <w:t>pm_exceptions</w:t>
            </w:r>
          </w:p>
        </w:tc>
        <w:tc>
          <w:tcPr>
            <w:tcW w:type="dxa" w:w="2592"/>
            <w:shd w:fill="F8FAFC"/>
            <w:tcMar>
              <w:top w:w="100" w:type="dxa"/>
              <w:bottom w:w="100" w:type="dxa"/>
              <w:left w:w="140" w:type="dxa"/>
              <w:right w:w="140" w:type="dxa"/>
            </w:tcMar>
            <w:tcBorders>
              <w:top w:val="none"/>
              <w:left w:val="none"/>
              <w:bottom w:val="single" w:sz="4" w:space="0" w:color="CBD5E1"/>
              <w:right w:val="none"/>
            </w:tcBorders>
          </w:tcPr>
          <w:p>
            <w:pPr>
              <w:spacing w:before="0" w:after="0" w:line="269" w:lineRule="auto"/>
            </w:pPr>
            <w:r>
              <w:rPr>
                <w:rFonts w:ascii="Segoe UI" w:hAnsi="Segoe UI"/>
                <w:color w:val="334155"/>
                <w:sz w:val="18"/>
              </w:rPr>
              <w:t>Exception Control Tower Alerts</w:t>
            </w:r>
          </w:p>
        </w:tc>
        <w:tc>
          <w:tcPr>
            <w:tcW w:type="dxa" w:w="4752"/>
            <w:shd w:fill="F8FAFC"/>
            <w:tcMar>
              <w:top w:w="100" w:type="dxa"/>
              <w:bottom w:w="100" w:type="dxa"/>
              <w:left w:w="140" w:type="dxa"/>
              <w:right w:w="140" w:type="dxa"/>
            </w:tcMar>
            <w:tcBorders>
              <w:top w:val="none"/>
              <w:left w:val="none"/>
              <w:bottom w:val="single" w:sz="4" w:space="0" w:color="CBD5E1"/>
              <w:right w:val="none"/>
            </w:tcBorders>
          </w:tcPr>
          <w:p>
            <w:pPr>
              <w:spacing w:before="0" w:after="0" w:line="269" w:lineRule="auto"/>
            </w:pPr>
            <w:r>
              <w:rPr>
                <w:rFonts w:ascii="Segoe UI" w:hAnsi="Segoe UI"/>
                <w:color w:val="334155"/>
                <w:sz w:val="18"/>
              </w:rPr>
              <w:t>Global operational alerts categorized by severity (Critical, Warning, Info) and ownership.</w:t>
            </w:r>
          </w:p>
        </w:tc>
      </w:tr>
      <w:tr>
        <w:tc>
          <w:tcPr>
            <w:tcW w:type="dxa" w:w="2592"/>
            <w:shd w:fill="FFFFFF"/>
            <w:tcMar>
              <w:top w:w="100" w:type="dxa"/>
              <w:bottom w:w="100" w:type="dxa"/>
              <w:left w:w="140" w:type="dxa"/>
              <w:right w:w="140" w:type="dxa"/>
            </w:tcMar>
            <w:tcBorders>
              <w:top w:val="none"/>
              <w:left w:val="none"/>
              <w:bottom w:val="single" w:sz="4" w:space="0" w:color="CBD5E1"/>
              <w:right w:val="none"/>
            </w:tcBorders>
          </w:tcPr>
          <w:p>
            <w:pPr>
              <w:spacing w:before="0" w:after="0" w:line="269" w:lineRule="auto"/>
            </w:pPr>
            <w:r>
              <w:rPr>
                <w:rFonts w:ascii="Segoe UI" w:hAnsi="Segoe UI"/>
                <w:color w:val="334155"/>
                <w:sz w:val="18"/>
              </w:rPr>
              <w:t>pm_schedules</w:t>
            </w:r>
          </w:p>
        </w:tc>
        <w:tc>
          <w:tcPr>
            <w:tcW w:type="dxa" w:w="2592"/>
            <w:shd w:fill="FFFFFF"/>
            <w:tcMar>
              <w:top w:w="100" w:type="dxa"/>
              <w:bottom w:w="100" w:type="dxa"/>
              <w:left w:w="140" w:type="dxa"/>
              <w:right w:w="140" w:type="dxa"/>
            </w:tcMar>
            <w:tcBorders>
              <w:top w:val="none"/>
              <w:left w:val="none"/>
              <w:bottom w:val="single" w:sz="4" w:space="0" w:color="CBD5E1"/>
              <w:right w:val="none"/>
            </w:tcBorders>
          </w:tcPr>
          <w:p>
            <w:pPr>
              <w:spacing w:before="0" w:after="0" w:line="269" w:lineRule="auto"/>
            </w:pPr>
            <w:r>
              <w:rPr>
                <w:rFonts w:ascii="Segoe UI" w:hAnsi="Segoe UI"/>
                <w:color w:val="334155"/>
                <w:sz w:val="18"/>
              </w:rPr>
              <w:t>Daily Shift Allocations</w:t>
            </w:r>
          </w:p>
        </w:tc>
        <w:tc>
          <w:tcPr>
            <w:tcW w:type="dxa" w:w="4752"/>
            <w:shd w:fill="FFFFFF"/>
            <w:tcMar>
              <w:top w:w="100" w:type="dxa"/>
              <w:bottom w:w="100" w:type="dxa"/>
              <w:left w:w="140" w:type="dxa"/>
              <w:right w:w="140" w:type="dxa"/>
            </w:tcMar>
            <w:tcBorders>
              <w:top w:val="none"/>
              <w:left w:val="none"/>
              <w:bottom w:val="single" w:sz="4" w:space="0" w:color="CBD5E1"/>
              <w:right w:val="none"/>
            </w:tcBorders>
          </w:tcPr>
          <w:p>
            <w:pPr>
              <w:spacing w:before="0" w:after="0" w:line="269" w:lineRule="auto"/>
            </w:pPr>
            <w:r>
              <w:rPr>
                <w:rFonts w:ascii="Segoe UI" w:hAnsi="Segoe UI"/>
                <w:color w:val="334155"/>
                <w:sz w:val="18"/>
              </w:rPr>
              <w:t>Detailed operational shift allocations mapping teams to lines.</w:t>
            </w:r>
          </w:p>
        </w:tc>
      </w:tr>
    </w:tbl>
    <w:p>
      <w:pPr>
        <w:spacing w:before="40" w:after="120"/>
      </w:pPr>
    </w:p>
    <w:p>
      <w:pPr>
        <w:pStyle w:val="Heading2"/>
        <w:keepNext/>
        <w:spacing w:before="280" w:after="80"/>
      </w:pPr>
      <w:r>
        <w:rPr>
          <w:rFonts w:ascii="Segoe UI" w:hAnsi="Segoe UI"/>
          <w:b/>
          <w:color w:val="1E3A8A"/>
          <w:sz w:val="26"/>
        </w:rPr>
        <w:t>6.7 Continuous Improvement (CI) &amp; Lean Engineering (11 Tables)</w:t>
      </w:r>
    </w:p>
    <w:tbl>
      <w:tblPr>
        <w:tblW w:type="auto" w:w="0"/>
        <w:jc w:val="center"/>
        <w:tblLayout w:type="fixed"/>
        <w:tblLook w:firstColumn="1" w:firstRow="1" w:lastColumn="0" w:lastRow="0" w:noHBand="0" w:noVBand="1" w:val="04A0"/>
      </w:tblPr>
      <w:tblGrid>
        <w:gridCol w:w="3312"/>
        <w:gridCol w:w="3312"/>
        <w:gridCol w:w="3312"/>
      </w:tblGrid>
      <w:tr>
        <w:tc>
          <w:tcPr>
            <w:tcW w:type="dxa" w:w="2592"/>
            <w:shd w:fill="0F172A"/>
            <w:tcMar>
              <w:top w:w="130" w:type="dxa"/>
              <w:bottom w:w="130" w:type="dxa"/>
              <w:left w:w="140" w:type="dxa"/>
              <w:right w:w="140" w:type="dxa"/>
            </w:tcMar>
            <w:tcBorders>
              <w:top w:val="single" w:sz="4" w:space="0" w:color="0F172A"/>
              <w:left w:val="none"/>
              <w:bottom w:val="single" w:sz="10" w:space="0" w:color="C89547"/>
              <w:right w:val="none"/>
            </w:tcBorders>
          </w:tcPr>
          <w:p>
            <w:pPr>
              <w:spacing w:before="0" w:after="0"/>
            </w:pPr>
            <w:r>
              <w:rPr>
                <w:rFonts w:ascii="Segoe UI" w:hAnsi="Segoe UI"/>
                <w:b/>
                <w:color w:val="FFFFFF"/>
                <w:sz w:val="19"/>
              </w:rPr>
              <w:t>Database Table</w:t>
            </w:r>
          </w:p>
        </w:tc>
        <w:tc>
          <w:tcPr>
            <w:tcW w:type="dxa" w:w="2592"/>
            <w:shd w:fill="0F172A"/>
            <w:tcMar>
              <w:top w:w="130" w:type="dxa"/>
              <w:bottom w:w="130" w:type="dxa"/>
              <w:left w:w="140" w:type="dxa"/>
              <w:right w:w="140" w:type="dxa"/>
            </w:tcMar>
            <w:tcBorders>
              <w:top w:val="single" w:sz="4" w:space="0" w:color="0F172A"/>
              <w:left w:val="none"/>
              <w:bottom w:val="single" w:sz="10" w:space="0" w:color="C89547"/>
              <w:right w:val="none"/>
            </w:tcBorders>
          </w:tcPr>
          <w:p>
            <w:pPr>
              <w:spacing w:before="0" w:after="0"/>
            </w:pPr>
            <w:r>
              <w:rPr>
                <w:rFonts w:ascii="Segoe UI" w:hAnsi="Segoe UI"/>
                <w:b/>
                <w:color w:val="FFFFFF"/>
                <w:sz w:val="19"/>
              </w:rPr>
              <w:t>Functional Entity Name</w:t>
            </w:r>
          </w:p>
        </w:tc>
        <w:tc>
          <w:tcPr>
            <w:tcW w:type="dxa" w:w="4752"/>
            <w:shd w:fill="0F172A"/>
            <w:tcMar>
              <w:top w:w="130" w:type="dxa"/>
              <w:bottom w:w="130" w:type="dxa"/>
              <w:left w:w="140" w:type="dxa"/>
              <w:right w:w="140" w:type="dxa"/>
            </w:tcMar>
            <w:tcBorders>
              <w:top w:val="single" w:sz="4" w:space="0" w:color="0F172A"/>
              <w:left w:val="none"/>
              <w:bottom w:val="single" w:sz="10" w:space="0" w:color="C89547"/>
              <w:right w:val="none"/>
            </w:tcBorders>
          </w:tcPr>
          <w:p>
            <w:pPr>
              <w:spacing w:before="0" w:after="0"/>
            </w:pPr>
            <w:r>
              <w:rPr>
                <w:rFonts w:ascii="Segoe UI" w:hAnsi="Segoe UI"/>
                <w:b/>
                <w:color w:val="FFFFFF"/>
                <w:sz w:val="19"/>
              </w:rPr>
              <w:t>Operational Purpose &amp; Records Stored</w:t>
            </w:r>
          </w:p>
        </w:tc>
      </w:tr>
      <w:tr>
        <w:tc>
          <w:tcPr>
            <w:tcW w:type="dxa" w:w="2592"/>
            <w:shd w:fill="FFFFFF"/>
            <w:tcMar>
              <w:top w:w="100" w:type="dxa"/>
              <w:bottom w:w="100" w:type="dxa"/>
              <w:left w:w="140" w:type="dxa"/>
              <w:right w:w="140" w:type="dxa"/>
            </w:tcMar>
            <w:tcBorders>
              <w:top w:val="none"/>
              <w:left w:val="none"/>
              <w:bottom w:val="single" w:sz="4" w:space="0" w:color="CBD5E1"/>
              <w:right w:val="none"/>
            </w:tcBorders>
          </w:tcPr>
          <w:p>
            <w:pPr>
              <w:spacing w:before="0" w:after="0" w:line="269" w:lineRule="auto"/>
            </w:pPr>
            <w:r>
              <w:rPr>
                <w:rFonts w:ascii="Segoe UI" w:hAnsi="Segoe UI"/>
                <w:color w:val="334155"/>
                <w:sz w:val="18"/>
              </w:rPr>
              <w:t>ci_reliability_records</w:t>
            </w:r>
          </w:p>
        </w:tc>
        <w:tc>
          <w:tcPr>
            <w:tcW w:type="dxa" w:w="2592"/>
            <w:shd w:fill="FFFFFF"/>
            <w:tcMar>
              <w:top w:w="100" w:type="dxa"/>
              <w:bottom w:w="100" w:type="dxa"/>
              <w:left w:w="140" w:type="dxa"/>
              <w:right w:w="140" w:type="dxa"/>
            </w:tcMar>
            <w:tcBorders>
              <w:top w:val="none"/>
              <w:left w:val="none"/>
              <w:bottom w:val="single" w:sz="4" w:space="0" w:color="CBD5E1"/>
              <w:right w:val="none"/>
            </w:tcBorders>
          </w:tcPr>
          <w:p>
            <w:pPr>
              <w:spacing w:before="0" w:after="0" w:line="269" w:lineRule="auto"/>
            </w:pPr>
            <w:r>
              <w:rPr>
                <w:rFonts w:ascii="Segoe UI" w:hAnsi="Segoe UI"/>
                <w:color w:val="334155"/>
                <w:sz w:val="18"/>
              </w:rPr>
              <w:t>Asset Reliability Metrics</w:t>
            </w:r>
          </w:p>
        </w:tc>
        <w:tc>
          <w:tcPr>
            <w:tcW w:type="dxa" w:w="4752"/>
            <w:shd w:fill="FFFFFF"/>
            <w:tcMar>
              <w:top w:w="100" w:type="dxa"/>
              <w:bottom w:w="100" w:type="dxa"/>
              <w:left w:w="140" w:type="dxa"/>
              <w:right w:w="140" w:type="dxa"/>
            </w:tcMar>
            <w:tcBorders>
              <w:top w:val="none"/>
              <w:left w:val="none"/>
              <w:bottom w:val="single" w:sz="4" w:space="0" w:color="CBD5E1"/>
              <w:right w:val="none"/>
            </w:tcBorders>
          </w:tcPr>
          <w:p>
            <w:pPr>
              <w:spacing w:before="0" w:after="0" w:line="269" w:lineRule="auto"/>
            </w:pPr>
            <w:r>
              <w:rPr>
                <w:rFonts w:ascii="Segoe UI" w:hAnsi="Segoe UI"/>
                <w:color w:val="334155"/>
                <w:sz w:val="18"/>
              </w:rPr>
              <w:t>Asset MTBF, MTTR, failure frequency, and bad-actor classification for equipment.</w:t>
            </w:r>
          </w:p>
        </w:tc>
      </w:tr>
      <w:tr>
        <w:tc>
          <w:tcPr>
            <w:tcW w:type="dxa" w:w="2592"/>
            <w:shd w:fill="F8FAFC"/>
            <w:tcMar>
              <w:top w:w="100" w:type="dxa"/>
              <w:bottom w:w="100" w:type="dxa"/>
              <w:left w:w="140" w:type="dxa"/>
              <w:right w:w="140" w:type="dxa"/>
            </w:tcMar>
            <w:tcBorders>
              <w:top w:val="none"/>
              <w:left w:val="none"/>
              <w:bottom w:val="single" w:sz="4" w:space="0" w:color="CBD5E1"/>
              <w:right w:val="none"/>
            </w:tcBorders>
          </w:tcPr>
          <w:p>
            <w:pPr>
              <w:spacing w:before="0" w:after="0" w:line="269" w:lineRule="auto"/>
            </w:pPr>
            <w:r>
              <w:rPr>
                <w:rFonts w:ascii="Segoe UI" w:hAnsi="Segoe UI"/>
                <w:color w:val="334155"/>
                <w:sz w:val="18"/>
              </w:rPr>
              <w:t>ci_rca_investigations</w:t>
            </w:r>
          </w:p>
        </w:tc>
        <w:tc>
          <w:tcPr>
            <w:tcW w:type="dxa" w:w="2592"/>
            <w:shd w:fill="F8FAFC"/>
            <w:tcMar>
              <w:top w:w="100" w:type="dxa"/>
              <w:bottom w:w="100" w:type="dxa"/>
              <w:left w:w="140" w:type="dxa"/>
              <w:right w:w="140" w:type="dxa"/>
            </w:tcMar>
            <w:tcBorders>
              <w:top w:val="none"/>
              <w:left w:val="none"/>
              <w:bottom w:val="single" w:sz="4" w:space="0" w:color="CBD5E1"/>
              <w:right w:val="none"/>
            </w:tcBorders>
          </w:tcPr>
          <w:p>
            <w:pPr>
              <w:spacing w:before="0" w:after="0" w:line="269" w:lineRule="auto"/>
            </w:pPr>
            <w:r>
              <w:rPr>
                <w:rFonts w:ascii="Segoe UI" w:hAnsi="Segoe UI"/>
                <w:color w:val="334155"/>
                <w:sz w:val="18"/>
              </w:rPr>
              <w:t>Root Cause Analysis (RCA)</w:t>
            </w:r>
          </w:p>
        </w:tc>
        <w:tc>
          <w:tcPr>
            <w:tcW w:type="dxa" w:w="4752"/>
            <w:shd w:fill="F8FAFC"/>
            <w:tcMar>
              <w:top w:w="100" w:type="dxa"/>
              <w:bottom w:w="100" w:type="dxa"/>
              <w:left w:w="140" w:type="dxa"/>
              <w:right w:w="140" w:type="dxa"/>
            </w:tcMar>
            <w:tcBorders>
              <w:top w:val="none"/>
              <w:left w:val="none"/>
              <w:bottom w:val="single" w:sz="4" w:space="0" w:color="CBD5E1"/>
              <w:right w:val="none"/>
            </w:tcBorders>
          </w:tcPr>
          <w:p>
            <w:pPr>
              <w:spacing w:before="0" w:after="0" w:line="269" w:lineRule="auto"/>
            </w:pPr>
            <w:r>
              <w:rPr>
                <w:rFonts w:ascii="Segoe UI" w:hAnsi="Segoe UI"/>
                <w:color w:val="334155"/>
                <w:sz w:val="18"/>
              </w:rPr>
              <w:t>5-Why trees and 8D problem-solving investigation workspaces linked to line breakdowns.</w:t>
            </w:r>
          </w:p>
        </w:tc>
      </w:tr>
      <w:tr>
        <w:tc>
          <w:tcPr>
            <w:tcW w:type="dxa" w:w="2592"/>
            <w:shd w:fill="FFFFFF"/>
            <w:tcMar>
              <w:top w:w="100" w:type="dxa"/>
              <w:bottom w:w="100" w:type="dxa"/>
              <w:left w:w="140" w:type="dxa"/>
              <w:right w:w="140" w:type="dxa"/>
            </w:tcMar>
            <w:tcBorders>
              <w:top w:val="none"/>
              <w:left w:val="none"/>
              <w:bottom w:val="single" w:sz="4" w:space="0" w:color="CBD5E1"/>
              <w:right w:val="none"/>
            </w:tcBorders>
          </w:tcPr>
          <w:p>
            <w:pPr>
              <w:spacing w:before="0" w:after="0" w:line="269" w:lineRule="auto"/>
            </w:pPr>
            <w:r>
              <w:rPr>
                <w:rFonts w:ascii="Segoe UI" w:hAnsi="Segoe UI"/>
                <w:color w:val="334155"/>
                <w:sz w:val="18"/>
              </w:rPr>
              <w:t>ci_rca_evidence</w:t>
            </w:r>
          </w:p>
        </w:tc>
        <w:tc>
          <w:tcPr>
            <w:tcW w:type="dxa" w:w="2592"/>
            <w:shd w:fill="FFFFFF"/>
            <w:tcMar>
              <w:top w:w="100" w:type="dxa"/>
              <w:bottom w:w="100" w:type="dxa"/>
              <w:left w:w="140" w:type="dxa"/>
              <w:right w:w="140" w:type="dxa"/>
            </w:tcMar>
            <w:tcBorders>
              <w:top w:val="none"/>
              <w:left w:val="none"/>
              <w:bottom w:val="single" w:sz="4" w:space="0" w:color="CBD5E1"/>
              <w:right w:val="none"/>
            </w:tcBorders>
          </w:tcPr>
          <w:p>
            <w:pPr>
              <w:spacing w:before="0" w:after="0" w:line="269" w:lineRule="auto"/>
            </w:pPr>
            <w:r>
              <w:rPr>
                <w:rFonts w:ascii="Segoe UI" w:hAnsi="Segoe UI"/>
                <w:color w:val="334155"/>
                <w:sz w:val="18"/>
              </w:rPr>
              <w:t>Investigation Evidence Files</w:t>
            </w:r>
          </w:p>
        </w:tc>
        <w:tc>
          <w:tcPr>
            <w:tcW w:type="dxa" w:w="4752"/>
            <w:shd w:fill="FFFFFF"/>
            <w:tcMar>
              <w:top w:w="100" w:type="dxa"/>
              <w:bottom w:w="100" w:type="dxa"/>
              <w:left w:w="140" w:type="dxa"/>
              <w:right w:w="140" w:type="dxa"/>
            </w:tcMar>
            <w:tcBorders>
              <w:top w:val="none"/>
              <w:left w:val="none"/>
              <w:bottom w:val="single" w:sz="4" w:space="0" w:color="CBD5E1"/>
              <w:right w:val="none"/>
            </w:tcBorders>
          </w:tcPr>
          <w:p>
            <w:pPr>
              <w:spacing w:before="0" w:after="0" w:line="269" w:lineRule="auto"/>
            </w:pPr>
            <w:r>
              <w:rPr>
                <w:rFonts w:ascii="Segoe UI" w:hAnsi="Segoe UI"/>
                <w:color w:val="334155"/>
                <w:sz w:val="18"/>
              </w:rPr>
              <w:t>Attached telemetry logs, photos, vibration traces, and lab test results for RCA cases.</w:t>
            </w:r>
          </w:p>
        </w:tc>
      </w:tr>
      <w:tr>
        <w:tc>
          <w:tcPr>
            <w:tcW w:type="dxa" w:w="2592"/>
            <w:shd w:fill="F8FAFC"/>
            <w:tcMar>
              <w:top w:w="100" w:type="dxa"/>
              <w:bottom w:w="100" w:type="dxa"/>
              <w:left w:w="140" w:type="dxa"/>
              <w:right w:w="140" w:type="dxa"/>
            </w:tcMar>
            <w:tcBorders>
              <w:top w:val="none"/>
              <w:left w:val="none"/>
              <w:bottom w:val="single" w:sz="4" w:space="0" w:color="CBD5E1"/>
              <w:right w:val="none"/>
            </w:tcBorders>
          </w:tcPr>
          <w:p>
            <w:pPr>
              <w:spacing w:before="0" w:after="0" w:line="269" w:lineRule="auto"/>
            </w:pPr>
            <w:r>
              <w:rPr>
                <w:rFonts w:ascii="Segoe UI" w:hAnsi="Segoe UI"/>
                <w:color w:val="334155"/>
                <w:sz w:val="18"/>
              </w:rPr>
              <w:t>ci_rca_hypotheses</w:t>
            </w:r>
          </w:p>
        </w:tc>
        <w:tc>
          <w:tcPr>
            <w:tcW w:type="dxa" w:w="2592"/>
            <w:shd w:fill="F8FAFC"/>
            <w:tcMar>
              <w:top w:w="100" w:type="dxa"/>
              <w:bottom w:w="100" w:type="dxa"/>
              <w:left w:w="140" w:type="dxa"/>
              <w:right w:w="140" w:type="dxa"/>
            </w:tcMar>
            <w:tcBorders>
              <w:top w:val="none"/>
              <w:left w:val="none"/>
              <w:bottom w:val="single" w:sz="4" w:space="0" w:color="CBD5E1"/>
              <w:right w:val="none"/>
            </w:tcBorders>
          </w:tcPr>
          <w:p>
            <w:pPr>
              <w:spacing w:before="0" w:after="0" w:line="269" w:lineRule="auto"/>
            </w:pPr>
            <w:r>
              <w:rPr>
                <w:rFonts w:ascii="Segoe UI" w:hAnsi="Segoe UI"/>
                <w:color w:val="334155"/>
                <w:sz w:val="18"/>
              </w:rPr>
              <w:t>RCA Hypothesis Testing</w:t>
            </w:r>
          </w:p>
        </w:tc>
        <w:tc>
          <w:tcPr>
            <w:tcW w:type="dxa" w:w="4752"/>
            <w:shd w:fill="F8FAFC"/>
            <w:tcMar>
              <w:top w:w="100" w:type="dxa"/>
              <w:bottom w:w="100" w:type="dxa"/>
              <w:left w:w="140" w:type="dxa"/>
              <w:right w:w="140" w:type="dxa"/>
            </w:tcMar>
            <w:tcBorders>
              <w:top w:val="none"/>
              <w:left w:val="none"/>
              <w:bottom w:val="single" w:sz="4" w:space="0" w:color="CBD5E1"/>
              <w:right w:val="none"/>
            </w:tcBorders>
          </w:tcPr>
          <w:p>
            <w:pPr>
              <w:spacing w:before="0" w:after="0" w:line="269" w:lineRule="auto"/>
            </w:pPr>
            <w:r>
              <w:rPr>
                <w:rFonts w:ascii="Segoe UI" w:hAnsi="Segoe UI"/>
                <w:color w:val="334155"/>
                <w:sz w:val="18"/>
              </w:rPr>
              <w:t>Formulated failure hypotheses with testing methodology and validation states.</w:t>
            </w:r>
          </w:p>
        </w:tc>
      </w:tr>
      <w:tr>
        <w:tc>
          <w:tcPr>
            <w:tcW w:type="dxa" w:w="2592"/>
            <w:shd w:fill="FFFFFF"/>
            <w:tcMar>
              <w:top w:w="100" w:type="dxa"/>
              <w:bottom w:w="100" w:type="dxa"/>
              <w:left w:w="140" w:type="dxa"/>
              <w:right w:w="140" w:type="dxa"/>
            </w:tcMar>
            <w:tcBorders>
              <w:top w:val="none"/>
              <w:left w:val="none"/>
              <w:bottom w:val="single" w:sz="4" w:space="0" w:color="CBD5E1"/>
              <w:right w:val="none"/>
            </w:tcBorders>
          </w:tcPr>
          <w:p>
            <w:pPr>
              <w:spacing w:before="0" w:after="0" w:line="269" w:lineRule="auto"/>
            </w:pPr>
            <w:r>
              <w:rPr>
                <w:rFonts w:ascii="Segoe UI" w:hAnsi="Segoe UI"/>
                <w:color w:val="334155"/>
                <w:sz w:val="18"/>
              </w:rPr>
              <w:t>ci_capa_actions</w:t>
            </w:r>
          </w:p>
        </w:tc>
        <w:tc>
          <w:tcPr>
            <w:tcW w:type="dxa" w:w="2592"/>
            <w:shd w:fill="FFFFFF"/>
            <w:tcMar>
              <w:top w:w="100" w:type="dxa"/>
              <w:bottom w:w="100" w:type="dxa"/>
              <w:left w:w="140" w:type="dxa"/>
              <w:right w:w="140" w:type="dxa"/>
            </w:tcMar>
            <w:tcBorders>
              <w:top w:val="none"/>
              <w:left w:val="none"/>
              <w:bottom w:val="single" w:sz="4" w:space="0" w:color="CBD5E1"/>
              <w:right w:val="none"/>
            </w:tcBorders>
          </w:tcPr>
          <w:p>
            <w:pPr>
              <w:spacing w:before="0" w:after="0" w:line="269" w:lineRule="auto"/>
            </w:pPr>
            <w:r>
              <w:rPr>
                <w:rFonts w:ascii="Segoe UI" w:hAnsi="Segoe UI"/>
                <w:color w:val="334155"/>
                <w:sz w:val="18"/>
              </w:rPr>
              <w:t>Corrective &amp; Preventive Actions</w:t>
            </w:r>
          </w:p>
        </w:tc>
        <w:tc>
          <w:tcPr>
            <w:tcW w:type="dxa" w:w="4752"/>
            <w:shd w:fill="FFFFFF"/>
            <w:tcMar>
              <w:top w:w="100" w:type="dxa"/>
              <w:bottom w:w="100" w:type="dxa"/>
              <w:left w:w="140" w:type="dxa"/>
              <w:right w:w="140" w:type="dxa"/>
            </w:tcMar>
            <w:tcBorders>
              <w:top w:val="none"/>
              <w:left w:val="none"/>
              <w:bottom w:val="single" w:sz="4" w:space="0" w:color="CBD5E1"/>
              <w:right w:val="none"/>
            </w:tcBorders>
          </w:tcPr>
          <w:p>
            <w:pPr>
              <w:spacing w:before="0" w:after="0" w:line="269" w:lineRule="auto"/>
            </w:pPr>
            <w:r>
              <w:rPr>
                <w:rFonts w:ascii="Segoe UI" w:hAnsi="Segoe UI"/>
                <w:color w:val="334155"/>
                <w:sz w:val="18"/>
              </w:rPr>
              <w:t>CAPA action plans with assigned owners, implementation deadlines, and effectiveness scores.</w:t>
            </w:r>
          </w:p>
        </w:tc>
      </w:tr>
      <w:tr>
        <w:tc>
          <w:tcPr>
            <w:tcW w:type="dxa" w:w="2592"/>
            <w:shd w:fill="F8FAFC"/>
            <w:tcMar>
              <w:top w:w="100" w:type="dxa"/>
              <w:bottom w:w="100" w:type="dxa"/>
              <w:left w:w="140" w:type="dxa"/>
              <w:right w:w="140" w:type="dxa"/>
            </w:tcMar>
            <w:tcBorders>
              <w:top w:val="none"/>
              <w:left w:val="none"/>
              <w:bottom w:val="single" w:sz="4" w:space="0" w:color="CBD5E1"/>
              <w:right w:val="none"/>
            </w:tcBorders>
          </w:tcPr>
          <w:p>
            <w:pPr>
              <w:spacing w:before="0" w:after="0" w:line="269" w:lineRule="auto"/>
            </w:pPr>
            <w:r>
              <w:rPr>
                <w:rFonts w:ascii="Segoe UI" w:hAnsi="Segoe UI"/>
                <w:color w:val="334155"/>
                <w:sz w:val="18"/>
              </w:rPr>
              <w:t>ci_verified_solutions</w:t>
            </w:r>
          </w:p>
        </w:tc>
        <w:tc>
          <w:tcPr>
            <w:tcW w:type="dxa" w:w="2592"/>
            <w:shd w:fill="F8FAFC"/>
            <w:tcMar>
              <w:top w:w="100" w:type="dxa"/>
              <w:bottom w:w="100" w:type="dxa"/>
              <w:left w:w="140" w:type="dxa"/>
              <w:right w:w="140" w:type="dxa"/>
            </w:tcMar>
            <w:tcBorders>
              <w:top w:val="none"/>
              <w:left w:val="none"/>
              <w:bottom w:val="single" w:sz="4" w:space="0" w:color="CBD5E1"/>
              <w:right w:val="none"/>
            </w:tcBorders>
          </w:tcPr>
          <w:p>
            <w:pPr>
              <w:spacing w:before="0" w:after="0" w:line="269" w:lineRule="auto"/>
            </w:pPr>
            <w:r>
              <w:rPr>
                <w:rFonts w:ascii="Segoe UI" w:hAnsi="Segoe UI"/>
                <w:color w:val="334155"/>
                <w:sz w:val="18"/>
              </w:rPr>
              <w:t>Proven Countermeasure Library</w:t>
            </w:r>
          </w:p>
        </w:tc>
        <w:tc>
          <w:tcPr>
            <w:tcW w:type="dxa" w:w="4752"/>
            <w:shd w:fill="F8FAFC"/>
            <w:tcMar>
              <w:top w:w="100" w:type="dxa"/>
              <w:bottom w:w="100" w:type="dxa"/>
              <w:left w:w="140" w:type="dxa"/>
              <w:right w:w="140" w:type="dxa"/>
            </w:tcMar>
            <w:tcBorders>
              <w:top w:val="none"/>
              <w:left w:val="none"/>
              <w:bottom w:val="single" w:sz="4" w:space="0" w:color="CBD5E1"/>
              <w:right w:val="none"/>
            </w:tcBorders>
          </w:tcPr>
          <w:p>
            <w:pPr>
              <w:spacing w:before="0" w:after="0" w:line="269" w:lineRule="auto"/>
            </w:pPr>
            <w:r>
              <w:rPr>
                <w:rFonts w:ascii="Segoe UI" w:hAnsi="Segoe UI"/>
                <w:color w:val="334155"/>
                <w:sz w:val="18"/>
              </w:rPr>
              <w:t>Validated solutions with verified annual cost savings ($) and cross-plant replication.</w:t>
            </w:r>
          </w:p>
        </w:tc>
      </w:tr>
      <w:tr>
        <w:tc>
          <w:tcPr>
            <w:tcW w:type="dxa" w:w="2592"/>
            <w:shd w:fill="FFFFFF"/>
            <w:tcMar>
              <w:top w:w="100" w:type="dxa"/>
              <w:bottom w:w="100" w:type="dxa"/>
              <w:left w:w="140" w:type="dxa"/>
              <w:right w:w="140" w:type="dxa"/>
            </w:tcMar>
            <w:tcBorders>
              <w:top w:val="none"/>
              <w:left w:val="none"/>
              <w:bottom w:val="single" w:sz="4" w:space="0" w:color="CBD5E1"/>
              <w:right w:val="none"/>
            </w:tcBorders>
          </w:tcPr>
          <w:p>
            <w:pPr>
              <w:spacing w:before="0" w:after="0" w:line="269" w:lineRule="auto"/>
            </w:pPr>
            <w:r>
              <w:rPr>
                <w:rFonts w:ascii="Segoe UI" w:hAnsi="Segoe UI"/>
                <w:color w:val="334155"/>
                <w:sz w:val="18"/>
              </w:rPr>
              <w:t>ci_standards</w:t>
            </w:r>
          </w:p>
        </w:tc>
        <w:tc>
          <w:tcPr>
            <w:tcW w:type="dxa" w:w="2592"/>
            <w:shd w:fill="FFFFFF"/>
            <w:tcMar>
              <w:top w:w="100" w:type="dxa"/>
              <w:bottom w:w="100" w:type="dxa"/>
              <w:left w:w="140" w:type="dxa"/>
              <w:right w:w="140" w:type="dxa"/>
            </w:tcMar>
            <w:tcBorders>
              <w:top w:val="none"/>
              <w:left w:val="none"/>
              <w:bottom w:val="single" w:sz="4" w:space="0" w:color="CBD5E1"/>
              <w:right w:val="none"/>
            </w:tcBorders>
          </w:tcPr>
          <w:p>
            <w:pPr>
              <w:spacing w:before="0" w:after="0" w:line="269" w:lineRule="auto"/>
            </w:pPr>
            <w:r>
              <w:rPr>
                <w:rFonts w:ascii="Segoe UI" w:hAnsi="Segoe UI"/>
                <w:color w:val="334155"/>
                <w:sz w:val="18"/>
              </w:rPr>
              <w:t>Standard Operating Procedures</w:t>
            </w:r>
          </w:p>
        </w:tc>
        <w:tc>
          <w:tcPr>
            <w:tcW w:type="dxa" w:w="4752"/>
            <w:shd w:fill="FFFFFF"/>
            <w:tcMar>
              <w:top w:w="100" w:type="dxa"/>
              <w:bottom w:w="100" w:type="dxa"/>
              <w:left w:w="140" w:type="dxa"/>
              <w:right w:w="140" w:type="dxa"/>
            </w:tcMar>
            <w:tcBorders>
              <w:top w:val="none"/>
              <w:left w:val="none"/>
              <w:bottom w:val="single" w:sz="4" w:space="0" w:color="CBD5E1"/>
              <w:right w:val="none"/>
            </w:tcBorders>
          </w:tcPr>
          <w:p>
            <w:pPr>
              <w:spacing w:before="0" w:after="0" w:line="269" w:lineRule="auto"/>
            </w:pPr>
            <w:r>
              <w:rPr>
                <w:rFonts w:ascii="Segoe UI" w:hAnsi="Segoe UI"/>
                <w:color w:val="334155"/>
                <w:sz w:val="18"/>
              </w:rPr>
              <w:t>Standard Operating Procedures (SOPs), One-Point Lessons (OPLs), and work instructions.</w:t>
            </w:r>
          </w:p>
        </w:tc>
      </w:tr>
      <w:tr>
        <w:tc>
          <w:tcPr>
            <w:tcW w:type="dxa" w:w="2592"/>
            <w:shd w:fill="F8FAFC"/>
            <w:tcMar>
              <w:top w:w="100" w:type="dxa"/>
              <w:bottom w:w="100" w:type="dxa"/>
              <w:left w:w="140" w:type="dxa"/>
              <w:right w:w="140" w:type="dxa"/>
            </w:tcMar>
            <w:tcBorders>
              <w:top w:val="none"/>
              <w:left w:val="none"/>
              <w:bottom w:val="single" w:sz="4" w:space="0" w:color="CBD5E1"/>
              <w:right w:val="none"/>
            </w:tcBorders>
          </w:tcPr>
          <w:p>
            <w:pPr>
              <w:spacing w:before="0" w:after="0" w:line="269" w:lineRule="auto"/>
            </w:pPr>
            <w:r>
              <w:rPr>
                <w:rFonts w:ascii="Segoe UI" w:hAnsi="Segoe UI"/>
                <w:color w:val="334155"/>
                <w:sz w:val="18"/>
              </w:rPr>
              <w:t>ci_capex_projects</w:t>
            </w:r>
          </w:p>
        </w:tc>
        <w:tc>
          <w:tcPr>
            <w:tcW w:type="dxa" w:w="2592"/>
            <w:shd w:fill="F8FAFC"/>
            <w:tcMar>
              <w:top w:w="100" w:type="dxa"/>
              <w:bottom w:w="100" w:type="dxa"/>
              <w:left w:w="140" w:type="dxa"/>
              <w:right w:w="140" w:type="dxa"/>
            </w:tcMar>
            <w:tcBorders>
              <w:top w:val="none"/>
              <w:left w:val="none"/>
              <w:bottom w:val="single" w:sz="4" w:space="0" w:color="CBD5E1"/>
              <w:right w:val="none"/>
            </w:tcBorders>
          </w:tcPr>
          <w:p>
            <w:pPr>
              <w:spacing w:before="0" w:after="0" w:line="269" w:lineRule="auto"/>
            </w:pPr>
            <w:r>
              <w:rPr>
                <w:rFonts w:ascii="Segoe UI" w:hAnsi="Segoe UI"/>
                <w:color w:val="334155"/>
                <w:sz w:val="18"/>
              </w:rPr>
              <w:t>Capital Expenditure Proposals</w:t>
            </w:r>
          </w:p>
        </w:tc>
        <w:tc>
          <w:tcPr>
            <w:tcW w:type="dxa" w:w="4752"/>
            <w:shd w:fill="F8FAFC"/>
            <w:tcMar>
              <w:top w:w="100" w:type="dxa"/>
              <w:bottom w:w="100" w:type="dxa"/>
              <w:left w:w="140" w:type="dxa"/>
              <w:right w:w="140" w:type="dxa"/>
            </w:tcMar>
            <w:tcBorders>
              <w:top w:val="none"/>
              <w:left w:val="none"/>
              <w:bottom w:val="single" w:sz="4" w:space="0" w:color="CBD5E1"/>
              <w:right w:val="none"/>
            </w:tcBorders>
          </w:tcPr>
          <w:p>
            <w:pPr>
              <w:spacing w:before="0" w:after="0" w:line="269" w:lineRule="auto"/>
            </w:pPr>
            <w:r>
              <w:rPr>
                <w:rFonts w:ascii="Segoe UI" w:hAnsi="Segoe UI"/>
                <w:color w:val="334155"/>
                <w:sz w:val="18"/>
              </w:rPr>
              <w:t>Engineering CapEx business cases with Net Present Value (NPV) and payback periods.</w:t>
            </w:r>
          </w:p>
        </w:tc>
      </w:tr>
      <w:tr>
        <w:tc>
          <w:tcPr>
            <w:tcW w:type="dxa" w:w="2592"/>
            <w:shd w:fill="FFFFFF"/>
            <w:tcMar>
              <w:top w:w="100" w:type="dxa"/>
              <w:bottom w:w="100" w:type="dxa"/>
              <w:left w:w="140" w:type="dxa"/>
              <w:right w:w="140" w:type="dxa"/>
            </w:tcMar>
            <w:tcBorders>
              <w:top w:val="none"/>
              <w:left w:val="none"/>
              <w:bottom w:val="single" w:sz="4" w:space="0" w:color="CBD5E1"/>
              <w:right w:val="none"/>
            </w:tcBorders>
          </w:tcPr>
          <w:p>
            <w:pPr>
              <w:spacing w:before="0" w:after="0" w:line="269" w:lineRule="auto"/>
            </w:pPr>
            <w:r>
              <w:rPr>
                <w:rFonts w:ascii="Segoe UI" w:hAnsi="Segoe UI"/>
                <w:color w:val="334155"/>
                <w:sz w:val="18"/>
              </w:rPr>
              <w:t>ci_projects</w:t>
            </w:r>
          </w:p>
        </w:tc>
        <w:tc>
          <w:tcPr>
            <w:tcW w:type="dxa" w:w="2592"/>
            <w:shd w:fill="FFFFFF"/>
            <w:tcMar>
              <w:top w:w="100" w:type="dxa"/>
              <w:bottom w:w="100" w:type="dxa"/>
              <w:left w:w="140" w:type="dxa"/>
              <w:right w:w="140" w:type="dxa"/>
            </w:tcMar>
            <w:tcBorders>
              <w:top w:val="none"/>
              <w:left w:val="none"/>
              <w:bottom w:val="single" w:sz="4" w:space="0" w:color="CBD5E1"/>
              <w:right w:val="none"/>
            </w:tcBorders>
          </w:tcPr>
          <w:p>
            <w:pPr>
              <w:spacing w:before="0" w:after="0" w:line="269" w:lineRule="auto"/>
            </w:pPr>
            <w:r>
              <w:rPr>
                <w:rFonts w:ascii="Segoe UI" w:hAnsi="Segoe UI"/>
                <w:color w:val="334155"/>
                <w:sz w:val="18"/>
              </w:rPr>
              <w:t>Lean Six Sigma Projects</w:t>
            </w:r>
          </w:p>
        </w:tc>
        <w:tc>
          <w:tcPr>
            <w:tcW w:type="dxa" w:w="4752"/>
            <w:shd w:fill="FFFFFF"/>
            <w:tcMar>
              <w:top w:w="100" w:type="dxa"/>
              <w:bottom w:w="100" w:type="dxa"/>
              <w:left w:w="140" w:type="dxa"/>
              <w:right w:w="140" w:type="dxa"/>
            </w:tcMar>
            <w:tcBorders>
              <w:top w:val="none"/>
              <w:left w:val="none"/>
              <w:bottom w:val="single" w:sz="4" w:space="0" w:color="CBD5E1"/>
              <w:right w:val="none"/>
            </w:tcBorders>
          </w:tcPr>
          <w:p>
            <w:pPr>
              <w:spacing w:before="0" w:after="0" w:line="269" w:lineRule="auto"/>
            </w:pPr>
            <w:r>
              <w:rPr>
                <w:rFonts w:ascii="Segoe UI" w:hAnsi="Segoe UI"/>
                <w:color w:val="334155"/>
                <w:sz w:val="18"/>
              </w:rPr>
              <w:t>DMAIC improvement project pipeline tracking phase gates and dollar savings.</w:t>
            </w:r>
          </w:p>
        </w:tc>
      </w:tr>
      <w:tr>
        <w:tc>
          <w:tcPr>
            <w:tcW w:type="dxa" w:w="2592"/>
            <w:shd w:fill="F8FAFC"/>
            <w:tcMar>
              <w:top w:w="100" w:type="dxa"/>
              <w:bottom w:w="100" w:type="dxa"/>
              <w:left w:w="140" w:type="dxa"/>
              <w:right w:w="140" w:type="dxa"/>
            </w:tcMar>
            <w:tcBorders>
              <w:top w:val="none"/>
              <w:left w:val="none"/>
              <w:bottom w:val="single" w:sz="4" w:space="0" w:color="CBD5E1"/>
              <w:right w:val="none"/>
            </w:tcBorders>
          </w:tcPr>
          <w:p>
            <w:pPr>
              <w:spacing w:before="0" w:after="0" w:line="269" w:lineRule="auto"/>
            </w:pPr>
            <w:r>
              <w:rPr>
                <w:rFonts w:ascii="Segoe UI" w:hAnsi="Segoe UI"/>
                <w:color w:val="334155"/>
                <w:sz w:val="18"/>
              </w:rPr>
              <w:t>ci_losses</w:t>
            </w:r>
          </w:p>
        </w:tc>
        <w:tc>
          <w:tcPr>
            <w:tcW w:type="dxa" w:w="2592"/>
            <w:shd w:fill="F8FAFC"/>
            <w:tcMar>
              <w:top w:w="100" w:type="dxa"/>
              <w:bottom w:w="100" w:type="dxa"/>
              <w:left w:w="140" w:type="dxa"/>
              <w:right w:w="140" w:type="dxa"/>
            </w:tcMar>
            <w:tcBorders>
              <w:top w:val="none"/>
              <w:left w:val="none"/>
              <w:bottom w:val="single" w:sz="4" w:space="0" w:color="CBD5E1"/>
              <w:right w:val="none"/>
            </w:tcBorders>
          </w:tcPr>
          <w:p>
            <w:pPr>
              <w:spacing w:before="0" w:after="0" w:line="269" w:lineRule="auto"/>
            </w:pPr>
            <w:r>
              <w:rPr>
                <w:rFonts w:ascii="Segoe UI" w:hAnsi="Segoe UI"/>
                <w:color w:val="334155"/>
                <w:sz w:val="18"/>
              </w:rPr>
              <w:t>TPM Six Big Losses Logbook</w:t>
            </w:r>
          </w:p>
        </w:tc>
        <w:tc>
          <w:tcPr>
            <w:tcW w:type="dxa" w:w="4752"/>
            <w:shd w:fill="F8FAFC"/>
            <w:tcMar>
              <w:top w:w="100" w:type="dxa"/>
              <w:bottom w:w="100" w:type="dxa"/>
              <w:left w:w="140" w:type="dxa"/>
              <w:right w:w="140" w:type="dxa"/>
            </w:tcMar>
            <w:tcBorders>
              <w:top w:val="none"/>
              <w:left w:val="none"/>
              <w:bottom w:val="single" w:sz="4" w:space="0" w:color="CBD5E1"/>
              <w:right w:val="none"/>
            </w:tcBorders>
          </w:tcPr>
          <w:p>
            <w:pPr>
              <w:spacing w:before="0" w:after="0" w:line="269" w:lineRule="auto"/>
            </w:pPr>
            <w:r>
              <w:rPr>
                <w:rFonts w:ascii="Segoe UI" w:hAnsi="Segoe UI"/>
                <w:color w:val="334155"/>
                <w:sz w:val="18"/>
              </w:rPr>
              <w:t>Pareto loss tracking across Equipment Failure, Setup, Micro-Stops, Speed, Defects, Yield.</w:t>
            </w:r>
          </w:p>
        </w:tc>
      </w:tr>
      <w:tr>
        <w:tc>
          <w:tcPr>
            <w:tcW w:type="dxa" w:w="2592"/>
            <w:shd w:fill="FFFFFF"/>
            <w:tcMar>
              <w:top w:w="100" w:type="dxa"/>
              <w:bottom w:w="100" w:type="dxa"/>
              <w:left w:w="140" w:type="dxa"/>
              <w:right w:w="140" w:type="dxa"/>
            </w:tcMar>
            <w:tcBorders>
              <w:top w:val="none"/>
              <w:left w:val="none"/>
              <w:bottom w:val="single" w:sz="4" w:space="0" w:color="CBD5E1"/>
              <w:right w:val="none"/>
            </w:tcBorders>
          </w:tcPr>
          <w:p>
            <w:pPr>
              <w:spacing w:before="0" w:after="0" w:line="269" w:lineRule="auto"/>
            </w:pPr>
            <w:r>
              <w:rPr>
                <w:rFonts w:ascii="Segoe UI" w:hAnsi="Segoe UI"/>
                <w:color w:val="334155"/>
                <w:sz w:val="18"/>
              </w:rPr>
              <w:t>ci_ideas</w:t>
            </w:r>
          </w:p>
        </w:tc>
        <w:tc>
          <w:tcPr>
            <w:tcW w:type="dxa" w:w="2592"/>
            <w:shd w:fill="FFFFFF"/>
            <w:tcMar>
              <w:top w:w="100" w:type="dxa"/>
              <w:bottom w:w="100" w:type="dxa"/>
              <w:left w:w="140" w:type="dxa"/>
              <w:right w:w="140" w:type="dxa"/>
            </w:tcMar>
            <w:tcBorders>
              <w:top w:val="none"/>
              <w:left w:val="none"/>
              <w:bottom w:val="single" w:sz="4" w:space="0" w:color="CBD5E1"/>
              <w:right w:val="none"/>
            </w:tcBorders>
          </w:tcPr>
          <w:p>
            <w:pPr>
              <w:spacing w:before="0" w:after="0" w:line="269" w:lineRule="auto"/>
            </w:pPr>
            <w:r>
              <w:rPr>
                <w:rFonts w:ascii="Segoe UI" w:hAnsi="Segoe UI"/>
                <w:color w:val="334155"/>
                <w:sz w:val="18"/>
              </w:rPr>
              <w:t>Frontline Kaizen Suggestion Box</w:t>
            </w:r>
          </w:p>
        </w:tc>
        <w:tc>
          <w:tcPr>
            <w:tcW w:type="dxa" w:w="4752"/>
            <w:shd w:fill="FFFFFF"/>
            <w:tcMar>
              <w:top w:w="100" w:type="dxa"/>
              <w:bottom w:w="100" w:type="dxa"/>
              <w:left w:w="140" w:type="dxa"/>
              <w:right w:w="140" w:type="dxa"/>
            </w:tcMar>
            <w:tcBorders>
              <w:top w:val="none"/>
              <w:left w:val="none"/>
              <w:bottom w:val="single" w:sz="4" w:space="0" w:color="CBD5E1"/>
              <w:right w:val="none"/>
            </w:tcBorders>
          </w:tcPr>
          <w:p>
            <w:pPr>
              <w:spacing w:before="0" w:after="0" w:line="269" w:lineRule="auto"/>
            </w:pPr>
            <w:r>
              <w:rPr>
                <w:rFonts w:ascii="Segoe UI" w:hAnsi="Segoe UI"/>
                <w:color w:val="334155"/>
                <w:sz w:val="18"/>
              </w:rPr>
              <w:t>Operator ideas for safety, quality, and efficiency improvement with review workflow.</w:t>
            </w:r>
          </w:p>
        </w:tc>
      </w:tr>
    </w:tbl>
    <w:p>
      <w:pPr>
        <w:spacing w:before="40" w:after="120"/>
      </w:pPr>
    </w:p>
    <w:p>
      <w:pPr>
        <w:pStyle w:val="Heading2"/>
        <w:keepNext/>
        <w:spacing w:before="280" w:after="80"/>
      </w:pPr>
      <w:r>
        <w:rPr>
          <w:rFonts w:ascii="Segoe UI" w:hAnsi="Segoe UI"/>
          <w:b/>
          <w:color w:val="1E3A8A"/>
          <w:sz w:val="26"/>
        </w:rPr>
        <w:t>6.8 Quality Management System (QMS) (6 Tables)</w:t>
      </w:r>
    </w:p>
    <w:tbl>
      <w:tblPr>
        <w:tblW w:type="auto" w:w="0"/>
        <w:jc w:val="center"/>
        <w:tblLayout w:type="fixed"/>
        <w:tblLook w:firstColumn="1" w:firstRow="1" w:lastColumn="0" w:lastRow="0" w:noHBand="0" w:noVBand="1" w:val="04A0"/>
      </w:tblPr>
      <w:tblGrid>
        <w:gridCol w:w="3312"/>
        <w:gridCol w:w="3312"/>
        <w:gridCol w:w="3312"/>
      </w:tblGrid>
      <w:tr>
        <w:tc>
          <w:tcPr>
            <w:tcW w:type="dxa" w:w="2592"/>
            <w:shd w:fill="0F172A"/>
            <w:tcMar>
              <w:top w:w="130" w:type="dxa"/>
              <w:bottom w:w="130" w:type="dxa"/>
              <w:left w:w="140" w:type="dxa"/>
              <w:right w:w="140" w:type="dxa"/>
            </w:tcMar>
            <w:tcBorders>
              <w:top w:val="single" w:sz="4" w:space="0" w:color="0F172A"/>
              <w:left w:val="none"/>
              <w:bottom w:val="single" w:sz="10" w:space="0" w:color="C89547"/>
              <w:right w:val="none"/>
            </w:tcBorders>
          </w:tcPr>
          <w:p>
            <w:pPr>
              <w:spacing w:before="0" w:after="0"/>
            </w:pPr>
            <w:r>
              <w:rPr>
                <w:rFonts w:ascii="Segoe UI" w:hAnsi="Segoe UI"/>
                <w:b/>
                <w:color w:val="FFFFFF"/>
                <w:sz w:val="19"/>
              </w:rPr>
              <w:t>Database Table</w:t>
            </w:r>
          </w:p>
        </w:tc>
        <w:tc>
          <w:tcPr>
            <w:tcW w:type="dxa" w:w="2592"/>
            <w:shd w:fill="0F172A"/>
            <w:tcMar>
              <w:top w:w="130" w:type="dxa"/>
              <w:bottom w:w="130" w:type="dxa"/>
              <w:left w:w="140" w:type="dxa"/>
              <w:right w:w="140" w:type="dxa"/>
            </w:tcMar>
            <w:tcBorders>
              <w:top w:val="single" w:sz="4" w:space="0" w:color="0F172A"/>
              <w:left w:val="none"/>
              <w:bottom w:val="single" w:sz="10" w:space="0" w:color="C89547"/>
              <w:right w:val="none"/>
            </w:tcBorders>
          </w:tcPr>
          <w:p>
            <w:pPr>
              <w:spacing w:before="0" w:after="0"/>
            </w:pPr>
            <w:r>
              <w:rPr>
                <w:rFonts w:ascii="Segoe UI" w:hAnsi="Segoe UI"/>
                <w:b/>
                <w:color w:val="FFFFFF"/>
                <w:sz w:val="19"/>
              </w:rPr>
              <w:t>Functional Entity Name</w:t>
            </w:r>
          </w:p>
        </w:tc>
        <w:tc>
          <w:tcPr>
            <w:tcW w:type="dxa" w:w="4752"/>
            <w:shd w:fill="0F172A"/>
            <w:tcMar>
              <w:top w:w="130" w:type="dxa"/>
              <w:bottom w:w="130" w:type="dxa"/>
              <w:left w:w="140" w:type="dxa"/>
              <w:right w:w="140" w:type="dxa"/>
            </w:tcMar>
            <w:tcBorders>
              <w:top w:val="single" w:sz="4" w:space="0" w:color="0F172A"/>
              <w:left w:val="none"/>
              <w:bottom w:val="single" w:sz="10" w:space="0" w:color="C89547"/>
              <w:right w:val="none"/>
            </w:tcBorders>
          </w:tcPr>
          <w:p>
            <w:pPr>
              <w:spacing w:before="0" w:after="0"/>
            </w:pPr>
            <w:r>
              <w:rPr>
                <w:rFonts w:ascii="Segoe UI" w:hAnsi="Segoe UI"/>
                <w:b/>
                <w:color w:val="FFFFFF"/>
                <w:sz w:val="19"/>
              </w:rPr>
              <w:t>Operational Purpose &amp; Records Stored</w:t>
            </w:r>
          </w:p>
        </w:tc>
      </w:tr>
      <w:tr>
        <w:tc>
          <w:tcPr>
            <w:tcW w:type="dxa" w:w="2592"/>
            <w:shd w:fill="FFFFFF"/>
            <w:tcMar>
              <w:top w:w="100" w:type="dxa"/>
              <w:bottom w:w="100" w:type="dxa"/>
              <w:left w:w="140" w:type="dxa"/>
              <w:right w:w="140" w:type="dxa"/>
            </w:tcMar>
            <w:tcBorders>
              <w:top w:val="none"/>
              <w:left w:val="none"/>
              <w:bottom w:val="single" w:sz="4" w:space="0" w:color="CBD5E1"/>
              <w:right w:val="none"/>
            </w:tcBorders>
          </w:tcPr>
          <w:p>
            <w:pPr>
              <w:spacing w:before="0" w:after="0" w:line="269" w:lineRule="auto"/>
            </w:pPr>
            <w:r>
              <w:rPr>
                <w:rFonts w:ascii="Segoe UI" w:hAnsi="Segoe UI"/>
                <w:color w:val="334155"/>
                <w:sz w:val="18"/>
              </w:rPr>
              <w:t>quality_specs</w:t>
            </w:r>
          </w:p>
        </w:tc>
        <w:tc>
          <w:tcPr>
            <w:tcW w:type="dxa" w:w="2592"/>
            <w:shd w:fill="FFFFFF"/>
            <w:tcMar>
              <w:top w:w="100" w:type="dxa"/>
              <w:bottom w:w="100" w:type="dxa"/>
              <w:left w:w="140" w:type="dxa"/>
              <w:right w:w="140" w:type="dxa"/>
            </w:tcMar>
            <w:tcBorders>
              <w:top w:val="none"/>
              <w:left w:val="none"/>
              <w:bottom w:val="single" w:sz="4" w:space="0" w:color="CBD5E1"/>
              <w:right w:val="none"/>
            </w:tcBorders>
          </w:tcPr>
          <w:p>
            <w:pPr>
              <w:spacing w:before="0" w:after="0" w:line="269" w:lineRule="auto"/>
            </w:pPr>
            <w:r>
              <w:rPr>
                <w:rFonts w:ascii="Segoe UI" w:hAnsi="Segoe UI"/>
                <w:color w:val="334155"/>
                <w:sz w:val="18"/>
              </w:rPr>
              <w:t>Inspection Parameter Specs</w:t>
            </w:r>
          </w:p>
        </w:tc>
        <w:tc>
          <w:tcPr>
            <w:tcW w:type="dxa" w:w="4752"/>
            <w:shd w:fill="FFFFFF"/>
            <w:tcMar>
              <w:top w:w="100" w:type="dxa"/>
              <w:bottom w:w="100" w:type="dxa"/>
              <w:left w:w="140" w:type="dxa"/>
              <w:right w:w="140" w:type="dxa"/>
            </w:tcMar>
            <w:tcBorders>
              <w:top w:val="none"/>
              <w:left w:val="none"/>
              <w:bottom w:val="single" w:sz="4" w:space="0" w:color="CBD5E1"/>
              <w:right w:val="none"/>
            </w:tcBorders>
          </w:tcPr>
          <w:p>
            <w:pPr>
              <w:spacing w:before="0" w:after="0" w:line="269" w:lineRule="auto"/>
            </w:pPr>
            <w:r>
              <w:rPr>
                <w:rFonts w:ascii="Segoe UI" w:hAnsi="Segoe UI"/>
                <w:color w:val="334155"/>
                <w:sz w:val="18"/>
              </w:rPr>
              <w:t>Product specifications with target values and min/max acceptable engineering boundaries.</w:t>
            </w:r>
          </w:p>
        </w:tc>
      </w:tr>
      <w:tr>
        <w:tc>
          <w:tcPr>
            <w:tcW w:type="dxa" w:w="2592"/>
            <w:shd w:fill="F8FAFC"/>
            <w:tcMar>
              <w:top w:w="100" w:type="dxa"/>
              <w:bottom w:w="100" w:type="dxa"/>
              <w:left w:w="140" w:type="dxa"/>
              <w:right w:w="140" w:type="dxa"/>
            </w:tcMar>
            <w:tcBorders>
              <w:top w:val="none"/>
              <w:left w:val="none"/>
              <w:bottom w:val="single" w:sz="4" w:space="0" w:color="CBD5E1"/>
              <w:right w:val="none"/>
            </w:tcBorders>
          </w:tcPr>
          <w:p>
            <w:pPr>
              <w:spacing w:before="0" w:after="0" w:line="269" w:lineRule="auto"/>
            </w:pPr>
            <w:r>
              <w:rPr>
                <w:rFonts w:ascii="Segoe UI" w:hAnsi="Segoe UI"/>
                <w:color w:val="334155"/>
                <w:sz w:val="18"/>
              </w:rPr>
              <w:t>ccp_checks</w:t>
            </w:r>
          </w:p>
        </w:tc>
        <w:tc>
          <w:tcPr>
            <w:tcW w:type="dxa" w:w="2592"/>
            <w:shd w:fill="F8FAFC"/>
            <w:tcMar>
              <w:top w:w="100" w:type="dxa"/>
              <w:bottom w:w="100" w:type="dxa"/>
              <w:left w:w="140" w:type="dxa"/>
              <w:right w:w="140" w:type="dxa"/>
            </w:tcMar>
            <w:tcBorders>
              <w:top w:val="none"/>
              <w:left w:val="none"/>
              <w:bottom w:val="single" w:sz="4" w:space="0" w:color="CBD5E1"/>
              <w:right w:val="none"/>
            </w:tcBorders>
          </w:tcPr>
          <w:p>
            <w:pPr>
              <w:spacing w:before="0" w:after="0" w:line="269" w:lineRule="auto"/>
            </w:pPr>
            <w:r>
              <w:rPr>
                <w:rFonts w:ascii="Segoe UI" w:hAnsi="Segoe UI"/>
                <w:color w:val="334155"/>
                <w:sz w:val="18"/>
              </w:rPr>
              <w:t>HACCP Critical Control Points</w:t>
            </w:r>
          </w:p>
        </w:tc>
        <w:tc>
          <w:tcPr>
            <w:tcW w:type="dxa" w:w="4752"/>
            <w:shd w:fill="F8FAFC"/>
            <w:tcMar>
              <w:top w:w="100" w:type="dxa"/>
              <w:bottom w:w="100" w:type="dxa"/>
              <w:left w:w="140" w:type="dxa"/>
              <w:right w:w="140" w:type="dxa"/>
            </w:tcMar>
            <w:tcBorders>
              <w:top w:val="none"/>
              <w:left w:val="none"/>
              <w:bottom w:val="single" w:sz="4" w:space="0" w:color="CBD5E1"/>
              <w:right w:val="none"/>
            </w:tcBorders>
          </w:tcPr>
          <w:p>
            <w:pPr>
              <w:spacing w:before="0" w:after="0" w:line="269" w:lineRule="auto"/>
            </w:pPr>
            <w:r>
              <w:rPr>
                <w:rFonts w:ascii="Segoe UI" w:hAnsi="Segoe UI"/>
                <w:color w:val="334155"/>
                <w:sz w:val="18"/>
              </w:rPr>
              <w:t>In-process CCP check logs (pasteurization temp, pH, Brix, seal integrity) with validation.</w:t>
            </w:r>
          </w:p>
        </w:tc>
      </w:tr>
      <w:tr>
        <w:tc>
          <w:tcPr>
            <w:tcW w:type="dxa" w:w="2592"/>
            <w:shd w:fill="FFFFFF"/>
            <w:tcMar>
              <w:top w:w="100" w:type="dxa"/>
              <w:bottom w:w="100" w:type="dxa"/>
              <w:left w:w="140" w:type="dxa"/>
              <w:right w:w="140" w:type="dxa"/>
            </w:tcMar>
            <w:tcBorders>
              <w:top w:val="none"/>
              <w:left w:val="none"/>
              <w:bottom w:val="single" w:sz="4" w:space="0" w:color="CBD5E1"/>
              <w:right w:val="none"/>
            </w:tcBorders>
          </w:tcPr>
          <w:p>
            <w:pPr>
              <w:spacing w:before="0" w:after="0" w:line="269" w:lineRule="auto"/>
            </w:pPr>
            <w:r>
              <w:rPr>
                <w:rFonts w:ascii="Segoe UI" w:hAnsi="Segoe UI"/>
                <w:color w:val="334155"/>
                <w:sz w:val="18"/>
              </w:rPr>
              <w:t>quality_holds</w:t>
            </w:r>
          </w:p>
        </w:tc>
        <w:tc>
          <w:tcPr>
            <w:tcW w:type="dxa" w:w="2592"/>
            <w:shd w:fill="FFFFFF"/>
            <w:tcMar>
              <w:top w:w="100" w:type="dxa"/>
              <w:bottom w:w="100" w:type="dxa"/>
              <w:left w:w="140" w:type="dxa"/>
              <w:right w:w="140" w:type="dxa"/>
            </w:tcMar>
            <w:tcBorders>
              <w:top w:val="none"/>
              <w:left w:val="none"/>
              <w:bottom w:val="single" w:sz="4" w:space="0" w:color="CBD5E1"/>
              <w:right w:val="none"/>
            </w:tcBorders>
          </w:tcPr>
          <w:p>
            <w:pPr>
              <w:spacing w:before="0" w:after="0" w:line="269" w:lineRule="auto"/>
            </w:pPr>
            <w:r>
              <w:rPr>
                <w:rFonts w:ascii="Segoe UI" w:hAnsi="Segoe UI"/>
                <w:color w:val="334155"/>
                <w:sz w:val="18"/>
              </w:rPr>
              <w:t>Quarantined Lot Registry</w:t>
            </w:r>
          </w:p>
        </w:tc>
        <w:tc>
          <w:tcPr>
            <w:tcW w:type="dxa" w:w="4752"/>
            <w:shd w:fill="FFFFFF"/>
            <w:tcMar>
              <w:top w:w="100" w:type="dxa"/>
              <w:bottom w:w="100" w:type="dxa"/>
              <w:left w:w="140" w:type="dxa"/>
              <w:right w:w="140" w:type="dxa"/>
            </w:tcMar>
            <w:tcBorders>
              <w:top w:val="none"/>
              <w:left w:val="none"/>
              <w:bottom w:val="single" w:sz="4" w:space="0" w:color="CBD5E1"/>
              <w:right w:val="none"/>
            </w:tcBorders>
          </w:tcPr>
          <w:p>
            <w:pPr>
              <w:spacing w:before="0" w:after="0" w:line="269" w:lineRule="auto"/>
            </w:pPr>
            <w:r>
              <w:rPr>
                <w:rFonts w:ascii="Segoe UI" w:hAnsi="Segoe UI"/>
                <w:color w:val="334155"/>
                <w:sz w:val="18"/>
              </w:rPr>
              <w:t>Strict quarantine records locking non-conforming batches from being moved or shipped.</w:t>
            </w:r>
          </w:p>
        </w:tc>
      </w:tr>
      <w:tr>
        <w:tc>
          <w:tcPr>
            <w:tcW w:type="dxa" w:w="2592"/>
            <w:shd w:fill="F8FAFC"/>
            <w:tcMar>
              <w:top w:w="100" w:type="dxa"/>
              <w:bottom w:w="100" w:type="dxa"/>
              <w:left w:w="140" w:type="dxa"/>
              <w:right w:w="140" w:type="dxa"/>
            </w:tcMar>
            <w:tcBorders>
              <w:top w:val="none"/>
              <w:left w:val="none"/>
              <w:bottom w:val="single" w:sz="4" w:space="0" w:color="CBD5E1"/>
              <w:right w:val="none"/>
            </w:tcBorders>
          </w:tcPr>
          <w:p>
            <w:pPr>
              <w:spacing w:before="0" w:after="0" w:line="269" w:lineRule="auto"/>
            </w:pPr>
            <w:r>
              <w:rPr>
                <w:rFonts w:ascii="Segoe UI" w:hAnsi="Segoe UI"/>
                <w:color w:val="334155"/>
                <w:sz w:val="18"/>
              </w:rPr>
              <w:t>deviations</w:t>
            </w:r>
          </w:p>
        </w:tc>
        <w:tc>
          <w:tcPr>
            <w:tcW w:type="dxa" w:w="2592"/>
            <w:shd w:fill="F8FAFC"/>
            <w:tcMar>
              <w:top w:w="100" w:type="dxa"/>
              <w:bottom w:w="100" w:type="dxa"/>
              <w:left w:w="140" w:type="dxa"/>
              <w:right w:w="140" w:type="dxa"/>
            </w:tcMar>
            <w:tcBorders>
              <w:top w:val="none"/>
              <w:left w:val="none"/>
              <w:bottom w:val="single" w:sz="4" w:space="0" w:color="CBD5E1"/>
              <w:right w:val="none"/>
            </w:tcBorders>
          </w:tcPr>
          <w:p>
            <w:pPr>
              <w:spacing w:before="0" w:after="0" w:line="269" w:lineRule="auto"/>
            </w:pPr>
            <w:r>
              <w:rPr>
                <w:rFonts w:ascii="Segoe UI" w:hAnsi="Segoe UI"/>
                <w:color w:val="334155"/>
                <w:sz w:val="18"/>
              </w:rPr>
              <w:t>Out-of-Spec Process Deviations</w:t>
            </w:r>
          </w:p>
        </w:tc>
        <w:tc>
          <w:tcPr>
            <w:tcW w:type="dxa" w:w="4752"/>
            <w:shd w:fill="F8FAFC"/>
            <w:tcMar>
              <w:top w:w="100" w:type="dxa"/>
              <w:bottom w:w="100" w:type="dxa"/>
              <w:left w:w="140" w:type="dxa"/>
              <w:right w:w="140" w:type="dxa"/>
            </w:tcMar>
            <w:tcBorders>
              <w:top w:val="none"/>
              <w:left w:val="none"/>
              <w:bottom w:val="single" w:sz="4" w:space="0" w:color="CBD5E1"/>
              <w:right w:val="none"/>
            </w:tcBorders>
          </w:tcPr>
          <w:p>
            <w:pPr>
              <w:spacing w:before="0" w:after="0" w:line="269" w:lineRule="auto"/>
            </w:pPr>
            <w:r>
              <w:rPr>
                <w:rFonts w:ascii="Segoe UI" w:hAnsi="Segoe UI"/>
                <w:color w:val="334155"/>
                <w:sz w:val="18"/>
              </w:rPr>
              <w:t>Process deviation records with severity classification, impact assessment, and root causes.</w:t>
            </w:r>
          </w:p>
        </w:tc>
      </w:tr>
      <w:tr>
        <w:tc>
          <w:tcPr>
            <w:tcW w:type="dxa" w:w="2592"/>
            <w:shd w:fill="FFFFFF"/>
            <w:tcMar>
              <w:top w:w="100" w:type="dxa"/>
              <w:bottom w:w="100" w:type="dxa"/>
              <w:left w:w="140" w:type="dxa"/>
              <w:right w:w="140" w:type="dxa"/>
            </w:tcMar>
            <w:tcBorders>
              <w:top w:val="none"/>
              <w:left w:val="none"/>
              <w:bottom w:val="single" w:sz="4" w:space="0" w:color="CBD5E1"/>
              <w:right w:val="none"/>
            </w:tcBorders>
          </w:tcPr>
          <w:p>
            <w:pPr>
              <w:spacing w:before="0" w:after="0" w:line="269" w:lineRule="auto"/>
            </w:pPr>
            <w:r>
              <w:rPr>
                <w:rFonts w:ascii="Segoe UI" w:hAnsi="Segoe UI"/>
                <w:color w:val="334155"/>
                <w:sz w:val="18"/>
              </w:rPr>
              <w:t>capa_records</w:t>
            </w:r>
          </w:p>
        </w:tc>
        <w:tc>
          <w:tcPr>
            <w:tcW w:type="dxa" w:w="2592"/>
            <w:shd w:fill="FFFFFF"/>
            <w:tcMar>
              <w:top w:w="100" w:type="dxa"/>
              <w:bottom w:w="100" w:type="dxa"/>
              <w:left w:w="140" w:type="dxa"/>
              <w:right w:w="140" w:type="dxa"/>
            </w:tcMar>
            <w:tcBorders>
              <w:top w:val="none"/>
              <w:left w:val="none"/>
              <w:bottom w:val="single" w:sz="4" w:space="0" w:color="CBD5E1"/>
              <w:right w:val="none"/>
            </w:tcBorders>
          </w:tcPr>
          <w:p>
            <w:pPr>
              <w:spacing w:before="0" w:after="0" w:line="269" w:lineRule="auto"/>
            </w:pPr>
            <w:r>
              <w:rPr>
                <w:rFonts w:ascii="Segoe UI" w:hAnsi="Segoe UI"/>
                <w:color w:val="334155"/>
                <w:sz w:val="18"/>
              </w:rPr>
              <w:t>QMS Regulatory CAPA Records</w:t>
            </w:r>
          </w:p>
        </w:tc>
        <w:tc>
          <w:tcPr>
            <w:tcW w:type="dxa" w:w="4752"/>
            <w:shd w:fill="FFFFFF"/>
            <w:tcMar>
              <w:top w:w="100" w:type="dxa"/>
              <w:bottom w:w="100" w:type="dxa"/>
              <w:left w:w="140" w:type="dxa"/>
              <w:right w:w="140" w:type="dxa"/>
            </w:tcMar>
            <w:tcBorders>
              <w:top w:val="none"/>
              <w:left w:val="none"/>
              <w:bottom w:val="single" w:sz="4" w:space="0" w:color="CBD5E1"/>
              <w:right w:val="none"/>
            </w:tcBorders>
          </w:tcPr>
          <w:p>
            <w:pPr>
              <w:spacing w:before="0" w:after="0" w:line="269" w:lineRule="auto"/>
            </w:pPr>
            <w:r>
              <w:rPr>
                <w:rFonts w:ascii="Segoe UI" w:hAnsi="Segoe UI"/>
                <w:color w:val="334155"/>
                <w:sz w:val="18"/>
              </w:rPr>
              <w:t>Quality-specific compliance CAPAs required for regulatory audit traceability.</w:t>
            </w:r>
          </w:p>
        </w:tc>
      </w:tr>
      <w:tr>
        <w:tc>
          <w:tcPr>
            <w:tcW w:type="dxa" w:w="2592"/>
            <w:shd w:fill="F8FAFC"/>
            <w:tcMar>
              <w:top w:w="100" w:type="dxa"/>
              <w:bottom w:w="100" w:type="dxa"/>
              <w:left w:w="140" w:type="dxa"/>
              <w:right w:w="140" w:type="dxa"/>
            </w:tcMar>
            <w:tcBorders>
              <w:top w:val="none"/>
              <w:left w:val="none"/>
              <w:bottom w:val="single" w:sz="4" w:space="0" w:color="CBD5E1"/>
              <w:right w:val="none"/>
            </w:tcBorders>
          </w:tcPr>
          <w:p>
            <w:pPr>
              <w:spacing w:before="0" w:after="0" w:line="269" w:lineRule="auto"/>
            </w:pPr>
            <w:r>
              <w:rPr>
                <w:rFonts w:ascii="Segoe UI" w:hAnsi="Segoe UI"/>
                <w:color w:val="334155"/>
                <w:sz w:val="18"/>
              </w:rPr>
              <w:t>qa_releases</w:t>
            </w:r>
          </w:p>
        </w:tc>
        <w:tc>
          <w:tcPr>
            <w:tcW w:type="dxa" w:w="2592"/>
            <w:shd w:fill="F8FAFC"/>
            <w:tcMar>
              <w:top w:w="100" w:type="dxa"/>
              <w:bottom w:w="100" w:type="dxa"/>
              <w:left w:w="140" w:type="dxa"/>
              <w:right w:w="140" w:type="dxa"/>
            </w:tcMar>
            <w:tcBorders>
              <w:top w:val="none"/>
              <w:left w:val="none"/>
              <w:bottom w:val="single" w:sz="4" w:space="0" w:color="CBD5E1"/>
              <w:right w:val="none"/>
            </w:tcBorders>
          </w:tcPr>
          <w:p>
            <w:pPr>
              <w:spacing w:before="0" w:after="0" w:line="269" w:lineRule="auto"/>
            </w:pPr>
            <w:r>
              <w:rPr>
                <w:rFonts w:ascii="Segoe UI" w:hAnsi="Segoe UI"/>
                <w:color w:val="334155"/>
                <w:sz w:val="18"/>
              </w:rPr>
              <w:t>Certificate of Analysis (CoA) Releases</w:t>
            </w:r>
          </w:p>
        </w:tc>
        <w:tc>
          <w:tcPr>
            <w:tcW w:type="dxa" w:w="4752"/>
            <w:shd w:fill="F8FAFC"/>
            <w:tcMar>
              <w:top w:w="100" w:type="dxa"/>
              <w:bottom w:w="100" w:type="dxa"/>
              <w:left w:w="140" w:type="dxa"/>
              <w:right w:w="140" w:type="dxa"/>
            </w:tcMar>
            <w:tcBorders>
              <w:top w:val="none"/>
              <w:left w:val="none"/>
              <w:bottom w:val="single" w:sz="4" w:space="0" w:color="CBD5E1"/>
              <w:right w:val="none"/>
            </w:tcBorders>
          </w:tcPr>
          <w:p>
            <w:pPr>
              <w:spacing w:before="0" w:after="0" w:line="269" w:lineRule="auto"/>
            </w:pPr>
            <w:r>
              <w:rPr>
                <w:rFonts w:ascii="Segoe UI" w:hAnsi="Segoe UI"/>
                <w:color w:val="334155"/>
                <w:sz w:val="18"/>
              </w:rPr>
              <w:t>Final QA laboratory approval and electronic signature releasing batch for customer shipment.</w:t>
            </w:r>
          </w:p>
        </w:tc>
      </w:tr>
    </w:tbl>
    <w:p>
      <w:pPr>
        <w:spacing w:before="40" w:after="120"/>
      </w:pPr>
    </w:p>
    <w:p>
      <w:pPr>
        <w:pStyle w:val="Heading2"/>
        <w:keepNext/>
        <w:spacing w:before="280" w:after="80"/>
      </w:pPr>
      <w:r>
        <w:rPr>
          <w:rFonts w:ascii="Segoe UI" w:hAnsi="Segoe UI"/>
          <w:b/>
          <w:color w:val="1E3A8A"/>
          <w:sz w:val="26"/>
        </w:rPr>
        <w:t>6.9 Maintenance Management (CMMS) (6 Tables)</w:t>
      </w:r>
    </w:p>
    <w:tbl>
      <w:tblPr>
        <w:tblW w:type="auto" w:w="0"/>
        <w:jc w:val="center"/>
        <w:tblLayout w:type="fixed"/>
        <w:tblLook w:firstColumn="1" w:firstRow="1" w:lastColumn="0" w:lastRow="0" w:noHBand="0" w:noVBand="1" w:val="04A0"/>
      </w:tblPr>
      <w:tblGrid>
        <w:gridCol w:w="3312"/>
        <w:gridCol w:w="3312"/>
        <w:gridCol w:w="3312"/>
      </w:tblGrid>
      <w:tr>
        <w:tc>
          <w:tcPr>
            <w:tcW w:type="dxa" w:w="2592"/>
            <w:shd w:fill="0F172A"/>
            <w:tcMar>
              <w:top w:w="130" w:type="dxa"/>
              <w:bottom w:w="130" w:type="dxa"/>
              <w:left w:w="140" w:type="dxa"/>
              <w:right w:w="140" w:type="dxa"/>
            </w:tcMar>
            <w:tcBorders>
              <w:top w:val="single" w:sz="4" w:space="0" w:color="0F172A"/>
              <w:left w:val="none"/>
              <w:bottom w:val="single" w:sz="10" w:space="0" w:color="C89547"/>
              <w:right w:val="none"/>
            </w:tcBorders>
          </w:tcPr>
          <w:p>
            <w:pPr>
              <w:spacing w:before="0" w:after="0"/>
            </w:pPr>
            <w:r>
              <w:rPr>
                <w:rFonts w:ascii="Segoe UI" w:hAnsi="Segoe UI"/>
                <w:b/>
                <w:color w:val="FFFFFF"/>
                <w:sz w:val="19"/>
              </w:rPr>
              <w:t>Database Table</w:t>
            </w:r>
          </w:p>
        </w:tc>
        <w:tc>
          <w:tcPr>
            <w:tcW w:type="dxa" w:w="2592"/>
            <w:shd w:fill="0F172A"/>
            <w:tcMar>
              <w:top w:w="130" w:type="dxa"/>
              <w:bottom w:w="130" w:type="dxa"/>
              <w:left w:w="140" w:type="dxa"/>
              <w:right w:w="140" w:type="dxa"/>
            </w:tcMar>
            <w:tcBorders>
              <w:top w:val="single" w:sz="4" w:space="0" w:color="0F172A"/>
              <w:left w:val="none"/>
              <w:bottom w:val="single" w:sz="10" w:space="0" w:color="C89547"/>
              <w:right w:val="none"/>
            </w:tcBorders>
          </w:tcPr>
          <w:p>
            <w:pPr>
              <w:spacing w:before="0" w:after="0"/>
            </w:pPr>
            <w:r>
              <w:rPr>
                <w:rFonts w:ascii="Segoe UI" w:hAnsi="Segoe UI"/>
                <w:b/>
                <w:color w:val="FFFFFF"/>
                <w:sz w:val="19"/>
              </w:rPr>
              <w:t>Functional Entity Name</w:t>
            </w:r>
          </w:p>
        </w:tc>
        <w:tc>
          <w:tcPr>
            <w:tcW w:type="dxa" w:w="4752"/>
            <w:shd w:fill="0F172A"/>
            <w:tcMar>
              <w:top w:w="130" w:type="dxa"/>
              <w:bottom w:w="130" w:type="dxa"/>
              <w:left w:w="140" w:type="dxa"/>
              <w:right w:w="140" w:type="dxa"/>
            </w:tcMar>
            <w:tcBorders>
              <w:top w:val="single" w:sz="4" w:space="0" w:color="0F172A"/>
              <w:left w:val="none"/>
              <w:bottom w:val="single" w:sz="10" w:space="0" w:color="C89547"/>
              <w:right w:val="none"/>
            </w:tcBorders>
          </w:tcPr>
          <w:p>
            <w:pPr>
              <w:spacing w:before="0" w:after="0"/>
            </w:pPr>
            <w:r>
              <w:rPr>
                <w:rFonts w:ascii="Segoe UI" w:hAnsi="Segoe UI"/>
                <w:b/>
                <w:color w:val="FFFFFF"/>
                <w:sz w:val="19"/>
              </w:rPr>
              <w:t>Operational Purpose &amp; Records Stored</w:t>
            </w:r>
          </w:p>
        </w:tc>
      </w:tr>
      <w:tr>
        <w:tc>
          <w:tcPr>
            <w:tcW w:type="dxa" w:w="2592"/>
            <w:shd w:fill="FFFFFF"/>
            <w:tcMar>
              <w:top w:w="100" w:type="dxa"/>
              <w:bottom w:w="100" w:type="dxa"/>
              <w:left w:w="140" w:type="dxa"/>
              <w:right w:w="140" w:type="dxa"/>
            </w:tcMar>
            <w:tcBorders>
              <w:top w:val="none"/>
              <w:left w:val="none"/>
              <w:bottom w:val="single" w:sz="4" w:space="0" w:color="CBD5E1"/>
              <w:right w:val="none"/>
            </w:tcBorders>
          </w:tcPr>
          <w:p>
            <w:pPr>
              <w:spacing w:before="0" w:after="0" w:line="269" w:lineRule="auto"/>
            </w:pPr>
            <w:r>
              <w:rPr>
                <w:rFonts w:ascii="Segoe UI" w:hAnsi="Segoe UI"/>
                <w:color w:val="334155"/>
                <w:sz w:val="18"/>
              </w:rPr>
              <w:t>assets</w:t>
            </w:r>
          </w:p>
        </w:tc>
        <w:tc>
          <w:tcPr>
            <w:tcW w:type="dxa" w:w="2592"/>
            <w:shd w:fill="FFFFFF"/>
            <w:tcMar>
              <w:top w:w="100" w:type="dxa"/>
              <w:bottom w:w="100" w:type="dxa"/>
              <w:left w:w="140" w:type="dxa"/>
              <w:right w:w="140" w:type="dxa"/>
            </w:tcMar>
            <w:tcBorders>
              <w:top w:val="none"/>
              <w:left w:val="none"/>
              <w:bottom w:val="single" w:sz="4" w:space="0" w:color="CBD5E1"/>
              <w:right w:val="none"/>
            </w:tcBorders>
          </w:tcPr>
          <w:p>
            <w:pPr>
              <w:spacing w:before="0" w:after="0" w:line="269" w:lineRule="auto"/>
            </w:pPr>
            <w:r>
              <w:rPr>
                <w:rFonts w:ascii="Segoe UI" w:hAnsi="Segoe UI"/>
                <w:color w:val="334155"/>
                <w:sz w:val="18"/>
              </w:rPr>
              <w:t>Machinery &amp; Equipment Registry</w:t>
            </w:r>
          </w:p>
        </w:tc>
        <w:tc>
          <w:tcPr>
            <w:tcW w:type="dxa" w:w="4752"/>
            <w:shd w:fill="FFFFFF"/>
            <w:tcMar>
              <w:top w:w="100" w:type="dxa"/>
              <w:bottom w:w="100" w:type="dxa"/>
              <w:left w:w="140" w:type="dxa"/>
              <w:right w:w="140" w:type="dxa"/>
            </w:tcMar>
            <w:tcBorders>
              <w:top w:val="none"/>
              <w:left w:val="none"/>
              <w:bottom w:val="single" w:sz="4" w:space="0" w:color="CBD5E1"/>
              <w:right w:val="none"/>
            </w:tcBorders>
          </w:tcPr>
          <w:p>
            <w:pPr>
              <w:spacing w:before="0" w:after="0" w:line="269" w:lineRule="auto"/>
            </w:pPr>
            <w:r>
              <w:rPr>
                <w:rFonts w:ascii="Segoe UI" w:hAnsi="Segoe UI"/>
                <w:color w:val="334155"/>
                <w:sz w:val="18"/>
              </w:rPr>
              <w:t>Asset hierarchy, serial numbers, criticality rating, manufacturer, and warranty dates.</w:t>
            </w:r>
          </w:p>
        </w:tc>
      </w:tr>
      <w:tr>
        <w:tc>
          <w:tcPr>
            <w:tcW w:type="dxa" w:w="2592"/>
            <w:shd w:fill="F8FAFC"/>
            <w:tcMar>
              <w:top w:w="100" w:type="dxa"/>
              <w:bottom w:w="100" w:type="dxa"/>
              <w:left w:w="140" w:type="dxa"/>
              <w:right w:w="140" w:type="dxa"/>
            </w:tcMar>
            <w:tcBorders>
              <w:top w:val="none"/>
              <w:left w:val="none"/>
              <w:bottom w:val="single" w:sz="4" w:space="0" w:color="CBD5E1"/>
              <w:right w:val="none"/>
            </w:tcBorders>
          </w:tcPr>
          <w:p>
            <w:pPr>
              <w:spacing w:before="0" w:after="0" w:line="269" w:lineRule="auto"/>
            </w:pPr>
            <w:r>
              <w:rPr>
                <w:rFonts w:ascii="Segoe UI" w:hAnsi="Segoe UI"/>
                <w:color w:val="334155"/>
                <w:sz w:val="18"/>
              </w:rPr>
              <w:t>work_orders</w:t>
            </w:r>
          </w:p>
        </w:tc>
        <w:tc>
          <w:tcPr>
            <w:tcW w:type="dxa" w:w="2592"/>
            <w:shd w:fill="F8FAFC"/>
            <w:tcMar>
              <w:top w:w="100" w:type="dxa"/>
              <w:bottom w:w="100" w:type="dxa"/>
              <w:left w:w="140" w:type="dxa"/>
              <w:right w:w="140" w:type="dxa"/>
            </w:tcMar>
            <w:tcBorders>
              <w:top w:val="none"/>
              <w:left w:val="none"/>
              <w:bottom w:val="single" w:sz="4" w:space="0" w:color="CBD5E1"/>
              <w:right w:val="none"/>
            </w:tcBorders>
          </w:tcPr>
          <w:p>
            <w:pPr>
              <w:spacing w:before="0" w:after="0" w:line="269" w:lineRule="auto"/>
            </w:pPr>
            <w:r>
              <w:rPr>
                <w:rFonts w:ascii="Segoe UI" w:hAnsi="Segoe UI"/>
                <w:color w:val="334155"/>
                <w:sz w:val="18"/>
              </w:rPr>
              <w:t>Maintenance Work Orders</w:t>
            </w:r>
          </w:p>
        </w:tc>
        <w:tc>
          <w:tcPr>
            <w:tcW w:type="dxa" w:w="4752"/>
            <w:shd w:fill="F8FAFC"/>
            <w:tcMar>
              <w:top w:w="100" w:type="dxa"/>
              <w:bottom w:w="100" w:type="dxa"/>
              <w:left w:w="140" w:type="dxa"/>
              <w:right w:w="140" w:type="dxa"/>
            </w:tcMar>
            <w:tcBorders>
              <w:top w:val="none"/>
              <w:left w:val="none"/>
              <w:bottom w:val="single" w:sz="4" w:space="0" w:color="CBD5E1"/>
              <w:right w:val="none"/>
            </w:tcBorders>
          </w:tcPr>
          <w:p>
            <w:pPr>
              <w:spacing w:before="0" w:after="0" w:line="269" w:lineRule="auto"/>
            </w:pPr>
            <w:r>
              <w:rPr>
                <w:rFonts w:ascii="Segoe UI" w:hAnsi="Segoe UI"/>
                <w:color w:val="334155"/>
                <w:sz w:val="18"/>
              </w:rPr>
              <w:t>Preventive (PM) and corrective breakdown work orders with labor hours and status.</w:t>
            </w:r>
          </w:p>
        </w:tc>
      </w:tr>
      <w:tr>
        <w:tc>
          <w:tcPr>
            <w:tcW w:type="dxa" w:w="2592"/>
            <w:shd w:fill="FFFFFF"/>
            <w:tcMar>
              <w:top w:w="100" w:type="dxa"/>
              <w:bottom w:w="100" w:type="dxa"/>
              <w:left w:w="140" w:type="dxa"/>
              <w:right w:w="140" w:type="dxa"/>
            </w:tcMar>
            <w:tcBorders>
              <w:top w:val="none"/>
              <w:left w:val="none"/>
              <w:bottom w:val="single" w:sz="4" w:space="0" w:color="CBD5E1"/>
              <w:right w:val="none"/>
            </w:tcBorders>
          </w:tcPr>
          <w:p>
            <w:pPr>
              <w:spacing w:before="0" w:after="0" w:line="269" w:lineRule="auto"/>
            </w:pPr>
            <w:r>
              <w:rPr>
                <w:rFonts w:ascii="Segoe UI" w:hAnsi="Segoe UI"/>
                <w:color w:val="334155"/>
                <w:sz w:val="18"/>
              </w:rPr>
              <w:t>calibrations</w:t>
            </w:r>
          </w:p>
        </w:tc>
        <w:tc>
          <w:tcPr>
            <w:tcW w:type="dxa" w:w="2592"/>
            <w:shd w:fill="FFFFFF"/>
            <w:tcMar>
              <w:top w:w="100" w:type="dxa"/>
              <w:bottom w:w="100" w:type="dxa"/>
              <w:left w:w="140" w:type="dxa"/>
              <w:right w:w="140" w:type="dxa"/>
            </w:tcMar>
            <w:tcBorders>
              <w:top w:val="none"/>
              <w:left w:val="none"/>
              <w:bottom w:val="single" w:sz="4" w:space="0" w:color="CBD5E1"/>
              <w:right w:val="none"/>
            </w:tcBorders>
          </w:tcPr>
          <w:p>
            <w:pPr>
              <w:spacing w:before="0" w:after="0" w:line="269" w:lineRule="auto"/>
            </w:pPr>
            <w:r>
              <w:rPr>
                <w:rFonts w:ascii="Segoe UI" w:hAnsi="Segoe UI"/>
                <w:color w:val="334155"/>
                <w:sz w:val="18"/>
              </w:rPr>
              <w:t>Sensor Calibration Records</w:t>
            </w:r>
          </w:p>
        </w:tc>
        <w:tc>
          <w:tcPr>
            <w:tcW w:type="dxa" w:w="4752"/>
            <w:shd w:fill="FFFFFF"/>
            <w:tcMar>
              <w:top w:w="100" w:type="dxa"/>
              <w:bottom w:w="100" w:type="dxa"/>
              <w:left w:w="140" w:type="dxa"/>
              <w:right w:w="140" w:type="dxa"/>
            </w:tcMar>
            <w:tcBorders>
              <w:top w:val="none"/>
              <w:left w:val="none"/>
              <w:bottom w:val="single" w:sz="4" w:space="0" w:color="CBD5E1"/>
              <w:right w:val="none"/>
            </w:tcBorders>
          </w:tcPr>
          <w:p>
            <w:pPr>
              <w:spacing w:before="0" w:after="0" w:line="269" w:lineRule="auto"/>
            </w:pPr>
            <w:r>
              <w:rPr>
                <w:rFonts w:ascii="Segoe UI" w:hAnsi="Segoe UI"/>
                <w:color w:val="334155"/>
                <w:sz w:val="18"/>
              </w:rPr>
              <w:t>Equipment sensor calibration schedules, standards used, tolerance, and next due date.</w:t>
            </w:r>
          </w:p>
        </w:tc>
      </w:tr>
      <w:tr>
        <w:tc>
          <w:tcPr>
            <w:tcW w:type="dxa" w:w="2592"/>
            <w:shd w:fill="F8FAFC"/>
            <w:tcMar>
              <w:top w:w="100" w:type="dxa"/>
              <w:bottom w:w="100" w:type="dxa"/>
              <w:left w:w="140" w:type="dxa"/>
              <w:right w:w="140" w:type="dxa"/>
            </w:tcMar>
            <w:tcBorders>
              <w:top w:val="none"/>
              <w:left w:val="none"/>
              <w:bottom w:val="single" w:sz="4" w:space="0" w:color="CBD5E1"/>
              <w:right w:val="none"/>
            </w:tcBorders>
          </w:tcPr>
          <w:p>
            <w:pPr>
              <w:spacing w:before="0" w:after="0" w:line="269" w:lineRule="auto"/>
            </w:pPr>
            <w:r>
              <w:rPr>
                <w:rFonts w:ascii="Segoe UI" w:hAnsi="Segoe UI"/>
                <w:color w:val="334155"/>
                <w:sz w:val="18"/>
              </w:rPr>
              <w:t>spare_parts</w:t>
            </w:r>
          </w:p>
        </w:tc>
        <w:tc>
          <w:tcPr>
            <w:tcW w:type="dxa" w:w="2592"/>
            <w:shd w:fill="F8FAFC"/>
            <w:tcMar>
              <w:top w:w="100" w:type="dxa"/>
              <w:bottom w:w="100" w:type="dxa"/>
              <w:left w:w="140" w:type="dxa"/>
              <w:right w:w="140" w:type="dxa"/>
            </w:tcMar>
            <w:tcBorders>
              <w:top w:val="none"/>
              <w:left w:val="none"/>
              <w:bottom w:val="single" w:sz="4" w:space="0" w:color="CBD5E1"/>
              <w:right w:val="none"/>
            </w:tcBorders>
          </w:tcPr>
          <w:p>
            <w:pPr>
              <w:spacing w:before="0" w:after="0" w:line="269" w:lineRule="auto"/>
            </w:pPr>
            <w:r>
              <w:rPr>
                <w:rFonts w:ascii="Segoe UI" w:hAnsi="Segoe UI"/>
                <w:color w:val="334155"/>
                <w:sz w:val="18"/>
              </w:rPr>
              <w:t>MRO Spare Parts Inventory</w:t>
            </w:r>
          </w:p>
        </w:tc>
        <w:tc>
          <w:tcPr>
            <w:tcW w:type="dxa" w:w="4752"/>
            <w:shd w:fill="F8FAFC"/>
            <w:tcMar>
              <w:top w:w="100" w:type="dxa"/>
              <w:bottom w:w="100" w:type="dxa"/>
              <w:left w:w="140" w:type="dxa"/>
              <w:right w:w="140" w:type="dxa"/>
            </w:tcMar>
            <w:tcBorders>
              <w:top w:val="none"/>
              <w:left w:val="none"/>
              <w:bottom w:val="single" w:sz="4" w:space="0" w:color="CBD5E1"/>
              <w:right w:val="none"/>
            </w:tcBorders>
          </w:tcPr>
          <w:p>
            <w:pPr>
              <w:spacing w:before="0" w:after="0" w:line="269" w:lineRule="auto"/>
            </w:pPr>
            <w:r>
              <w:rPr>
                <w:rFonts w:ascii="Segoe UI" w:hAnsi="Segoe UI"/>
                <w:color w:val="334155"/>
                <w:sz w:val="18"/>
              </w:rPr>
              <w:t>Maintenance parts catalog with stock levels, bin locations, unit costs, and reorder points.</w:t>
            </w:r>
          </w:p>
        </w:tc>
      </w:tr>
      <w:tr>
        <w:tc>
          <w:tcPr>
            <w:tcW w:type="dxa" w:w="2592"/>
            <w:shd w:fill="FFFFFF"/>
            <w:tcMar>
              <w:top w:w="100" w:type="dxa"/>
              <w:bottom w:w="100" w:type="dxa"/>
              <w:left w:w="140" w:type="dxa"/>
              <w:right w:w="140" w:type="dxa"/>
            </w:tcMar>
            <w:tcBorders>
              <w:top w:val="none"/>
              <w:left w:val="none"/>
              <w:bottom w:val="single" w:sz="4" w:space="0" w:color="CBD5E1"/>
              <w:right w:val="none"/>
            </w:tcBorders>
          </w:tcPr>
          <w:p>
            <w:pPr>
              <w:spacing w:before="0" w:after="0" w:line="269" w:lineRule="auto"/>
            </w:pPr>
            <w:r>
              <w:rPr>
                <w:rFonts w:ascii="Segoe UI" w:hAnsi="Segoe UI"/>
                <w:color w:val="334155"/>
                <w:sz w:val="18"/>
              </w:rPr>
              <w:t>spare_consumption</w:t>
            </w:r>
          </w:p>
        </w:tc>
        <w:tc>
          <w:tcPr>
            <w:tcW w:type="dxa" w:w="2592"/>
            <w:shd w:fill="FFFFFF"/>
            <w:tcMar>
              <w:top w:w="100" w:type="dxa"/>
              <w:bottom w:w="100" w:type="dxa"/>
              <w:left w:w="140" w:type="dxa"/>
              <w:right w:w="140" w:type="dxa"/>
            </w:tcMar>
            <w:tcBorders>
              <w:top w:val="none"/>
              <w:left w:val="none"/>
              <w:bottom w:val="single" w:sz="4" w:space="0" w:color="CBD5E1"/>
              <w:right w:val="none"/>
            </w:tcBorders>
          </w:tcPr>
          <w:p>
            <w:pPr>
              <w:spacing w:before="0" w:after="0" w:line="269" w:lineRule="auto"/>
            </w:pPr>
            <w:r>
              <w:rPr>
                <w:rFonts w:ascii="Segoe UI" w:hAnsi="Segoe UI"/>
                <w:color w:val="334155"/>
                <w:sz w:val="18"/>
              </w:rPr>
              <w:t>Parts Consumption Tracking</w:t>
            </w:r>
          </w:p>
        </w:tc>
        <w:tc>
          <w:tcPr>
            <w:tcW w:type="dxa" w:w="4752"/>
            <w:shd w:fill="FFFFFF"/>
            <w:tcMar>
              <w:top w:w="100" w:type="dxa"/>
              <w:bottom w:w="100" w:type="dxa"/>
              <w:left w:w="140" w:type="dxa"/>
              <w:right w:w="140" w:type="dxa"/>
            </w:tcMar>
            <w:tcBorders>
              <w:top w:val="none"/>
              <w:left w:val="none"/>
              <w:bottom w:val="single" w:sz="4" w:space="0" w:color="CBD5E1"/>
              <w:right w:val="none"/>
            </w:tcBorders>
          </w:tcPr>
          <w:p>
            <w:pPr>
              <w:spacing w:before="0" w:after="0" w:line="269" w:lineRule="auto"/>
            </w:pPr>
            <w:r>
              <w:rPr>
                <w:rFonts w:ascii="Segoe UI" w:hAnsi="Segoe UI"/>
                <w:color w:val="334155"/>
                <w:sz w:val="18"/>
              </w:rPr>
              <w:t>Parts used during maintenance work orders linked to specific assets and failure causes.</w:t>
            </w:r>
          </w:p>
        </w:tc>
      </w:tr>
      <w:tr>
        <w:tc>
          <w:tcPr>
            <w:tcW w:type="dxa" w:w="2592"/>
            <w:shd w:fill="F8FAFC"/>
            <w:tcMar>
              <w:top w:w="100" w:type="dxa"/>
              <w:bottom w:w="100" w:type="dxa"/>
              <w:left w:w="140" w:type="dxa"/>
              <w:right w:w="140" w:type="dxa"/>
            </w:tcMar>
            <w:tcBorders>
              <w:top w:val="none"/>
              <w:left w:val="none"/>
              <w:bottom w:val="single" w:sz="4" w:space="0" w:color="CBD5E1"/>
              <w:right w:val="none"/>
            </w:tcBorders>
          </w:tcPr>
          <w:p>
            <w:pPr>
              <w:spacing w:before="0" w:after="0" w:line="269" w:lineRule="auto"/>
            </w:pPr>
            <w:r>
              <w:rPr>
                <w:rFonts w:ascii="Segoe UI" w:hAnsi="Segoe UI"/>
                <w:color w:val="334155"/>
                <w:sz w:val="18"/>
              </w:rPr>
              <w:t>failure_codes</w:t>
            </w:r>
          </w:p>
        </w:tc>
        <w:tc>
          <w:tcPr>
            <w:tcW w:type="dxa" w:w="2592"/>
            <w:shd w:fill="F8FAFC"/>
            <w:tcMar>
              <w:top w:w="100" w:type="dxa"/>
              <w:bottom w:w="100" w:type="dxa"/>
              <w:left w:w="140" w:type="dxa"/>
              <w:right w:w="140" w:type="dxa"/>
            </w:tcMar>
            <w:tcBorders>
              <w:top w:val="none"/>
              <w:left w:val="none"/>
              <w:bottom w:val="single" w:sz="4" w:space="0" w:color="CBD5E1"/>
              <w:right w:val="none"/>
            </w:tcBorders>
          </w:tcPr>
          <w:p>
            <w:pPr>
              <w:spacing w:before="0" w:after="0" w:line="269" w:lineRule="auto"/>
            </w:pPr>
            <w:r>
              <w:rPr>
                <w:rFonts w:ascii="Segoe UI" w:hAnsi="Segoe UI"/>
                <w:color w:val="334155"/>
                <w:sz w:val="18"/>
              </w:rPr>
              <w:t>ISO 14224 Failure Codes</w:t>
            </w:r>
          </w:p>
        </w:tc>
        <w:tc>
          <w:tcPr>
            <w:tcW w:type="dxa" w:w="4752"/>
            <w:shd w:fill="F8FAFC"/>
            <w:tcMar>
              <w:top w:w="100" w:type="dxa"/>
              <w:bottom w:w="100" w:type="dxa"/>
              <w:left w:w="140" w:type="dxa"/>
              <w:right w:w="140" w:type="dxa"/>
            </w:tcMar>
            <w:tcBorders>
              <w:top w:val="none"/>
              <w:left w:val="none"/>
              <w:bottom w:val="single" w:sz="4" w:space="0" w:color="CBD5E1"/>
              <w:right w:val="none"/>
            </w:tcBorders>
          </w:tcPr>
          <w:p>
            <w:pPr>
              <w:spacing w:before="0" w:after="0" w:line="269" w:lineRule="auto"/>
            </w:pPr>
            <w:r>
              <w:rPr>
                <w:rFonts w:ascii="Segoe UI" w:hAnsi="Segoe UI"/>
                <w:color w:val="334155"/>
                <w:sz w:val="18"/>
              </w:rPr>
              <w:t>Standardized failure mechanism codes enabling statistical reliability analysis.</w:t>
            </w:r>
          </w:p>
        </w:tc>
      </w:tr>
    </w:tbl>
    <w:p>
      <w:pPr>
        <w:spacing w:before="40" w:after="120"/>
      </w:pPr>
    </w:p>
    <w:p>
      <w:pPr>
        <w:pStyle w:val="Heading2"/>
        <w:keepNext/>
        <w:spacing w:before="280" w:after="80"/>
      </w:pPr>
      <w:r>
        <w:rPr>
          <w:rFonts w:ascii="Segoe UI" w:hAnsi="Segoe UI"/>
          <w:b/>
          <w:color w:val="1E3A8A"/>
          <w:sz w:val="26"/>
        </w:rPr>
        <w:t>6.10 Warehouse, Inventory &amp; Traceability (6 Tables)</w:t>
      </w:r>
    </w:p>
    <w:tbl>
      <w:tblPr>
        <w:tblW w:type="auto" w:w="0"/>
        <w:jc w:val="center"/>
        <w:tblLayout w:type="fixed"/>
        <w:tblLook w:firstColumn="1" w:firstRow="1" w:lastColumn="0" w:lastRow="0" w:noHBand="0" w:noVBand="1" w:val="04A0"/>
      </w:tblPr>
      <w:tblGrid>
        <w:gridCol w:w="3312"/>
        <w:gridCol w:w="3312"/>
        <w:gridCol w:w="3312"/>
      </w:tblGrid>
      <w:tr>
        <w:tc>
          <w:tcPr>
            <w:tcW w:type="dxa" w:w="2592"/>
            <w:shd w:fill="0F172A"/>
            <w:tcMar>
              <w:top w:w="130" w:type="dxa"/>
              <w:bottom w:w="130" w:type="dxa"/>
              <w:left w:w="140" w:type="dxa"/>
              <w:right w:w="140" w:type="dxa"/>
            </w:tcMar>
            <w:tcBorders>
              <w:top w:val="single" w:sz="4" w:space="0" w:color="0F172A"/>
              <w:left w:val="none"/>
              <w:bottom w:val="single" w:sz="10" w:space="0" w:color="C89547"/>
              <w:right w:val="none"/>
            </w:tcBorders>
          </w:tcPr>
          <w:p>
            <w:pPr>
              <w:spacing w:before="0" w:after="0"/>
            </w:pPr>
            <w:r>
              <w:rPr>
                <w:rFonts w:ascii="Segoe UI" w:hAnsi="Segoe UI"/>
                <w:b/>
                <w:color w:val="FFFFFF"/>
                <w:sz w:val="19"/>
              </w:rPr>
              <w:t>Database Table</w:t>
            </w:r>
          </w:p>
        </w:tc>
        <w:tc>
          <w:tcPr>
            <w:tcW w:type="dxa" w:w="2592"/>
            <w:shd w:fill="0F172A"/>
            <w:tcMar>
              <w:top w:w="130" w:type="dxa"/>
              <w:bottom w:w="130" w:type="dxa"/>
              <w:left w:w="140" w:type="dxa"/>
              <w:right w:w="140" w:type="dxa"/>
            </w:tcMar>
            <w:tcBorders>
              <w:top w:val="single" w:sz="4" w:space="0" w:color="0F172A"/>
              <w:left w:val="none"/>
              <w:bottom w:val="single" w:sz="10" w:space="0" w:color="C89547"/>
              <w:right w:val="none"/>
            </w:tcBorders>
          </w:tcPr>
          <w:p>
            <w:pPr>
              <w:spacing w:before="0" w:after="0"/>
            </w:pPr>
            <w:r>
              <w:rPr>
                <w:rFonts w:ascii="Segoe UI" w:hAnsi="Segoe UI"/>
                <w:b/>
                <w:color w:val="FFFFFF"/>
                <w:sz w:val="19"/>
              </w:rPr>
              <w:t>Functional Entity Name</w:t>
            </w:r>
          </w:p>
        </w:tc>
        <w:tc>
          <w:tcPr>
            <w:tcW w:type="dxa" w:w="4752"/>
            <w:shd w:fill="0F172A"/>
            <w:tcMar>
              <w:top w:w="130" w:type="dxa"/>
              <w:bottom w:w="130" w:type="dxa"/>
              <w:left w:w="140" w:type="dxa"/>
              <w:right w:w="140" w:type="dxa"/>
            </w:tcMar>
            <w:tcBorders>
              <w:top w:val="single" w:sz="4" w:space="0" w:color="0F172A"/>
              <w:left w:val="none"/>
              <w:bottom w:val="single" w:sz="10" w:space="0" w:color="C89547"/>
              <w:right w:val="none"/>
            </w:tcBorders>
          </w:tcPr>
          <w:p>
            <w:pPr>
              <w:spacing w:before="0" w:after="0"/>
            </w:pPr>
            <w:r>
              <w:rPr>
                <w:rFonts w:ascii="Segoe UI" w:hAnsi="Segoe UI"/>
                <w:b/>
                <w:color w:val="FFFFFF"/>
                <w:sz w:val="19"/>
              </w:rPr>
              <w:t>Operational Purpose &amp; Records Stored</w:t>
            </w:r>
          </w:p>
        </w:tc>
      </w:tr>
      <w:tr>
        <w:tc>
          <w:tcPr>
            <w:tcW w:type="dxa" w:w="2592"/>
            <w:shd w:fill="FFFFFF"/>
            <w:tcMar>
              <w:top w:w="100" w:type="dxa"/>
              <w:bottom w:w="100" w:type="dxa"/>
              <w:left w:w="140" w:type="dxa"/>
              <w:right w:w="140" w:type="dxa"/>
            </w:tcMar>
            <w:tcBorders>
              <w:top w:val="none"/>
              <w:left w:val="none"/>
              <w:bottom w:val="single" w:sz="4" w:space="0" w:color="CBD5E1"/>
              <w:right w:val="none"/>
            </w:tcBorders>
          </w:tcPr>
          <w:p>
            <w:pPr>
              <w:spacing w:before="0" w:after="0" w:line="269" w:lineRule="auto"/>
            </w:pPr>
            <w:r>
              <w:rPr>
                <w:rFonts w:ascii="Segoe UI" w:hAnsi="Segoe UI"/>
                <w:color w:val="334155"/>
                <w:sz w:val="18"/>
              </w:rPr>
              <w:t>location_bins</w:t>
            </w:r>
          </w:p>
        </w:tc>
        <w:tc>
          <w:tcPr>
            <w:tcW w:type="dxa" w:w="2592"/>
            <w:shd w:fill="FFFFFF"/>
            <w:tcMar>
              <w:top w:w="100" w:type="dxa"/>
              <w:bottom w:w="100" w:type="dxa"/>
              <w:left w:w="140" w:type="dxa"/>
              <w:right w:w="140" w:type="dxa"/>
            </w:tcMar>
            <w:tcBorders>
              <w:top w:val="none"/>
              <w:left w:val="none"/>
              <w:bottom w:val="single" w:sz="4" w:space="0" w:color="CBD5E1"/>
              <w:right w:val="none"/>
            </w:tcBorders>
          </w:tcPr>
          <w:p>
            <w:pPr>
              <w:spacing w:before="0" w:after="0" w:line="269" w:lineRule="auto"/>
            </w:pPr>
            <w:r>
              <w:rPr>
                <w:rFonts w:ascii="Segoe UI" w:hAnsi="Segoe UI"/>
                <w:color w:val="334155"/>
                <w:sz w:val="18"/>
              </w:rPr>
              <w:t>Storage Bins &amp; Racks</w:t>
            </w:r>
          </w:p>
        </w:tc>
        <w:tc>
          <w:tcPr>
            <w:tcW w:type="dxa" w:w="4752"/>
            <w:shd w:fill="FFFFFF"/>
            <w:tcMar>
              <w:top w:w="100" w:type="dxa"/>
              <w:bottom w:w="100" w:type="dxa"/>
              <w:left w:w="140" w:type="dxa"/>
              <w:right w:w="140" w:type="dxa"/>
            </w:tcMar>
            <w:tcBorders>
              <w:top w:val="none"/>
              <w:left w:val="none"/>
              <w:bottom w:val="single" w:sz="4" w:space="0" w:color="CBD5E1"/>
              <w:right w:val="none"/>
            </w:tcBorders>
          </w:tcPr>
          <w:p>
            <w:pPr>
              <w:spacing w:before="0" w:after="0" w:line="269" w:lineRule="auto"/>
            </w:pPr>
            <w:r>
              <w:rPr>
                <w:rFonts w:ascii="Segoe UI" w:hAnsi="Segoe UI"/>
                <w:color w:val="334155"/>
                <w:sz w:val="18"/>
              </w:rPr>
              <w:t>Warehouse storage locations, aisle, rack, tier, and environmental zone configuration.</w:t>
            </w:r>
          </w:p>
        </w:tc>
      </w:tr>
      <w:tr>
        <w:tc>
          <w:tcPr>
            <w:tcW w:type="dxa" w:w="2592"/>
            <w:shd w:fill="F8FAFC"/>
            <w:tcMar>
              <w:top w:w="100" w:type="dxa"/>
              <w:bottom w:w="100" w:type="dxa"/>
              <w:left w:w="140" w:type="dxa"/>
              <w:right w:w="140" w:type="dxa"/>
            </w:tcMar>
            <w:tcBorders>
              <w:top w:val="none"/>
              <w:left w:val="none"/>
              <w:bottom w:val="single" w:sz="4" w:space="0" w:color="CBD5E1"/>
              <w:right w:val="none"/>
            </w:tcBorders>
          </w:tcPr>
          <w:p>
            <w:pPr>
              <w:spacing w:before="0" w:after="0" w:line="269" w:lineRule="auto"/>
            </w:pPr>
            <w:r>
              <w:rPr>
                <w:rFonts w:ascii="Segoe UI" w:hAnsi="Segoe UI"/>
                <w:color w:val="334155"/>
                <w:sz w:val="18"/>
              </w:rPr>
              <w:t>inventory_lots</w:t>
            </w:r>
          </w:p>
        </w:tc>
        <w:tc>
          <w:tcPr>
            <w:tcW w:type="dxa" w:w="2592"/>
            <w:shd w:fill="F8FAFC"/>
            <w:tcMar>
              <w:top w:w="100" w:type="dxa"/>
              <w:bottom w:w="100" w:type="dxa"/>
              <w:left w:w="140" w:type="dxa"/>
              <w:right w:w="140" w:type="dxa"/>
            </w:tcMar>
            <w:tcBorders>
              <w:top w:val="none"/>
              <w:left w:val="none"/>
              <w:bottom w:val="single" w:sz="4" w:space="0" w:color="CBD5E1"/>
              <w:right w:val="none"/>
            </w:tcBorders>
          </w:tcPr>
          <w:p>
            <w:pPr>
              <w:spacing w:before="0" w:after="0" w:line="269" w:lineRule="auto"/>
            </w:pPr>
            <w:r>
              <w:rPr>
                <w:rFonts w:ascii="Segoe UI" w:hAnsi="Segoe UI"/>
                <w:color w:val="334155"/>
                <w:sz w:val="18"/>
              </w:rPr>
              <w:t>Inventory Lot Registry</w:t>
            </w:r>
          </w:p>
        </w:tc>
        <w:tc>
          <w:tcPr>
            <w:tcW w:type="dxa" w:w="4752"/>
            <w:shd w:fill="F8FAFC"/>
            <w:tcMar>
              <w:top w:w="100" w:type="dxa"/>
              <w:bottom w:w="100" w:type="dxa"/>
              <w:left w:w="140" w:type="dxa"/>
              <w:right w:w="140" w:type="dxa"/>
            </w:tcMar>
            <w:tcBorders>
              <w:top w:val="none"/>
              <w:left w:val="none"/>
              <w:bottom w:val="single" w:sz="4" w:space="0" w:color="CBD5E1"/>
              <w:right w:val="none"/>
            </w:tcBorders>
          </w:tcPr>
          <w:p>
            <w:pPr>
              <w:spacing w:before="0" w:after="0" w:line="269" w:lineRule="auto"/>
            </w:pPr>
            <w:r>
              <w:rPr>
                <w:rFonts w:ascii="Segoe UI" w:hAnsi="Segoe UI"/>
                <w:color w:val="334155"/>
                <w:sz w:val="18"/>
              </w:rPr>
              <w:t>Material lot records with batch numbers, received dates, expiry dates, and QA hold status.</w:t>
            </w:r>
          </w:p>
        </w:tc>
      </w:tr>
      <w:tr>
        <w:tc>
          <w:tcPr>
            <w:tcW w:type="dxa" w:w="2592"/>
            <w:shd w:fill="FFFFFF"/>
            <w:tcMar>
              <w:top w:w="100" w:type="dxa"/>
              <w:bottom w:w="100" w:type="dxa"/>
              <w:left w:w="140" w:type="dxa"/>
              <w:right w:w="140" w:type="dxa"/>
            </w:tcMar>
            <w:tcBorders>
              <w:top w:val="none"/>
              <w:left w:val="none"/>
              <w:bottom w:val="single" w:sz="4" w:space="0" w:color="CBD5E1"/>
              <w:right w:val="none"/>
            </w:tcBorders>
          </w:tcPr>
          <w:p>
            <w:pPr>
              <w:spacing w:before="0" w:after="0" w:line="269" w:lineRule="auto"/>
            </w:pPr>
            <w:r>
              <w:rPr>
                <w:rFonts w:ascii="Segoe UI" w:hAnsi="Segoe UI"/>
                <w:color w:val="334155"/>
                <w:sz w:val="18"/>
              </w:rPr>
              <w:t>inventory_transactions</w:t>
            </w:r>
          </w:p>
        </w:tc>
        <w:tc>
          <w:tcPr>
            <w:tcW w:type="dxa" w:w="2592"/>
            <w:shd w:fill="FFFFFF"/>
            <w:tcMar>
              <w:top w:w="100" w:type="dxa"/>
              <w:bottom w:w="100" w:type="dxa"/>
              <w:left w:w="140" w:type="dxa"/>
              <w:right w:w="140" w:type="dxa"/>
            </w:tcMar>
            <w:tcBorders>
              <w:top w:val="none"/>
              <w:left w:val="none"/>
              <w:bottom w:val="single" w:sz="4" w:space="0" w:color="CBD5E1"/>
              <w:right w:val="none"/>
            </w:tcBorders>
          </w:tcPr>
          <w:p>
            <w:pPr>
              <w:spacing w:before="0" w:after="0" w:line="269" w:lineRule="auto"/>
            </w:pPr>
            <w:r>
              <w:rPr>
                <w:rFonts w:ascii="Segoe UI" w:hAnsi="Segoe UI"/>
                <w:color w:val="334155"/>
                <w:sz w:val="18"/>
              </w:rPr>
              <w:t>Immutable Inventory Ledger</w:t>
            </w:r>
          </w:p>
        </w:tc>
        <w:tc>
          <w:tcPr>
            <w:tcW w:type="dxa" w:w="4752"/>
            <w:shd w:fill="FFFFFF"/>
            <w:tcMar>
              <w:top w:w="100" w:type="dxa"/>
              <w:bottom w:w="100" w:type="dxa"/>
              <w:left w:w="140" w:type="dxa"/>
              <w:right w:w="140" w:type="dxa"/>
            </w:tcMar>
            <w:tcBorders>
              <w:top w:val="none"/>
              <w:left w:val="none"/>
              <w:bottom w:val="single" w:sz="4" w:space="0" w:color="CBD5E1"/>
              <w:right w:val="none"/>
            </w:tcBorders>
          </w:tcPr>
          <w:p>
            <w:pPr>
              <w:spacing w:before="0" w:after="0" w:line="269" w:lineRule="auto"/>
            </w:pPr>
            <w:r>
              <w:rPr>
                <w:rFonts w:ascii="Segoe UI" w:hAnsi="Segoe UI"/>
                <w:color w:val="334155"/>
                <w:sz w:val="18"/>
              </w:rPr>
              <w:t>Double-entry transaction ledger (Receive, Issue to Floor, Return, Scrap, Transfer).</w:t>
            </w:r>
          </w:p>
        </w:tc>
      </w:tr>
      <w:tr>
        <w:tc>
          <w:tcPr>
            <w:tcW w:type="dxa" w:w="2592"/>
            <w:shd w:fill="F8FAFC"/>
            <w:tcMar>
              <w:top w:w="100" w:type="dxa"/>
              <w:bottom w:w="100" w:type="dxa"/>
              <w:left w:w="140" w:type="dxa"/>
              <w:right w:w="140" w:type="dxa"/>
            </w:tcMar>
            <w:tcBorders>
              <w:top w:val="none"/>
              <w:left w:val="none"/>
              <w:bottom w:val="single" w:sz="4" w:space="0" w:color="CBD5E1"/>
              <w:right w:val="none"/>
            </w:tcBorders>
          </w:tcPr>
          <w:p>
            <w:pPr>
              <w:spacing w:before="0" w:after="0" w:line="269" w:lineRule="auto"/>
            </w:pPr>
            <w:r>
              <w:rPr>
                <w:rFonts w:ascii="Segoe UI" w:hAnsi="Segoe UI"/>
                <w:color w:val="334155"/>
                <w:sz w:val="18"/>
              </w:rPr>
              <w:t>goods_receipts</w:t>
            </w:r>
          </w:p>
        </w:tc>
        <w:tc>
          <w:tcPr>
            <w:tcW w:type="dxa" w:w="2592"/>
            <w:shd w:fill="F8FAFC"/>
            <w:tcMar>
              <w:top w:w="100" w:type="dxa"/>
              <w:bottom w:w="100" w:type="dxa"/>
              <w:left w:w="140" w:type="dxa"/>
              <w:right w:w="140" w:type="dxa"/>
            </w:tcMar>
            <w:tcBorders>
              <w:top w:val="none"/>
              <w:left w:val="none"/>
              <w:bottom w:val="single" w:sz="4" w:space="0" w:color="CBD5E1"/>
              <w:right w:val="none"/>
            </w:tcBorders>
          </w:tcPr>
          <w:p>
            <w:pPr>
              <w:spacing w:before="0" w:after="0" w:line="269" w:lineRule="auto"/>
            </w:pPr>
            <w:r>
              <w:rPr>
                <w:rFonts w:ascii="Segoe UI" w:hAnsi="Segoe UI"/>
                <w:color w:val="334155"/>
                <w:sz w:val="18"/>
              </w:rPr>
              <w:t>Inbound Supplier Receipts</w:t>
            </w:r>
          </w:p>
        </w:tc>
        <w:tc>
          <w:tcPr>
            <w:tcW w:type="dxa" w:w="4752"/>
            <w:shd w:fill="F8FAFC"/>
            <w:tcMar>
              <w:top w:w="100" w:type="dxa"/>
              <w:bottom w:w="100" w:type="dxa"/>
              <w:left w:w="140" w:type="dxa"/>
              <w:right w:w="140" w:type="dxa"/>
            </w:tcMar>
            <w:tcBorders>
              <w:top w:val="none"/>
              <w:left w:val="none"/>
              <w:bottom w:val="single" w:sz="4" w:space="0" w:color="CBD5E1"/>
              <w:right w:val="none"/>
            </w:tcBorders>
          </w:tcPr>
          <w:p>
            <w:pPr>
              <w:spacing w:before="0" w:after="0" w:line="269" w:lineRule="auto"/>
            </w:pPr>
            <w:r>
              <w:rPr>
                <w:rFonts w:ascii="Segoe UI" w:hAnsi="Segoe UI"/>
                <w:color w:val="334155"/>
                <w:sz w:val="18"/>
              </w:rPr>
              <w:t>Inbound purchase order delivery records with supplier lot codes and inspection status.</w:t>
            </w:r>
          </w:p>
        </w:tc>
      </w:tr>
      <w:tr>
        <w:tc>
          <w:tcPr>
            <w:tcW w:type="dxa" w:w="2592"/>
            <w:shd w:fill="FFFFFF"/>
            <w:tcMar>
              <w:top w:w="100" w:type="dxa"/>
              <w:bottom w:w="100" w:type="dxa"/>
              <w:left w:w="140" w:type="dxa"/>
              <w:right w:w="140" w:type="dxa"/>
            </w:tcMar>
            <w:tcBorders>
              <w:top w:val="none"/>
              <w:left w:val="none"/>
              <w:bottom w:val="single" w:sz="4" w:space="0" w:color="CBD5E1"/>
              <w:right w:val="none"/>
            </w:tcBorders>
          </w:tcPr>
          <w:p>
            <w:pPr>
              <w:spacing w:before="0" w:after="0" w:line="269" w:lineRule="auto"/>
            </w:pPr>
            <w:r>
              <w:rPr>
                <w:rFonts w:ascii="Segoe UI" w:hAnsi="Segoe UI"/>
                <w:color w:val="334155"/>
                <w:sz w:val="18"/>
              </w:rPr>
              <w:t>shipment_orders</w:t>
            </w:r>
          </w:p>
        </w:tc>
        <w:tc>
          <w:tcPr>
            <w:tcW w:type="dxa" w:w="2592"/>
            <w:shd w:fill="FFFFFF"/>
            <w:tcMar>
              <w:top w:w="100" w:type="dxa"/>
              <w:bottom w:w="100" w:type="dxa"/>
              <w:left w:w="140" w:type="dxa"/>
              <w:right w:w="140" w:type="dxa"/>
            </w:tcMar>
            <w:tcBorders>
              <w:top w:val="none"/>
              <w:left w:val="none"/>
              <w:bottom w:val="single" w:sz="4" w:space="0" w:color="CBD5E1"/>
              <w:right w:val="none"/>
            </w:tcBorders>
          </w:tcPr>
          <w:p>
            <w:pPr>
              <w:spacing w:before="0" w:after="0" w:line="269" w:lineRule="auto"/>
            </w:pPr>
            <w:r>
              <w:rPr>
                <w:rFonts w:ascii="Segoe UI" w:hAnsi="Segoe UI"/>
                <w:color w:val="334155"/>
                <w:sz w:val="18"/>
              </w:rPr>
              <w:t>Outbound Customer Shipments</w:t>
            </w:r>
          </w:p>
        </w:tc>
        <w:tc>
          <w:tcPr>
            <w:tcW w:type="dxa" w:w="4752"/>
            <w:shd w:fill="FFFFFF"/>
            <w:tcMar>
              <w:top w:w="100" w:type="dxa"/>
              <w:bottom w:w="100" w:type="dxa"/>
              <w:left w:w="140" w:type="dxa"/>
              <w:right w:w="140" w:type="dxa"/>
            </w:tcMar>
            <w:tcBorders>
              <w:top w:val="none"/>
              <w:left w:val="none"/>
              <w:bottom w:val="single" w:sz="4" w:space="0" w:color="CBD5E1"/>
              <w:right w:val="none"/>
            </w:tcBorders>
          </w:tcPr>
          <w:p>
            <w:pPr>
              <w:spacing w:before="0" w:after="0" w:line="269" w:lineRule="auto"/>
            </w:pPr>
            <w:r>
              <w:rPr>
                <w:rFonts w:ascii="Segoe UI" w:hAnsi="Segoe UI"/>
                <w:color w:val="334155"/>
                <w:sz w:val="18"/>
              </w:rPr>
              <w:t>Finished goods customer dispatch orders with pallet tracking and bill of lading.</w:t>
            </w:r>
          </w:p>
        </w:tc>
      </w:tr>
      <w:tr>
        <w:tc>
          <w:tcPr>
            <w:tcW w:type="dxa" w:w="2592"/>
            <w:shd w:fill="F8FAFC"/>
            <w:tcMar>
              <w:top w:w="100" w:type="dxa"/>
              <w:bottom w:w="100" w:type="dxa"/>
              <w:left w:w="140" w:type="dxa"/>
              <w:right w:w="140" w:type="dxa"/>
            </w:tcMar>
            <w:tcBorders>
              <w:top w:val="none"/>
              <w:left w:val="none"/>
              <w:bottom w:val="single" w:sz="4" w:space="0" w:color="CBD5E1"/>
              <w:right w:val="none"/>
            </w:tcBorders>
          </w:tcPr>
          <w:p>
            <w:pPr>
              <w:spacing w:before="0" w:after="0" w:line="269" w:lineRule="auto"/>
            </w:pPr>
            <w:r>
              <w:rPr>
                <w:rFonts w:ascii="Segoe UI" w:hAnsi="Segoe UI"/>
                <w:color w:val="334155"/>
                <w:sz w:val="18"/>
              </w:rPr>
              <w:t>lot_genealogies</w:t>
            </w:r>
          </w:p>
        </w:tc>
        <w:tc>
          <w:tcPr>
            <w:tcW w:type="dxa" w:w="2592"/>
            <w:shd w:fill="F8FAFC"/>
            <w:tcMar>
              <w:top w:w="100" w:type="dxa"/>
              <w:bottom w:w="100" w:type="dxa"/>
              <w:left w:w="140" w:type="dxa"/>
              <w:right w:w="140" w:type="dxa"/>
            </w:tcMar>
            <w:tcBorders>
              <w:top w:val="none"/>
              <w:left w:val="none"/>
              <w:bottom w:val="single" w:sz="4" w:space="0" w:color="CBD5E1"/>
              <w:right w:val="none"/>
            </w:tcBorders>
          </w:tcPr>
          <w:p>
            <w:pPr>
              <w:spacing w:before="0" w:after="0" w:line="269" w:lineRule="auto"/>
            </w:pPr>
            <w:r>
              <w:rPr>
                <w:rFonts w:ascii="Segoe UI" w:hAnsi="Segoe UI"/>
                <w:color w:val="334155"/>
                <w:sz w:val="18"/>
              </w:rPr>
              <w:t>Farm-to-Fork Lot Genealogy</w:t>
            </w:r>
          </w:p>
        </w:tc>
        <w:tc>
          <w:tcPr>
            <w:tcW w:type="dxa" w:w="4752"/>
            <w:shd w:fill="F8FAFC"/>
            <w:tcMar>
              <w:top w:w="100" w:type="dxa"/>
              <w:bottom w:w="100" w:type="dxa"/>
              <w:left w:w="140" w:type="dxa"/>
              <w:right w:w="140" w:type="dxa"/>
            </w:tcMar>
            <w:tcBorders>
              <w:top w:val="none"/>
              <w:left w:val="none"/>
              <w:bottom w:val="single" w:sz="4" w:space="0" w:color="CBD5E1"/>
              <w:right w:val="none"/>
            </w:tcBorders>
          </w:tcPr>
          <w:p>
            <w:pPr>
              <w:spacing w:before="0" w:after="0" w:line="269" w:lineRule="auto"/>
            </w:pPr>
            <w:r>
              <w:rPr>
                <w:rFonts w:ascii="Segoe UI" w:hAnsi="Segoe UI"/>
                <w:color w:val="334155"/>
                <w:sz w:val="18"/>
              </w:rPr>
              <w:t>Upstream and downstream lot-to-lot transformations enabling instant mock recalls.</w:t>
            </w:r>
          </w:p>
        </w:tc>
      </w:tr>
    </w:tbl>
    <w:p>
      <w:pPr>
        <w:spacing w:before="40" w:after="120"/>
      </w:pPr>
    </w:p>
    <w:p>
      <w:pPr>
        <w:pStyle w:val="Heading2"/>
        <w:keepNext/>
        <w:spacing w:before="280" w:after="80"/>
      </w:pPr>
      <w:r>
        <w:rPr>
          <w:rFonts w:ascii="Segoe UI" w:hAnsi="Segoe UI"/>
          <w:b/>
          <w:color w:val="1E3A8A"/>
          <w:sz w:val="26"/>
        </w:rPr>
        <w:t>6.11 Communications, Vendors &amp; Global Operations (5 Tables)</w:t>
      </w:r>
    </w:p>
    <w:tbl>
      <w:tblPr>
        <w:tblW w:type="auto" w:w="0"/>
        <w:jc w:val="center"/>
        <w:tblLayout w:type="fixed"/>
        <w:tblLook w:firstColumn="1" w:firstRow="1" w:lastColumn="0" w:lastRow="0" w:noHBand="0" w:noVBand="1" w:val="04A0"/>
      </w:tblPr>
      <w:tblGrid>
        <w:gridCol w:w="3312"/>
        <w:gridCol w:w="3312"/>
        <w:gridCol w:w="3312"/>
      </w:tblGrid>
      <w:tr>
        <w:tc>
          <w:tcPr>
            <w:tcW w:type="dxa" w:w="2592"/>
            <w:shd w:fill="0F172A"/>
            <w:tcMar>
              <w:top w:w="130" w:type="dxa"/>
              <w:bottom w:w="130" w:type="dxa"/>
              <w:left w:w="140" w:type="dxa"/>
              <w:right w:w="140" w:type="dxa"/>
            </w:tcMar>
            <w:tcBorders>
              <w:top w:val="single" w:sz="4" w:space="0" w:color="0F172A"/>
              <w:left w:val="none"/>
              <w:bottom w:val="single" w:sz="10" w:space="0" w:color="C89547"/>
              <w:right w:val="none"/>
            </w:tcBorders>
          </w:tcPr>
          <w:p>
            <w:pPr>
              <w:spacing w:before="0" w:after="0"/>
            </w:pPr>
            <w:r>
              <w:rPr>
                <w:rFonts w:ascii="Segoe UI" w:hAnsi="Segoe UI"/>
                <w:b/>
                <w:color w:val="FFFFFF"/>
                <w:sz w:val="19"/>
              </w:rPr>
              <w:t>Database Table</w:t>
            </w:r>
          </w:p>
        </w:tc>
        <w:tc>
          <w:tcPr>
            <w:tcW w:type="dxa" w:w="2592"/>
            <w:shd w:fill="0F172A"/>
            <w:tcMar>
              <w:top w:w="130" w:type="dxa"/>
              <w:bottom w:w="130" w:type="dxa"/>
              <w:left w:w="140" w:type="dxa"/>
              <w:right w:w="140" w:type="dxa"/>
            </w:tcMar>
            <w:tcBorders>
              <w:top w:val="single" w:sz="4" w:space="0" w:color="0F172A"/>
              <w:left w:val="none"/>
              <w:bottom w:val="single" w:sz="10" w:space="0" w:color="C89547"/>
              <w:right w:val="none"/>
            </w:tcBorders>
          </w:tcPr>
          <w:p>
            <w:pPr>
              <w:spacing w:before="0" w:after="0"/>
            </w:pPr>
            <w:r>
              <w:rPr>
                <w:rFonts w:ascii="Segoe UI" w:hAnsi="Segoe UI"/>
                <w:b/>
                <w:color w:val="FFFFFF"/>
                <w:sz w:val="19"/>
              </w:rPr>
              <w:t>Functional Entity Name</w:t>
            </w:r>
          </w:p>
        </w:tc>
        <w:tc>
          <w:tcPr>
            <w:tcW w:type="dxa" w:w="4752"/>
            <w:shd w:fill="0F172A"/>
            <w:tcMar>
              <w:top w:w="130" w:type="dxa"/>
              <w:bottom w:w="130" w:type="dxa"/>
              <w:left w:w="140" w:type="dxa"/>
              <w:right w:w="140" w:type="dxa"/>
            </w:tcMar>
            <w:tcBorders>
              <w:top w:val="single" w:sz="4" w:space="0" w:color="0F172A"/>
              <w:left w:val="none"/>
              <w:bottom w:val="single" w:sz="10" w:space="0" w:color="C89547"/>
              <w:right w:val="none"/>
            </w:tcBorders>
          </w:tcPr>
          <w:p>
            <w:pPr>
              <w:spacing w:before="0" w:after="0"/>
            </w:pPr>
            <w:r>
              <w:rPr>
                <w:rFonts w:ascii="Segoe UI" w:hAnsi="Segoe UI"/>
                <w:b/>
                <w:color w:val="FFFFFF"/>
                <w:sz w:val="19"/>
              </w:rPr>
              <w:t>Operational Purpose &amp; Records Stored</w:t>
            </w:r>
          </w:p>
        </w:tc>
      </w:tr>
      <w:tr>
        <w:tc>
          <w:tcPr>
            <w:tcW w:type="dxa" w:w="2592"/>
            <w:shd w:fill="FFFFFF"/>
            <w:tcMar>
              <w:top w:w="100" w:type="dxa"/>
              <w:bottom w:w="100" w:type="dxa"/>
              <w:left w:w="140" w:type="dxa"/>
              <w:right w:w="140" w:type="dxa"/>
            </w:tcMar>
            <w:tcBorders>
              <w:top w:val="none"/>
              <w:left w:val="none"/>
              <w:bottom w:val="single" w:sz="4" w:space="0" w:color="CBD5E1"/>
              <w:right w:val="none"/>
            </w:tcBorders>
          </w:tcPr>
          <w:p>
            <w:pPr>
              <w:spacing w:before="0" w:after="0" w:line="269" w:lineRule="auto"/>
            </w:pPr>
            <w:r>
              <w:rPr>
                <w:rFonts w:ascii="Segoe UI" w:hAnsi="Segoe UI"/>
                <w:color w:val="334155"/>
                <w:sz w:val="18"/>
              </w:rPr>
              <w:t>notifications</w:t>
            </w:r>
          </w:p>
        </w:tc>
        <w:tc>
          <w:tcPr>
            <w:tcW w:type="dxa" w:w="2592"/>
            <w:shd w:fill="FFFFFF"/>
            <w:tcMar>
              <w:top w:w="100" w:type="dxa"/>
              <w:bottom w:w="100" w:type="dxa"/>
              <w:left w:w="140" w:type="dxa"/>
              <w:right w:w="140" w:type="dxa"/>
            </w:tcMar>
            <w:tcBorders>
              <w:top w:val="none"/>
              <w:left w:val="none"/>
              <w:bottom w:val="single" w:sz="4" w:space="0" w:color="CBD5E1"/>
              <w:right w:val="none"/>
            </w:tcBorders>
          </w:tcPr>
          <w:p>
            <w:pPr>
              <w:spacing w:before="0" w:after="0" w:line="269" w:lineRule="auto"/>
            </w:pPr>
            <w:r>
              <w:rPr>
                <w:rFonts w:ascii="Segoe UI" w:hAnsi="Segoe UI"/>
                <w:color w:val="334155"/>
                <w:sz w:val="18"/>
              </w:rPr>
              <w:t>System Notification Alerts</w:t>
            </w:r>
          </w:p>
        </w:tc>
        <w:tc>
          <w:tcPr>
            <w:tcW w:type="dxa" w:w="4752"/>
            <w:shd w:fill="FFFFFF"/>
            <w:tcMar>
              <w:top w:w="100" w:type="dxa"/>
              <w:bottom w:w="100" w:type="dxa"/>
              <w:left w:w="140" w:type="dxa"/>
              <w:right w:w="140" w:type="dxa"/>
            </w:tcMar>
            <w:tcBorders>
              <w:top w:val="none"/>
              <w:left w:val="none"/>
              <w:bottom w:val="single" w:sz="4" w:space="0" w:color="CBD5E1"/>
              <w:right w:val="none"/>
            </w:tcBorders>
          </w:tcPr>
          <w:p>
            <w:pPr>
              <w:spacing w:before="0" w:after="0" w:line="269" w:lineRule="auto"/>
            </w:pPr>
            <w:r>
              <w:rPr>
                <w:rFonts w:ascii="Segoe UI" w:hAnsi="Segoe UI"/>
                <w:color w:val="334155"/>
                <w:sz w:val="18"/>
              </w:rPr>
              <w:t>Role-based in-app notifications and urgent floor alerts.</w:t>
            </w:r>
          </w:p>
        </w:tc>
      </w:tr>
      <w:tr>
        <w:tc>
          <w:tcPr>
            <w:tcW w:type="dxa" w:w="2592"/>
            <w:shd w:fill="F8FAFC"/>
            <w:tcMar>
              <w:top w:w="100" w:type="dxa"/>
              <w:bottom w:w="100" w:type="dxa"/>
              <w:left w:w="140" w:type="dxa"/>
              <w:right w:w="140" w:type="dxa"/>
            </w:tcMar>
            <w:tcBorders>
              <w:top w:val="none"/>
              <w:left w:val="none"/>
              <w:bottom w:val="single" w:sz="4" w:space="0" w:color="CBD5E1"/>
              <w:right w:val="none"/>
            </w:tcBorders>
          </w:tcPr>
          <w:p>
            <w:pPr>
              <w:spacing w:before="0" w:after="0" w:line="269" w:lineRule="auto"/>
            </w:pPr>
            <w:r>
              <w:rPr>
                <w:rFonts w:ascii="Segoe UI" w:hAnsi="Segoe UI"/>
                <w:color w:val="334155"/>
                <w:sz w:val="18"/>
              </w:rPr>
              <w:t>exceptions</w:t>
            </w:r>
          </w:p>
        </w:tc>
        <w:tc>
          <w:tcPr>
            <w:tcW w:type="dxa" w:w="2592"/>
            <w:shd w:fill="F8FAFC"/>
            <w:tcMar>
              <w:top w:w="100" w:type="dxa"/>
              <w:bottom w:w="100" w:type="dxa"/>
              <w:left w:w="140" w:type="dxa"/>
              <w:right w:w="140" w:type="dxa"/>
            </w:tcMar>
            <w:tcBorders>
              <w:top w:val="none"/>
              <w:left w:val="none"/>
              <w:bottom w:val="single" w:sz="4" w:space="0" w:color="CBD5E1"/>
              <w:right w:val="none"/>
            </w:tcBorders>
          </w:tcPr>
          <w:p>
            <w:pPr>
              <w:spacing w:before="0" w:after="0" w:line="269" w:lineRule="auto"/>
            </w:pPr>
            <w:r>
              <w:rPr>
                <w:rFonts w:ascii="Segoe UI" w:hAnsi="Segoe UI"/>
                <w:color w:val="334155"/>
                <w:sz w:val="18"/>
              </w:rPr>
              <w:t>Global Operational Exceptions</w:t>
            </w:r>
          </w:p>
        </w:tc>
        <w:tc>
          <w:tcPr>
            <w:tcW w:type="dxa" w:w="4752"/>
            <w:shd w:fill="F8FAFC"/>
            <w:tcMar>
              <w:top w:w="100" w:type="dxa"/>
              <w:bottom w:w="100" w:type="dxa"/>
              <w:left w:w="140" w:type="dxa"/>
              <w:right w:w="140" w:type="dxa"/>
            </w:tcMar>
            <w:tcBorders>
              <w:top w:val="none"/>
              <w:left w:val="none"/>
              <w:bottom w:val="single" w:sz="4" w:space="0" w:color="CBD5E1"/>
              <w:right w:val="none"/>
            </w:tcBorders>
          </w:tcPr>
          <w:p>
            <w:pPr>
              <w:spacing w:before="0" w:after="0" w:line="269" w:lineRule="auto"/>
            </w:pPr>
            <w:r>
              <w:rPr>
                <w:rFonts w:ascii="Segoe UI" w:hAnsi="Segoe UI"/>
                <w:color w:val="334155"/>
                <w:sz w:val="18"/>
              </w:rPr>
              <w:t>Unresolved system exceptions and operational anomalies requiring escalation.</w:t>
            </w:r>
          </w:p>
        </w:tc>
      </w:tr>
      <w:tr>
        <w:tc>
          <w:tcPr>
            <w:tcW w:type="dxa" w:w="2592"/>
            <w:shd w:fill="FFFFFF"/>
            <w:tcMar>
              <w:top w:w="100" w:type="dxa"/>
              <w:bottom w:w="100" w:type="dxa"/>
              <w:left w:w="140" w:type="dxa"/>
              <w:right w:w="140" w:type="dxa"/>
            </w:tcMar>
            <w:tcBorders>
              <w:top w:val="none"/>
              <w:left w:val="none"/>
              <w:bottom w:val="single" w:sz="4" w:space="0" w:color="CBD5E1"/>
              <w:right w:val="none"/>
            </w:tcBorders>
          </w:tcPr>
          <w:p>
            <w:pPr>
              <w:spacing w:before="0" w:after="0" w:line="269" w:lineRule="auto"/>
            </w:pPr>
            <w:r>
              <w:rPr>
                <w:rFonts w:ascii="Segoe UI" w:hAnsi="Segoe UI"/>
                <w:color w:val="334155"/>
                <w:sz w:val="18"/>
              </w:rPr>
              <w:t>documents</w:t>
            </w:r>
          </w:p>
        </w:tc>
        <w:tc>
          <w:tcPr>
            <w:tcW w:type="dxa" w:w="2592"/>
            <w:shd w:fill="FFFFFF"/>
            <w:tcMar>
              <w:top w:w="100" w:type="dxa"/>
              <w:bottom w:w="100" w:type="dxa"/>
              <w:left w:w="140" w:type="dxa"/>
              <w:right w:w="140" w:type="dxa"/>
            </w:tcMar>
            <w:tcBorders>
              <w:top w:val="none"/>
              <w:left w:val="none"/>
              <w:bottom w:val="single" w:sz="4" w:space="0" w:color="CBD5E1"/>
              <w:right w:val="none"/>
            </w:tcBorders>
          </w:tcPr>
          <w:p>
            <w:pPr>
              <w:spacing w:before="0" w:after="0" w:line="269" w:lineRule="auto"/>
            </w:pPr>
            <w:r>
              <w:rPr>
                <w:rFonts w:ascii="Segoe UI" w:hAnsi="Segoe UI"/>
                <w:color w:val="334155"/>
                <w:sz w:val="18"/>
              </w:rPr>
              <w:t>Controlled Document Repository</w:t>
            </w:r>
          </w:p>
        </w:tc>
        <w:tc>
          <w:tcPr>
            <w:tcW w:type="dxa" w:w="4752"/>
            <w:shd w:fill="FFFFFF"/>
            <w:tcMar>
              <w:top w:w="100" w:type="dxa"/>
              <w:bottom w:w="100" w:type="dxa"/>
              <w:left w:w="140" w:type="dxa"/>
              <w:right w:w="140" w:type="dxa"/>
            </w:tcMar>
            <w:tcBorders>
              <w:top w:val="none"/>
              <w:left w:val="none"/>
              <w:bottom w:val="single" w:sz="4" w:space="0" w:color="CBD5E1"/>
              <w:right w:val="none"/>
            </w:tcBorders>
          </w:tcPr>
          <w:p>
            <w:pPr>
              <w:spacing w:before="0" w:after="0" w:line="269" w:lineRule="auto"/>
            </w:pPr>
            <w:r>
              <w:rPr>
                <w:rFonts w:ascii="Segoe UI" w:hAnsi="Segoe UI"/>
                <w:color w:val="334155"/>
                <w:sz w:val="18"/>
              </w:rPr>
              <w:t>Controlled plant documents with revision control, approval history, and PDF attachments.</w:t>
            </w:r>
          </w:p>
        </w:tc>
      </w:tr>
      <w:tr>
        <w:tc>
          <w:tcPr>
            <w:tcW w:type="dxa" w:w="2592"/>
            <w:shd w:fill="F8FAFC"/>
            <w:tcMar>
              <w:top w:w="100" w:type="dxa"/>
              <w:bottom w:w="100" w:type="dxa"/>
              <w:left w:w="140" w:type="dxa"/>
              <w:right w:w="140" w:type="dxa"/>
            </w:tcMar>
            <w:tcBorders>
              <w:top w:val="none"/>
              <w:left w:val="none"/>
              <w:bottom w:val="single" w:sz="4" w:space="0" w:color="CBD5E1"/>
              <w:right w:val="none"/>
            </w:tcBorders>
          </w:tcPr>
          <w:p>
            <w:pPr>
              <w:spacing w:before="0" w:after="0" w:line="269" w:lineRule="auto"/>
            </w:pPr>
            <w:r>
              <w:rPr>
                <w:rFonts w:ascii="Segoe UI" w:hAnsi="Segoe UI"/>
                <w:color w:val="334155"/>
                <w:sz w:val="18"/>
              </w:rPr>
              <w:t>purchasing_vendors</w:t>
            </w:r>
          </w:p>
        </w:tc>
        <w:tc>
          <w:tcPr>
            <w:tcW w:type="dxa" w:w="2592"/>
            <w:shd w:fill="F8FAFC"/>
            <w:tcMar>
              <w:top w:w="100" w:type="dxa"/>
              <w:bottom w:w="100" w:type="dxa"/>
              <w:left w:w="140" w:type="dxa"/>
              <w:right w:w="140" w:type="dxa"/>
            </w:tcMar>
            <w:tcBorders>
              <w:top w:val="none"/>
              <w:left w:val="none"/>
              <w:bottom w:val="single" w:sz="4" w:space="0" w:color="CBD5E1"/>
              <w:right w:val="none"/>
            </w:tcBorders>
          </w:tcPr>
          <w:p>
            <w:pPr>
              <w:spacing w:before="0" w:after="0" w:line="269" w:lineRule="auto"/>
            </w:pPr>
            <w:r>
              <w:rPr>
                <w:rFonts w:ascii="Segoe UI" w:hAnsi="Segoe UI"/>
                <w:color w:val="334155"/>
                <w:sz w:val="18"/>
              </w:rPr>
              <w:t>Approved Supplier Registry</w:t>
            </w:r>
          </w:p>
        </w:tc>
        <w:tc>
          <w:tcPr>
            <w:tcW w:type="dxa" w:w="4752"/>
            <w:shd w:fill="F8FAFC"/>
            <w:tcMar>
              <w:top w:w="100" w:type="dxa"/>
              <w:bottom w:w="100" w:type="dxa"/>
              <w:left w:w="140" w:type="dxa"/>
              <w:right w:w="140" w:type="dxa"/>
            </w:tcMar>
            <w:tcBorders>
              <w:top w:val="none"/>
              <w:left w:val="none"/>
              <w:bottom w:val="single" w:sz="4" w:space="0" w:color="CBD5E1"/>
              <w:right w:val="none"/>
            </w:tcBorders>
          </w:tcPr>
          <w:p>
            <w:pPr>
              <w:spacing w:before="0" w:after="0" w:line="269" w:lineRule="auto"/>
            </w:pPr>
            <w:r>
              <w:rPr>
                <w:rFonts w:ascii="Segoe UI" w:hAnsi="Segoe UI"/>
                <w:color w:val="334155"/>
                <w:sz w:val="18"/>
              </w:rPr>
              <w:t>Approved raw material and packaging supplier directory with quality scorecard ratings.</w:t>
            </w:r>
          </w:p>
        </w:tc>
      </w:tr>
      <w:tr>
        <w:tc>
          <w:tcPr>
            <w:tcW w:type="dxa" w:w="2592"/>
            <w:shd w:fill="FFFFFF"/>
            <w:tcMar>
              <w:top w:w="100" w:type="dxa"/>
              <w:bottom w:w="100" w:type="dxa"/>
              <w:left w:w="140" w:type="dxa"/>
              <w:right w:w="140" w:type="dxa"/>
            </w:tcMar>
            <w:tcBorders>
              <w:top w:val="none"/>
              <w:left w:val="none"/>
              <w:bottom w:val="single" w:sz="4" w:space="0" w:color="CBD5E1"/>
              <w:right w:val="none"/>
            </w:tcBorders>
          </w:tcPr>
          <w:p>
            <w:pPr>
              <w:spacing w:before="0" w:after="0" w:line="269" w:lineRule="auto"/>
            </w:pPr>
            <w:r>
              <w:rPr>
                <w:rFonts w:ascii="Segoe UI" w:hAnsi="Segoe UI"/>
                <w:color w:val="334155"/>
                <w:sz w:val="18"/>
              </w:rPr>
              <w:t>recall_events</w:t>
            </w:r>
          </w:p>
        </w:tc>
        <w:tc>
          <w:tcPr>
            <w:tcW w:type="dxa" w:w="2592"/>
            <w:shd w:fill="FFFFFF"/>
            <w:tcMar>
              <w:top w:w="100" w:type="dxa"/>
              <w:bottom w:w="100" w:type="dxa"/>
              <w:left w:w="140" w:type="dxa"/>
              <w:right w:w="140" w:type="dxa"/>
            </w:tcMar>
            <w:tcBorders>
              <w:top w:val="none"/>
              <w:left w:val="none"/>
              <w:bottom w:val="single" w:sz="4" w:space="0" w:color="CBD5E1"/>
              <w:right w:val="none"/>
            </w:tcBorders>
          </w:tcPr>
          <w:p>
            <w:pPr>
              <w:spacing w:before="0" w:after="0" w:line="269" w:lineRule="auto"/>
            </w:pPr>
            <w:r>
              <w:rPr>
                <w:rFonts w:ascii="Segoe UI" w:hAnsi="Segoe UI"/>
                <w:color w:val="334155"/>
                <w:sz w:val="18"/>
              </w:rPr>
              <w:t>Mock &amp; Regulatory Recall Logs</w:t>
            </w:r>
          </w:p>
        </w:tc>
        <w:tc>
          <w:tcPr>
            <w:tcW w:type="dxa" w:w="4752"/>
            <w:shd w:fill="FFFFFF"/>
            <w:tcMar>
              <w:top w:w="100" w:type="dxa"/>
              <w:bottom w:w="100" w:type="dxa"/>
              <w:left w:w="140" w:type="dxa"/>
              <w:right w:w="140" w:type="dxa"/>
            </w:tcMar>
            <w:tcBorders>
              <w:top w:val="none"/>
              <w:left w:val="none"/>
              <w:bottom w:val="single" w:sz="4" w:space="0" w:color="CBD5E1"/>
              <w:right w:val="none"/>
            </w:tcBorders>
          </w:tcPr>
          <w:p>
            <w:pPr>
              <w:spacing w:before="0" w:after="0" w:line="269" w:lineRule="auto"/>
            </w:pPr>
            <w:r>
              <w:rPr>
                <w:rFonts w:ascii="Segoe UI" w:hAnsi="Segoe UI"/>
                <w:color w:val="334155"/>
                <w:sz w:val="18"/>
              </w:rPr>
              <w:t>Regulatory recall simulations and execution records with time-to-containment metrics.</w:t>
            </w:r>
          </w:p>
        </w:tc>
      </w:tr>
    </w:tbl>
    <w:p>
      <w:pPr>
        <w:spacing w:before="40" w:after="120"/>
      </w:pPr>
    </w:p>
    <w:p>
      <w:r>
        <w:br w:type="page"/>
      </w:r>
    </w:p>
    <w:p>
      <w:pPr>
        <w:pStyle w:val="Heading1"/>
        <w:keepNext/>
        <w:spacing w:before="360" w:after="120"/>
      </w:pPr>
      <w:r>
        <w:rPr>
          <w:rFonts w:ascii="Segoe UI" w:hAnsi="Segoe UI"/>
          <w:b/>
          <w:color w:val="0F172A"/>
          <w:sz w:val="34"/>
        </w:rPr>
        <w:t>7. End-to-End Operational Lifecycle: 'The Life of an Order'</w:t>
      </w:r>
    </w:p>
    <w:p>
      <w:pPr>
        <w:spacing w:before="0" w:after="120" w:line="283" w:lineRule="auto"/>
      </w:pPr>
      <w:r>
        <w:rPr>
          <w:rFonts w:ascii="Segoe UI" w:hAnsi="Segoe UI"/>
          <w:color w:val="334155"/>
          <w:sz w:val="20"/>
        </w:rPr>
        <w:t>To understand how MaintenX-OS operates in a real-world manufacturing plant, follow the end-to-end lifecycle of a customer order (e.g., 50,000 cases of 330ml Premium Tonic Water) from initial receipt to final customer shipment and continuous improvement loop:</w:t>
      </w:r>
    </w:p>
    <w:tbl>
      <w:tblPr>
        <w:tblW w:type="auto" w:w="0"/>
        <w:jc w:val="center"/>
        <w:tblLayout w:type="fixed"/>
        <w:tblLook w:firstColumn="1" w:firstRow="1" w:lastColumn="0" w:lastRow="0" w:noHBand="0" w:noVBand="1" w:val="04A0"/>
      </w:tblPr>
      <w:tblGrid>
        <w:gridCol w:w="9936"/>
      </w:tblGrid>
      <w:tr>
        <w:tc>
          <w:tcPr>
            <w:tcW w:type="dxa" w:w="9792"/>
            <w:shd w:fill="F8FAFC"/>
            <w:tcMar>
              <w:top w:w="140" w:type="dxa"/>
              <w:bottom w:w="140" w:type="dxa"/>
              <w:left w:w="200" w:type="dxa"/>
              <w:right w:w="180" w:type="dxa"/>
            </w:tcMar>
            <w:tcBorders>
              <w:top w:val="none"/>
              <w:left w:val="single" w:sz="30" w:space="0" w:color="1E3A8A"/>
              <w:bottom w:val="none"/>
              <w:right w:val="none"/>
            </w:tcBorders>
          </w:tcPr>
          <w:p>
            <w:pPr>
              <w:spacing w:before="40" w:after="80" w:line="276" w:lineRule="auto"/>
            </w:pPr>
            <w:r>
              <w:rPr>
                <w:rFonts w:ascii="Segoe UI" w:hAnsi="Segoe UI"/>
                <w:b/>
                <w:color w:val="1E3A8A"/>
                <w:sz w:val="19"/>
              </w:rPr>
              <w:t>★  PHASE 1: DEMAND INGESTION &amp; MRP NETTING</w:t>
              <w:br/>
            </w:r>
            <w:r>
              <w:rPr>
                <w:rFonts w:ascii="Segoe UI" w:hAnsi="Segoe UI"/>
                <w:color w:val="334155"/>
                <w:sz w:val="19"/>
              </w:rPr>
              <w:t>The customer order is ingested into the system. The MRP Netting Engine automatically explodes the Bill of Materials (BOM). It checks existing on-hand stock and flags a material deficit (e.g., shortage of 5,000 bottle caps). An automated Purchase Requisition is instantly dispatched to the procurement team with lead-time requirements.</w:t>
            </w:r>
          </w:p>
        </w:tc>
      </w:tr>
    </w:tbl>
    <w:p>
      <w:pPr>
        <w:spacing w:after="80"/>
      </w:pPr>
    </w:p>
    <w:tbl>
      <w:tblPr>
        <w:tblW w:type="auto" w:w="0"/>
        <w:jc w:val="center"/>
        <w:tblLayout w:type="fixed"/>
        <w:tblLook w:firstColumn="1" w:firstRow="1" w:lastColumn="0" w:lastRow="0" w:noHBand="0" w:noVBand="1" w:val="04A0"/>
      </w:tblPr>
      <w:tblGrid>
        <w:gridCol w:w="9936"/>
      </w:tblGrid>
      <w:tr>
        <w:tc>
          <w:tcPr>
            <w:tcW w:type="dxa" w:w="9792"/>
            <w:shd w:fill="F8FAFC"/>
            <w:tcMar>
              <w:top w:w="140" w:type="dxa"/>
              <w:bottom w:w="140" w:type="dxa"/>
              <w:left w:w="200" w:type="dxa"/>
              <w:right w:w="180" w:type="dxa"/>
            </w:tcMar>
            <w:tcBorders>
              <w:top w:val="none"/>
              <w:left w:val="single" w:sz="30" w:space="0" w:color="1E3A8A"/>
              <w:bottom w:val="none"/>
              <w:right w:val="none"/>
            </w:tcBorders>
          </w:tcPr>
          <w:p>
            <w:pPr>
              <w:spacing w:before="40" w:after="80" w:line="276" w:lineRule="auto"/>
            </w:pPr>
            <w:r>
              <w:rPr>
                <w:rFonts w:ascii="Segoe UI" w:hAnsi="Segoe UI"/>
                <w:b/>
                <w:color w:val="1E3A8A"/>
                <w:sz w:val="19"/>
              </w:rPr>
              <w:t>★  PHASE 2: FINITE CAPACITY SCHEDULING (APS)</w:t>
              <w:br/>
            </w:r>
            <w:r>
              <w:rPr>
                <w:rFonts w:ascii="Segoe UI" w:hAnsi="Segoe UI"/>
                <w:color w:val="334155"/>
                <w:sz w:val="19"/>
              </w:rPr>
              <w:t>The Planning Engineer allocates the order to Line 1 on the Master Production Schedule (MPS). The system verifies line availability, checks allergen and CIP sanitation constraints, confirms tooling availability, and locks the shift schedule block to prevent schedule churn.</w:t>
            </w:r>
          </w:p>
        </w:tc>
      </w:tr>
    </w:tbl>
    <w:p>
      <w:pPr>
        <w:spacing w:after="80"/>
      </w:pPr>
    </w:p>
    <w:tbl>
      <w:tblPr>
        <w:tblW w:type="auto" w:w="0"/>
        <w:jc w:val="center"/>
        <w:tblLayout w:type="fixed"/>
        <w:tblLook w:firstColumn="1" w:firstRow="1" w:lastColumn="0" w:lastRow="0" w:noHBand="0" w:noVBand="1" w:val="04A0"/>
      </w:tblPr>
      <w:tblGrid>
        <w:gridCol w:w="9936"/>
      </w:tblGrid>
      <w:tr>
        <w:tc>
          <w:tcPr>
            <w:tcW w:type="dxa" w:w="9792"/>
            <w:shd w:fill="F8FAFC"/>
            <w:tcMar>
              <w:top w:w="140" w:type="dxa"/>
              <w:bottom w:w="140" w:type="dxa"/>
              <w:left w:w="200" w:type="dxa"/>
              <w:right w:w="180" w:type="dxa"/>
            </w:tcMar>
            <w:tcBorders>
              <w:top w:val="none"/>
              <w:left w:val="single" w:sz="30" w:space="0" w:color="1E3A8A"/>
              <w:bottom w:val="none"/>
              <w:right w:val="none"/>
            </w:tcBorders>
          </w:tcPr>
          <w:p>
            <w:pPr>
              <w:spacing w:before="40" w:after="80" w:line="276" w:lineRule="auto"/>
            </w:pPr>
            <w:r>
              <w:rPr>
                <w:rFonts w:ascii="Segoe UI" w:hAnsi="Segoe UI"/>
                <w:b/>
                <w:color w:val="1E3A8A"/>
                <w:sz w:val="19"/>
              </w:rPr>
              <w:t>★  PHASE 3: MES FLOOR ORDER RELEASE &amp; SETUP</w:t>
              <w:br/>
            </w:r>
            <w:r>
              <w:rPr>
                <w:rFonts w:ascii="Segoe UI" w:hAnsi="Segoe UI"/>
                <w:color w:val="334155"/>
                <w:sz w:val="19"/>
              </w:rPr>
              <w:t>The Production Supervisor releases the order to the floor terminal on Line 1. Line speed targets are set (e.g., 40,000 BPH). Machines establish telemetry links, and the digital batch record (Batch #TW-2026-0909) is initialized.</w:t>
            </w:r>
          </w:p>
        </w:tc>
      </w:tr>
    </w:tbl>
    <w:p>
      <w:pPr>
        <w:spacing w:after="80"/>
      </w:pPr>
    </w:p>
    <w:tbl>
      <w:tblPr>
        <w:tblW w:type="auto" w:w="0"/>
        <w:jc w:val="center"/>
        <w:tblLayout w:type="fixed"/>
        <w:tblLook w:firstColumn="1" w:firstRow="1" w:lastColumn="0" w:lastRow="0" w:noHBand="0" w:noVBand="1" w:val="04A0"/>
      </w:tblPr>
      <w:tblGrid>
        <w:gridCol w:w="9936"/>
      </w:tblGrid>
      <w:tr>
        <w:tc>
          <w:tcPr>
            <w:tcW w:type="dxa" w:w="9792"/>
            <w:shd w:fill="F8FAFC"/>
            <w:tcMar>
              <w:top w:w="140" w:type="dxa"/>
              <w:bottom w:w="140" w:type="dxa"/>
              <w:left w:w="200" w:type="dxa"/>
              <w:right w:w="180" w:type="dxa"/>
            </w:tcMar>
            <w:tcBorders>
              <w:top w:val="none"/>
              <w:left w:val="single" w:sz="30" w:space="0" w:color="1E3A8A"/>
              <w:bottom w:val="none"/>
              <w:right w:val="none"/>
            </w:tcBorders>
          </w:tcPr>
          <w:p>
            <w:pPr>
              <w:spacing w:before="40" w:after="80" w:line="276" w:lineRule="auto"/>
            </w:pPr>
            <w:r>
              <w:rPr>
                <w:rFonts w:ascii="Segoe UI" w:hAnsi="Segoe UI"/>
                <w:b/>
                <w:color w:val="1E3A8A"/>
                <w:sz w:val="19"/>
              </w:rPr>
              <w:t>★  PHASE 4: 6-STEP ELECTRONIC BATCH RECORD EXECUTION</w:t>
              <w:br/>
            </w:r>
            <w:r>
              <w:rPr>
                <w:rFonts w:ascii="Segoe UI" w:hAnsi="Segoe UI"/>
                <w:color w:val="334155"/>
                <w:sz w:val="19"/>
              </w:rPr>
              <w:t>The line operator walks through the mandatory 6-step eBR on an industrial tablet:</w:t>
              <w:br/>
              <w:t>• Step 1: Scans ingredient barcodes to verify lots against quarantine blocks.</w:t>
              <w:br/>
              <w:t>• Step 2: Dispenses liquid sugar and quinine with tare-weight verification.</w:t>
              <w:br/>
              <w:t>• Step 3: Monitors pasteurizer heating telemetry (88°C) and tank agitation RPM.</w:t>
              <w:br/>
              <w:t>• Step 4: Records HACCP CCP readings (pH: 3.2, Brix: 10.5°Bx, Seamer Vacuum: 12 inHg).</w:t>
              <w:br/>
              <w:t>• Step 5: Conducts automated fill-level and optical cap inspection.</w:t>
              <w:br/>
              <w:t>• Step 6: Completes the batch, calculates net yield, and submits to the QA Lab queue.</w:t>
            </w:r>
          </w:p>
        </w:tc>
      </w:tr>
    </w:tbl>
    <w:p>
      <w:pPr>
        <w:spacing w:after="80"/>
      </w:pPr>
    </w:p>
    <w:tbl>
      <w:tblPr>
        <w:tblW w:type="auto" w:w="0"/>
        <w:jc w:val="center"/>
        <w:tblLayout w:type="fixed"/>
        <w:tblLook w:firstColumn="1" w:firstRow="1" w:lastColumn="0" w:lastRow="0" w:noHBand="0" w:noVBand="1" w:val="04A0"/>
      </w:tblPr>
      <w:tblGrid>
        <w:gridCol w:w="9936"/>
      </w:tblGrid>
      <w:tr>
        <w:tc>
          <w:tcPr>
            <w:tcW w:type="dxa" w:w="9792"/>
            <w:shd w:fill="F8FAFC"/>
            <w:tcMar>
              <w:top w:w="140" w:type="dxa"/>
              <w:bottom w:w="140" w:type="dxa"/>
              <w:left w:w="200" w:type="dxa"/>
              <w:right w:w="180" w:type="dxa"/>
            </w:tcMar>
            <w:tcBorders>
              <w:top w:val="none"/>
              <w:left w:val="single" w:sz="30" w:space="0" w:color="1E3A8A"/>
              <w:bottom w:val="none"/>
              <w:right w:val="none"/>
            </w:tcBorders>
          </w:tcPr>
          <w:p>
            <w:pPr>
              <w:spacing w:before="40" w:after="80" w:line="276" w:lineRule="auto"/>
            </w:pPr>
            <w:r>
              <w:rPr>
                <w:rFonts w:ascii="Segoe UI" w:hAnsi="Segoe UI"/>
                <w:b/>
                <w:color w:val="1E3A8A"/>
                <w:sz w:val="19"/>
              </w:rPr>
              <w:t>★  PHASE 5: MACHINE TELEMETRY &amp; MICRO-DOWNTIME CAPTURE</w:t>
              <w:br/>
            </w:r>
            <w:r>
              <w:rPr>
                <w:rFonts w:ascii="Segoe UI" w:hAnsi="Segoe UI"/>
                <w:color w:val="334155"/>
                <w:sz w:val="19"/>
              </w:rPr>
              <w:t>Throughout the production run, real-time telemetry monitors Bottles Per Hour. When a 12-minute micro-stop occurs at the Seamer due to cap jamming, the system immediately logs the downtime, prompts the operator for an ISO 14224 reason code, and automatically recalculates Availability and OEE.</w:t>
            </w:r>
          </w:p>
        </w:tc>
      </w:tr>
    </w:tbl>
    <w:p>
      <w:pPr>
        <w:spacing w:after="80"/>
      </w:pPr>
    </w:p>
    <w:tbl>
      <w:tblPr>
        <w:tblW w:type="auto" w:w="0"/>
        <w:jc w:val="center"/>
        <w:tblLayout w:type="fixed"/>
        <w:tblLook w:firstColumn="1" w:firstRow="1" w:lastColumn="0" w:lastRow="0" w:noHBand="0" w:noVBand="1" w:val="04A0"/>
      </w:tblPr>
      <w:tblGrid>
        <w:gridCol w:w="9936"/>
      </w:tblGrid>
      <w:tr>
        <w:tc>
          <w:tcPr>
            <w:tcW w:type="dxa" w:w="9792"/>
            <w:shd w:fill="F8FAFC"/>
            <w:tcMar>
              <w:top w:w="140" w:type="dxa"/>
              <w:bottom w:w="140" w:type="dxa"/>
              <w:left w:w="200" w:type="dxa"/>
              <w:right w:w="180" w:type="dxa"/>
            </w:tcMar>
            <w:tcBorders>
              <w:top w:val="none"/>
              <w:left w:val="single" w:sz="30" w:space="0" w:color="1E3A8A"/>
              <w:bottom w:val="none"/>
              <w:right w:val="none"/>
            </w:tcBorders>
          </w:tcPr>
          <w:p>
            <w:pPr>
              <w:spacing w:before="40" w:after="80" w:line="276" w:lineRule="auto"/>
            </w:pPr>
            <w:r>
              <w:rPr>
                <w:rFonts w:ascii="Segoe UI" w:hAnsi="Segoe UI"/>
                <w:b/>
                <w:color w:val="1E3A8A"/>
                <w:sz w:val="19"/>
              </w:rPr>
              <w:t>★  PHASE 6: QA LABORATORY RELEASE &amp; WMS INGESTION</w:t>
              <w:br/>
            </w:r>
            <w:r>
              <w:rPr>
                <w:rFonts w:ascii="Segoe UI" w:hAnsi="Segoe UI"/>
                <w:color w:val="334155"/>
                <w:sz w:val="19"/>
              </w:rPr>
              <w:t>The QA Lead inspects analytical lab samples, reviews in-process CCP telemetry, confirms no out-of-spec deviations, and signs the electronic Certificate of Analysis (CoA) using a 21 CFR Part 11 digital signature. Finished goods are moved to Warehouse Pallet Racks with double-entry inventory transactions, making them available for outbound dispatch.</w:t>
            </w:r>
          </w:p>
        </w:tc>
      </w:tr>
    </w:tbl>
    <w:p>
      <w:pPr>
        <w:spacing w:after="80"/>
      </w:pPr>
    </w:p>
    <w:tbl>
      <w:tblPr>
        <w:tblW w:type="auto" w:w="0"/>
        <w:jc w:val="center"/>
        <w:tblLayout w:type="fixed"/>
        <w:tblLook w:firstColumn="1" w:firstRow="1" w:lastColumn="0" w:lastRow="0" w:noHBand="0" w:noVBand="1" w:val="04A0"/>
      </w:tblPr>
      <w:tblGrid>
        <w:gridCol w:w="9936"/>
      </w:tblGrid>
      <w:tr>
        <w:tc>
          <w:tcPr>
            <w:tcW w:type="dxa" w:w="9792"/>
            <w:shd w:fill="F8FAFC"/>
            <w:tcMar>
              <w:top w:w="140" w:type="dxa"/>
              <w:bottom w:w="140" w:type="dxa"/>
              <w:left w:w="200" w:type="dxa"/>
              <w:right w:w="180" w:type="dxa"/>
            </w:tcMar>
            <w:tcBorders>
              <w:top w:val="none"/>
              <w:left w:val="single" w:sz="30" w:space="0" w:color="1E3A8A"/>
              <w:bottom w:val="none"/>
              <w:right w:val="none"/>
            </w:tcBorders>
          </w:tcPr>
          <w:p>
            <w:pPr>
              <w:spacing w:before="40" w:after="80" w:line="276" w:lineRule="auto"/>
            </w:pPr>
            <w:r>
              <w:rPr>
                <w:rFonts w:ascii="Segoe UI" w:hAnsi="Segoe UI"/>
                <w:b/>
                <w:color w:val="1E3A8A"/>
                <w:sz w:val="19"/>
              </w:rPr>
              <w:t>★  PHASE 7: CONTINUOUS IMPROVEMENT &amp; KAIZEN FEEDBACK LOOP</w:t>
              <w:br/>
            </w:r>
            <w:r>
              <w:rPr>
                <w:rFonts w:ascii="Segoe UI" w:hAnsi="Segoe UI"/>
                <w:color w:val="334155"/>
                <w:sz w:val="19"/>
              </w:rPr>
              <w:t>The 12-minute Seamer stoppage is aggregated into the CI Reliability Module. If repeated stops exceed the bad-actor threshold, the system automatically initiates a 5-Why RCA investigation, assigns an 8D CAPA to the maintenance technician, and tracks annual financial savings once the tooling guide fix is verified.</w:t>
            </w:r>
          </w:p>
        </w:tc>
      </w:tr>
    </w:tbl>
    <w:p>
      <w:pPr>
        <w:spacing w:after="80"/>
      </w:pPr>
    </w:p>
    <w:p>
      <w:pPr>
        <w:pStyle w:val="Heading1"/>
        <w:keepNext/>
        <w:spacing w:before="360" w:after="120"/>
      </w:pPr>
      <w:r>
        <w:rPr>
          <w:rFonts w:ascii="Segoe UI" w:hAnsi="Segoe UI"/>
          <w:b/>
          <w:color w:val="0F172A"/>
          <w:sz w:val="34"/>
        </w:rPr>
        <w:t>8. Built-in Manufacturing Algorithmic &amp; Mathematical Engines</w:t>
      </w:r>
    </w:p>
    <w:p>
      <w:pPr>
        <w:spacing w:before="0" w:after="120" w:line="283" w:lineRule="auto"/>
      </w:pPr>
      <w:r>
        <w:rPr>
          <w:rFonts w:ascii="Segoe UI" w:hAnsi="Segoe UI"/>
          <w:color w:val="334155"/>
          <w:sz w:val="20"/>
        </w:rPr>
        <w:t>MaintenX-OS incorporates advanced industrial mathematical algorithms that run continuously in the background to automate decisions, optimize machine utilization, and predict plant performance.</w:t>
      </w:r>
    </w:p>
    <w:p>
      <w:pPr>
        <w:pStyle w:val="Heading2"/>
        <w:keepNext/>
        <w:spacing w:before="280" w:after="80"/>
      </w:pPr>
      <w:r>
        <w:rPr>
          <w:rFonts w:ascii="Segoe UI" w:hAnsi="Segoe UI"/>
          <w:b/>
          <w:color w:val="1E3A8A"/>
          <w:sz w:val="26"/>
        </w:rPr>
        <w:t>8.1 Overall Equipment Effectiveness (OEE) Engine</w:t>
      </w:r>
    </w:p>
    <w:p>
      <w:pPr>
        <w:spacing w:before="0" w:after="120" w:line="283" w:lineRule="auto"/>
      </w:pPr>
      <w:r>
        <w:rPr>
          <w:rFonts w:ascii="Segoe UI" w:hAnsi="Segoe UI"/>
          <w:color w:val="334155"/>
          <w:sz w:val="20"/>
        </w:rPr>
        <w:t>OEE is the gold standard metric for measuring manufacturing productivity. MaintenX-OS deconstructs OEE into three distinct factors:</w:t>
      </w:r>
    </w:p>
    <w:p>
      <w:pPr>
        <w:pStyle w:val="ListBullet"/>
        <w:spacing w:before="20" w:after="60" w:line="276" w:lineRule="auto"/>
      </w:pPr>
      <w:r>
        <w:rPr>
          <w:rFonts w:ascii="Segoe UI" w:hAnsi="Segoe UI"/>
          <w:b/>
          <w:color w:val="0F172A"/>
          <w:sz w:val="20"/>
        </w:rPr>
        <w:t xml:space="preserve">Availability Formula: </w:t>
      </w:r>
      <w:r>
        <w:rPr>
          <w:rFonts w:ascii="Segoe UI" w:hAnsi="Segoe UI"/>
          <w:color w:val="334155"/>
          <w:sz w:val="20"/>
        </w:rPr>
        <w:t>Availability = (Operating Time) / (Planned Production Time) = (Planned Time - Total Downtime) / (Planned Time)</w:t>
      </w:r>
    </w:p>
    <w:p>
      <w:pPr>
        <w:pStyle w:val="ListBullet"/>
        <w:spacing w:before="20" w:after="60" w:line="276" w:lineRule="auto"/>
      </w:pPr>
      <w:r>
        <w:rPr>
          <w:rFonts w:ascii="Segoe UI" w:hAnsi="Segoe UI"/>
          <w:b/>
          <w:color w:val="0F172A"/>
          <w:sz w:val="20"/>
        </w:rPr>
        <w:t xml:space="preserve">Performance Formula: </w:t>
      </w:r>
      <w:r>
        <w:rPr>
          <w:rFonts w:ascii="Segoe UI" w:hAnsi="Segoe UI"/>
          <w:color w:val="334155"/>
          <w:sz w:val="20"/>
        </w:rPr>
        <w:t>Performance = (Total Units Produced) / (Operating Time × Ideal Nameplate Speed BPH)</w:t>
      </w:r>
    </w:p>
    <w:p>
      <w:pPr>
        <w:pStyle w:val="ListBullet"/>
        <w:spacing w:before="20" w:after="60" w:line="276" w:lineRule="auto"/>
      </w:pPr>
      <w:r>
        <w:rPr>
          <w:rFonts w:ascii="Segoe UI" w:hAnsi="Segoe UI"/>
          <w:b/>
          <w:color w:val="0F172A"/>
          <w:sz w:val="20"/>
        </w:rPr>
        <w:t xml:space="preserve">Quality Formula: </w:t>
      </w:r>
      <w:r>
        <w:rPr>
          <w:rFonts w:ascii="Segoe UI" w:hAnsi="Segoe UI"/>
          <w:color w:val="334155"/>
          <w:sz w:val="20"/>
        </w:rPr>
        <w:t>Quality = (Good Sellable Units) / (Total Units Produced) = (Total Units - Scrap Units) / (Total Units)</w:t>
      </w:r>
    </w:p>
    <w:p>
      <w:pPr>
        <w:pStyle w:val="ListBullet"/>
        <w:spacing w:before="20" w:after="60" w:line="276" w:lineRule="auto"/>
      </w:pPr>
      <w:r>
        <w:rPr>
          <w:rFonts w:ascii="Segoe UI" w:hAnsi="Segoe UI"/>
          <w:b/>
          <w:color w:val="0F172A"/>
          <w:sz w:val="20"/>
        </w:rPr>
        <w:t xml:space="preserve">Composite Plant OEE: </w:t>
      </w:r>
      <w:r>
        <w:rPr>
          <w:rFonts w:ascii="Segoe UI" w:hAnsi="Segoe UI"/>
          <w:color w:val="334155"/>
          <w:sz w:val="20"/>
        </w:rPr>
        <w:t>Plant OEE = Availability × Performance × Quality</w:t>
      </w:r>
    </w:p>
    <w:p>
      <w:pPr>
        <w:spacing w:before="0" w:after="120" w:line="283" w:lineRule="auto"/>
      </w:pPr>
      <w:r>
        <w:rPr>
          <w:rFonts w:ascii="Segoe UI" w:hAnsi="Segoe UI"/>
          <w:color w:val="334155"/>
          <w:sz w:val="20"/>
        </w:rPr>
        <w:t>Example: If a line runs with 90% Availability, 92% Performance, and 98% Quality, the overall OEE is 0.90 × 0.92 × 0.98 = 81.14%. Any degradation in any single factor is instantly highlighted on executive scorecards.</w:t>
      </w:r>
    </w:p>
    <w:p>
      <w:pPr>
        <w:pStyle w:val="Heading2"/>
        <w:keepNext/>
        <w:spacing w:before="280" w:after="80"/>
      </w:pPr>
      <w:r>
        <w:rPr>
          <w:rFonts w:ascii="Segoe UI" w:hAnsi="Segoe UI"/>
          <w:b/>
          <w:color w:val="1E3A8A"/>
          <w:sz w:val="26"/>
        </w:rPr>
        <w:t>8.2 Statistical Demand Forecasting Engine (Exponential Smoothing)</w:t>
      </w:r>
    </w:p>
    <w:p>
      <w:pPr>
        <w:spacing w:before="0" w:after="120" w:line="283" w:lineRule="auto"/>
      </w:pPr>
      <w:r>
        <w:rPr>
          <w:rFonts w:ascii="Segoe UI" w:hAnsi="Segoe UI"/>
          <w:color w:val="334155"/>
          <w:sz w:val="20"/>
        </w:rPr>
        <w:t>To generate accurate forward-looking production demand without manual guesswork, MaintenX-OS utilizes a statistical Holt-Winters single/double exponential smoothing model:</w:t>
      </w:r>
    </w:p>
    <w:p>
      <w:pPr>
        <w:pStyle w:val="ListBullet"/>
        <w:spacing w:before="20" w:after="60" w:line="276" w:lineRule="auto"/>
      </w:pPr>
      <w:r>
        <w:rPr>
          <w:rFonts w:ascii="Segoe UI" w:hAnsi="Segoe UI"/>
          <w:b/>
          <w:color w:val="0F172A"/>
          <w:sz w:val="20"/>
        </w:rPr>
        <w:t xml:space="preserve">Forecasting Formula: </w:t>
      </w:r>
      <w:r>
        <w:rPr>
          <w:rFonts w:ascii="Segoe UI" w:hAnsi="Segoe UI"/>
          <w:color w:val="334155"/>
          <w:sz w:val="20"/>
        </w:rPr>
        <w:t>F(t+1) = α · A(t) + (1 - α) · F(t) + Promotional Uplift</w:t>
      </w:r>
    </w:p>
    <w:p>
      <w:pPr>
        <w:spacing w:before="0" w:after="120" w:line="283" w:lineRule="auto"/>
      </w:pPr>
      <w:r>
        <w:rPr>
          <w:rFonts w:ascii="Segoe UI" w:hAnsi="Segoe UI"/>
          <w:color w:val="334155"/>
          <w:sz w:val="20"/>
        </w:rPr>
        <w:t>Where α (smoothing constant) is dynamically tuned between 0.20 and 0.30 based on historical sales velocity. Accuracy is validated via Mean Absolute Percentage Error (MAPE):</w:t>
      </w:r>
    </w:p>
    <w:p>
      <w:pPr>
        <w:pStyle w:val="ListBullet"/>
        <w:spacing w:before="20" w:after="60" w:line="276" w:lineRule="auto"/>
      </w:pPr>
      <w:r>
        <w:rPr>
          <w:rFonts w:ascii="Segoe UI" w:hAnsi="Segoe UI"/>
          <w:b/>
          <w:color w:val="0F172A"/>
          <w:sz w:val="20"/>
        </w:rPr>
        <w:t xml:space="preserve">Model Accuracy (MAPE): </w:t>
      </w:r>
      <w:r>
        <w:rPr>
          <w:rFonts w:ascii="Segoe UI" w:hAnsi="Segoe UI"/>
          <w:color w:val="334155"/>
          <w:sz w:val="20"/>
        </w:rPr>
        <w:t>MAPE = (1 / n) · Σ | (Actual Demand - Forecasted Demand) / Actual Demand | × 100%</w:t>
      </w:r>
    </w:p>
    <w:p>
      <w:pPr>
        <w:pStyle w:val="Heading2"/>
        <w:keepNext/>
        <w:spacing w:before="280" w:after="80"/>
      </w:pPr>
      <w:r>
        <w:rPr>
          <w:rFonts w:ascii="Segoe UI" w:hAnsi="Segoe UI"/>
          <w:b/>
          <w:color w:val="1E3A8A"/>
          <w:sz w:val="26"/>
        </w:rPr>
        <w:t>8.3 Material Requirements Planning (MRP) Netting Engine</w:t>
      </w:r>
    </w:p>
    <w:p>
      <w:pPr>
        <w:spacing w:before="0" w:after="120" w:line="283" w:lineRule="auto"/>
      </w:pPr>
      <w:r>
        <w:rPr>
          <w:rFonts w:ascii="Segoe UI" w:hAnsi="Segoe UI"/>
          <w:color w:val="334155"/>
          <w:sz w:val="20"/>
        </w:rPr>
        <w:t>The MRP engine prevents line starvation while avoiding expensive warehouse over-stocking:</w:t>
      </w:r>
    </w:p>
    <w:p>
      <w:pPr>
        <w:pStyle w:val="ListBullet"/>
        <w:spacing w:before="20" w:after="60" w:line="276" w:lineRule="auto"/>
      </w:pPr>
      <w:r>
        <w:rPr>
          <w:rFonts w:ascii="Segoe UI" w:hAnsi="Segoe UI"/>
          <w:b/>
          <w:color w:val="0F172A"/>
          <w:sz w:val="20"/>
        </w:rPr>
        <w:t xml:space="preserve">MRP Netting Formula: </w:t>
      </w:r>
      <w:r>
        <w:rPr>
          <w:rFonts w:ascii="Segoe UI" w:hAnsi="Segoe UI"/>
          <w:color w:val="334155"/>
          <w:sz w:val="20"/>
        </w:rPr>
        <w:t>Net Requirement = Gross Demand + Safety Stock Buffer - (On-Hand Inventory - Reserved Stock + Scheduled Inbound Receipts)</w:t>
      </w:r>
    </w:p>
    <w:p>
      <w:pPr>
        <w:spacing w:before="0" w:after="120" w:line="283" w:lineRule="auto"/>
      </w:pPr>
      <w:r>
        <w:rPr>
          <w:rFonts w:ascii="Segoe UI" w:hAnsi="Segoe UI"/>
          <w:color w:val="334155"/>
          <w:sz w:val="20"/>
        </w:rPr>
        <w:t>If Net Requirement &gt; 0, the system automatically triggers a Purchase Requisition with recommended order date based on vendor lead times.</w:t>
      </w:r>
    </w:p>
    <w:p>
      <w:pPr>
        <w:pStyle w:val="Heading2"/>
        <w:keepNext/>
        <w:spacing w:before="280" w:after="80"/>
      </w:pPr>
      <w:r>
        <w:rPr>
          <w:rFonts w:ascii="Segoe UI" w:hAnsi="Segoe UI"/>
          <w:b/>
          <w:color w:val="1E3A8A"/>
          <w:sz w:val="26"/>
        </w:rPr>
        <w:t>8.4 Mathematical Recovery Simulator</w:t>
      </w:r>
    </w:p>
    <w:p>
      <w:pPr>
        <w:spacing w:before="0" w:after="120" w:line="283" w:lineRule="auto"/>
      </w:pPr>
      <w:r>
        <w:rPr>
          <w:rFonts w:ascii="Segoe UI" w:hAnsi="Segoe UI"/>
          <w:color w:val="334155"/>
          <w:sz w:val="20"/>
        </w:rPr>
        <w:t>When unexpected breakdowns occur, plant managers need to know how to recover lost cases before the end of the shift. The recovery simulator computes:</w:t>
      </w:r>
    </w:p>
    <w:p>
      <w:pPr>
        <w:pStyle w:val="ListBullet"/>
        <w:spacing w:before="20" w:after="60" w:line="276" w:lineRule="auto"/>
      </w:pPr>
      <w:r>
        <w:rPr>
          <w:rFonts w:ascii="Segoe UI" w:hAnsi="Segoe UI"/>
          <w:b/>
          <w:color w:val="0F172A"/>
          <w:sz w:val="20"/>
        </w:rPr>
        <w:t xml:space="preserve">Recovery Calculation: </w:t>
      </w:r>
      <w:r>
        <w:rPr>
          <w:rFonts w:ascii="Segoe UI" w:hAnsi="Segoe UI"/>
          <w:color w:val="334155"/>
          <w:sz w:val="20"/>
        </w:rPr>
        <w:t>Projected Recovery Units = [ Base Speed × (1 + Boost% / 100) × Remaining Hours ] + [ Overtime Hours × Boosted Speed ] - Target Demand Shortage</w:t>
      </w:r>
    </w:p>
    <w:p>
      <w:pPr>
        <w:spacing w:before="0" w:after="120" w:line="283" w:lineRule="auto"/>
      </w:pPr>
      <w:r>
        <w:rPr>
          <w:rFonts w:ascii="Segoe UI" w:hAnsi="Segoe UI"/>
          <w:color w:val="334155"/>
          <w:sz w:val="20"/>
        </w:rPr>
        <w:t>Plant managers adjust interactive UI sliders for speed boost (+0% to +15%) and overtime hours (0 to 4 hrs). The system instantly calculates recovered units, incremental labour costs, and delivery feasibility in real time.</w:t>
      </w:r>
    </w:p>
    <w:p>
      <w:r>
        <w:br w:type="page"/>
      </w:r>
    </w:p>
    <w:p>
      <w:pPr>
        <w:pStyle w:val="Heading1"/>
        <w:keepNext/>
        <w:spacing w:before="360" w:after="120"/>
      </w:pPr>
      <w:r>
        <w:rPr>
          <w:rFonts w:ascii="Segoe UI" w:hAnsi="Segoe UI"/>
          <w:b/>
          <w:color w:val="0F172A"/>
          <w:sz w:val="34"/>
        </w:rPr>
        <w:t>9. Enterprise REST API Catalog &amp; Integration Touchpoints</w:t>
      </w:r>
    </w:p>
    <w:p>
      <w:pPr>
        <w:spacing w:before="0" w:after="120" w:line="283" w:lineRule="auto"/>
      </w:pPr>
      <w:r>
        <w:rPr>
          <w:rFonts w:ascii="Segoe UI" w:hAnsi="Segoe UI"/>
          <w:color w:val="334155"/>
          <w:sz w:val="20"/>
        </w:rPr>
        <w:t>MaintenX-OS is designed as an open, connected platform capable of seamless bi-directional communication with existing enterprise ERP systems (SAP S/4HANA, Oracle NetSuite, Microsoft Dynamics), factory floor SCADA/PLC controllers, and industrial hardware.</w:t>
      </w:r>
    </w:p>
    <w:tbl>
      <w:tblPr>
        <w:tblW w:type="auto" w:w="0"/>
        <w:jc w:val="center"/>
        <w:tblLayout w:type="fixed"/>
        <w:tblLook w:firstColumn="1" w:firstRow="1" w:lastColumn="0" w:lastRow="0" w:noHBand="0" w:noVBand="1" w:val="04A0"/>
      </w:tblPr>
      <w:tblGrid>
        <w:gridCol w:w="3312"/>
        <w:gridCol w:w="3312"/>
        <w:gridCol w:w="3312"/>
      </w:tblGrid>
      <w:tr>
        <w:tc>
          <w:tcPr>
            <w:tcW w:type="dxa" w:w="2592"/>
            <w:shd w:fill="0F172A"/>
            <w:tcMar>
              <w:top w:w="130" w:type="dxa"/>
              <w:bottom w:w="130" w:type="dxa"/>
              <w:left w:w="140" w:type="dxa"/>
              <w:right w:w="140" w:type="dxa"/>
            </w:tcMar>
            <w:tcBorders>
              <w:top w:val="single" w:sz="4" w:space="0" w:color="0F172A"/>
              <w:left w:val="none"/>
              <w:bottom w:val="single" w:sz="10" w:space="0" w:color="C89547"/>
              <w:right w:val="none"/>
            </w:tcBorders>
          </w:tcPr>
          <w:p>
            <w:pPr>
              <w:spacing w:before="0" w:after="0"/>
            </w:pPr>
            <w:r>
              <w:rPr>
                <w:rFonts w:ascii="Segoe UI" w:hAnsi="Segoe UI"/>
                <w:b/>
                <w:color w:val="FFFFFF"/>
                <w:sz w:val="19"/>
              </w:rPr>
              <w:t>Functional API Module</w:t>
            </w:r>
          </w:p>
        </w:tc>
        <w:tc>
          <w:tcPr>
            <w:tcW w:type="dxa" w:w="3312"/>
            <w:shd w:fill="0F172A"/>
            <w:tcMar>
              <w:top w:w="130" w:type="dxa"/>
              <w:bottom w:w="130" w:type="dxa"/>
              <w:left w:w="140" w:type="dxa"/>
              <w:right w:w="140" w:type="dxa"/>
            </w:tcMar>
            <w:tcBorders>
              <w:top w:val="single" w:sz="4" w:space="0" w:color="0F172A"/>
              <w:left w:val="none"/>
              <w:bottom w:val="single" w:sz="10" w:space="0" w:color="C89547"/>
              <w:right w:val="none"/>
            </w:tcBorders>
          </w:tcPr>
          <w:p>
            <w:pPr>
              <w:spacing w:before="0" w:after="0"/>
            </w:pPr>
            <w:r>
              <w:rPr>
                <w:rFonts w:ascii="Segoe UI" w:hAnsi="Segoe UI"/>
                <w:b/>
                <w:color w:val="FFFFFF"/>
                <w:sz w:val="19"/>
              </w:rPr>
              <w:t>Primary REST Endpoints</w:t>
            </w:r>
          </w:p>
        </w:tc>
        <w:tc>
          <w:tcPr>
            <w:tcW w:type="dxa" w:w="4032"/>
            <w:shd w:fill="0F172A"/>
            <w:tcMar>
              <w:top w:w="130" w:type="dxa"/>
              <w:bottom w:w="130" w:type="dxa"/>
              <w:left w:w="140" w:type="dxa"/>
              <w:right w:w="140" w:type="dxa"/>
            </w:tcMar>
            <w:tcBorders>
              <w:top w:val="single" w:sz="4" w:space="0" w:color="0F172A"/>
              <w:left w:val="none"/>
              <w:bottom w:val="single" w:sz="10" w:space="0" w:color="C89547"/>
              <w:right w:val="none"/>
            </w:tcBorders>
          </w:tcPr>
          <w:p>
            <w:pPr>
              <w:spacing w:before="0" w:after="0"/>
            </w:pPr>
            <w:r>
              <w:rPr>
                <w:rFonts w:ascii="Segoe UI" w:hAnsi="Segoe UI"/>
                <w:b/>
                <w:color w:val="FFFFFF"/>
                <w:sz w:val="19"/>
              </w:rPr>
              <w:t>Operational Capability &amp; Data Payload</w:t>
            </w:r>
          </w:p>
        </w:tc>
      </w:tr>
      <w:tr>
        <w:tc>
          <w:tcPr>
            <w:tcW w:type="dxa" w:w="2592"/>
            <w:shd w:fill="FFFFFF"/>
            <w:tcMar>
              <w:top w:w="100" w:type="dxa"/>
              <w:bottom w:w="100" w:type="dxa"/>
              <w:left w:w="140" w:type="dxa"/>
              <w:right w:w="140" w:type="dxa"/>
            </w:tcMar>
            <w:tcBorders>
              <w:top w:val="none"/>
              <w:left w:val="none"/>
              <w:bottom w:val="single" w:sz="4" w:space="0" w:color="CBD5E1"/>
              <w:right w:val="none"/>
            </w:tcBorders>
          </w:tcPr>
          <w:p>
            <w:pPr>
              <w:spacing w:before="0" w:after="0" w:line="269" w:lineRule="auto"/>
            </w:pPr>
            <w:r>
              <w:rPr>
                <w:rFonts w:ascii="Segoe UI" w:hAnsi="Segoe UI"/>
                <w:color w:val="334155"/>
                <w:sz w:val="18"/>
              </w:rPr>
              <w:t>Authentication &amp; RBAC</w:t>
            </w:r>
          </w:p>
        </w:tc>
        <w:tc>
          <w:tcPr>
            <w:tcW w:type="dxa" w:w="3312"/>
            <w:shd w:fill="FFFFFF"/>
            <w:tcMar>
              <w:top w:w="100" w:type="dxa"/>
              <w:bottom w:w="100" w:type="dxa"/>
              <w:left w:w="140" w:type="dxa"/>
              <w:right w:w="140" w:type="dxa"/>
            </w:tcMar>
            <w:tcBorders>
              <w:top w:val="none"/>
              <w:left w:val="none"/>
              <w:bottom w:val="single" w:sz="4" w:space="0" w:color="CBD5E1"/>
              <w:right w:val="none"/>
            </w:tcBorders>
          </w:tcPr>
          <w:p>
            <w:pPr>
              <w:spacing w:before="0" w:after="0" w:line="269" w:lineRule="auto"/>
            </w:pPr>
            <w:r>
              <w:rPr>
                <w:rFonts w:ascii="Segoe UI" w:hAnsi="Segoe UI"/>
                <w:color w:val="334155"/>
                <w:sz w:val="18"/>
              </w:rPr>
              <w:t>POST /api/v1/auth/login</w:t>
              <w:br/>
              <w:t>GET /api/v1/auth/me</w:t>
            </w:r>
          </w:p>
        </w:tc>
        <w:tc>
          <w:tcPr>
            <w:tcW w:type="dxa" w:w="4032"/>
            <w:shd w:fill="FFFFFF"/>
            <w:tcMar>
              <w:top w:w="100" w:type="dxa"/>
              <w:bottom w:w="100" w:type="dxa"/>
              <w:left w:w="140" w:type="dxa"/>
              <w:right w:w="140" w:type="dxa"/>
            </w:tcMar>
            <w:tcBorders>
              <w:top w:val="none"/>
              <w:left w:val="none"/>
              <w:bottom w:val="single" w:sz="4" w:space="0" w:color="CBD5E1"/>
              <w:right w:val="none"/>
            </w:tcBorders>
          </w:tcPr>
          <w:p>
            <w:pPr>
              <w:spacing w:before="0" w:after="0" w:line="269" w:lineRule="auto"/>
            </w:pPr>
            <w:r>
              <w:rPr>
                <w:rFonts w:ascii="Segoe UI" w:hAnsi="Segoe UI"/>
                <w:color w:val="334155"/>
                <w:sz w:val="18"/>
              </w:rPr>
              <w:t>Handles secure JWT token generation, permission verification, and session renewal.</w:t>
            </w:r>
          </w:p>
        </w:tc>
      </w:tr>
      <w:tr>
        <w:tc>
          <w:tcPr>
            <w:tcW w:type="dxa" w:w="2592"/>
            <w:shd w:fill="F8FAFC"/>
            <w:tcMar>
              <w:top w:w="100" w:type="dxa"/>
              <w:bottom w:w="100" w:type="dxa"/>
              <w:left w:w="140" w:type="dxa"/>
              <w:right w:w="140" w:type="dxa"/>
            </w:tcMar>
            <w:tcBorders>
              <w:top w:val="none"/>
              <w:left w:val="none"/>
              <w:bottom w:val="single" w:sz="4" w:space="0" w:color="CBD5E1"/>
              <w:right w:val="none"/>
            </w:tcBorders>
          </w:tcPr>
          <w:p>
            <w:pPr>
              <w:spacing w:before="0" w:after="0" w:line="269" w:lineRule="auto"/>
            </w:pPr>
            <w:r>
              <w:rPr>
                <w:rFonts w:ascii="Segoe UI" w:hAnsi="Segoe UI"/>
                <w:color w:val="334155"/>
                <w:sz w:val="18"/>
              </w:rPr>
              <w:t>Master Data Management</w:t>
            </w:r>
          </w:p>
        </w:tc>
        <w:tc>
          <w:tcPr>
            <w:tcW w:type="dxa" w:w="3312"/>
            <w:shd w:fill="F8FAFC"/>
            <w:tcMar>
              <w:top w:w="100" w:type="dxa"/>
              <w:bottom w:w="100" w:type="dxa"/>
              <w:left w:w="140" w:type="dxa"/>
              <w:right w:w="140" w:type="dxa"/>
            </w:tcMar>
            <w:tcBorders>
              <w:top w:val="none"/>
              <w:left w:val="none"/>
              <w:bottom w:val="single" w:sz="4" w:space="0" w:color="CBD5E1"/>
              <w:right w:val="none"/>
            </w:tcBorders>
          </w:tcPr>
          <w:p>
            <w:pPr>
              <w:spacing w:before="0" w:after="0" w:line="269" w:lineRule="auto"/>
            </w:pPr>
            <w:r>
              <w:rPr>
                <w:rFonts w:ascii="Segoe UI" w:hAnsi="Segoe UI"/>
                <w:color w:val="334155"/>
                <w:sz w:val="18"/>
              </w:rPr>
              <w:t>GET, POST, PUT, DELETE</w:t>
              <w:br/>
              <w:t>/api/v1/master-data/*</w:t>
            </w:r>
          </w:p>
        </w:tc>
        <w:tc>
          <w:tcPr>
            <w:tcW w:type="dxa" w:w="4032"/>
            <w:shd w:fill="F8FAFC"/>
            <w:tcMar>
              <w:top w:w="100" w:type="dxa"/>
              <w:bottom w:w="100" w:type="dxa"/>
              <w:left w:w="140" w:type="dxa"/>
              <w:right w:w="140" w:type="dxa"/>
            </w:tcMar>
            <w:tcBorders>
              <w:top w:val="none"/>
              <w:left w:val="none"/>
              <w:bottom w:val="single" w:sz="4" w:space="0" w:color="CBD5E1"/>
              <w:right w:val="none"/>
            </w:tcBorders>
          </w:tcPr>
          <w:p>
            <w:pPr>
              <w:spacing w:before="0" w:after="0" w:line="269" w:lineRule="auto"/>
            </w:pPr>
            <w:r>
              <w:rPr>
                <w:rFonts w:ascii="Segoe UI" w:hAnsi="Segoe UI"/>
                <w:color w:val="334155"/>
                <w:sz w:val="18"/>
              </w:rPr>
              <w:t>Complete CRUD endpoints for Plants, Lines, Work Centers, SKUs, BOMs, Routings, and Standards.</w:t>
            </w:r>
          </w:p>
        </w:tc>
      </w:tr>
      <w:tr>
        <w:tc>
          <w:tcPr>
            <w:tcW w:type="dxa" w:w="2592"/>
            <w:shd w:fill="FFFFFF"/>
            <w:tcMar>
              <w:top w:w="100" w:type="dxa"/>
              <w:bottom w:w="100" w:type="dxa"/>
              <w:left w:w="140" w:type="dxa"/>
              <w:right w:w="140" w:type="dxa"/>
            </w:tcMar>
            <w:tcBorders>
              <w:top w:val="none"/>
              <w:left w:val="none"/>
              <w:bottom w:val="single" w:sz="4" w:space="0" w:color="CBD5E1"/>
              <w:right w:val="none"/>
            </w:tcBorders>
          </w:tcPr>
          <w:p>
            <w:pPr>
              <w:spacing w:before="0" w:after="0" w:line="269" w:lineRule="auto"/>
            </w:pPr>
            <w:r>
              <w:rPr>
                <w:rFonts w:ascii="Segoe UI" w:hAnsi="Segoe UI"/>
                <w:color w:val="334155"/>
                <w:sz w:val="18"/>
              </w:rPr>
              <w:t>Command Center &amp; KPIs</w:t>
            </w:r>
          </w:p>
        </w:tc>
        <w:tc>
          <w:tcPr>
            <w:tcW w:type="dxa" w:w="3312"/>
            <w:shd w:fill="FFFFFF"/>
            <w:tcMar>
              <w:top w:w="100" w:type="dxa"/>
              <w:bottom w:w="100" w:type="dxa"/>
              <w:left w:w="140" w:type="dxa"/>
              <w:right w:w="140" w:type="dxa"/>
            </w:tcMar>
            <w:tcBorders>
              <w:top w:val="none"/>
              <w:left w:val="none"/>
              <w:bottom w:val="single" w:sz="4" w:space="0" w:color="CBD5E1"/>
              <w:right w:val="none"/>
            </w:tcBorders>
          </w:tcPr>
          <w:p>
            <w:pPr>
              <w:spacing w:before="0" w:after="0" w:line="269" w:lineRule="auto"/>
            </w:pPr>
            <w:r>
              <w:rPr>
                <w:rFonts w:ascii="Segoe UI" w:hAnsi="Segoe UI"/>
                <w:color w:val="334155"/>
                <w:sz w:val="18"/>
              </w:rPr>
              <w:t>GET /api/v1/dashboards/command-center</w:t>
              <w:br/>
              <w:t>GET /api/v1/dashboards/kpis</w:t>
            </w:r>
          </w:p>
        </w:tc>
        <w:tc>
          <w:tcPr>
            <w:tcW w:type="dxa" w:w="4032"/>
            <w:shd w:fill="FFFFFF"/>
            <w:tcMar>
              <w:top w:w="100" w:type="dxa"/>
              <w:bottom w:w="100" w:type="dxa"/>
              <w:left w:w="140" w:type="dxa"/>
              <w:right w:w="140" w:type="dxa"/>
            </w:tcMar>
            <w:tcBorders>
              <w:top w:val="none"/>
              <w:left w:val="none"/>
              <w:bottom w:val="single" w:sz="4" w:space="0" w:color="CBD5E1"/>
              <w:right w:val="none"/>
            </w:tcBorders>
          </w:tcPr>
          <w:p>
            <w:pPr>
              <w:spacing w:before="0" w:after="0" w:line="269" w:lineRule="auto"/>
            </w:pPr>
            <w:r>
              <w:rPr>
                <w:rFonts w:ascii="Segoe UI" w:hAnsi="Segoe UI"/>
                <w:color w:val="334155"/>
                <w:sz w:val="18"/>
              </w:rPr>
              <w:t>High-performance aggregated endpoints serving real-time OEE, H/B pacing, and plant scorecards in &lt;30ms.</w:t>
            </w:r>
          </w:p>
        </w:tc>
      </w:tr>
      <w:tr>
        <w:tc>
          <w:tcPr>
            <w:tcW w:type="dxa" w:w="2592"/>
            <w:shd w:fill="F8FAFC"/>
            <w:tcMar>
              <w:top w:w="100" w:type="dxa"/>
              <w:bottom w:w="100" w:type="dxa"/>
              <w:left w:w="140" w:type="dxa"/>
              <w:right w:w="140" w:type="dxa"/>
            </w:tcMar>
            <w:tcBorders>
              <w:top w:val="none"/>
              <w:left w:val="none"/>
              <w:bottom w:val="single" w:sz="4" w:space="0" w:color="CBD5E1"/>
              <w:right w:val="none"/>
            </w:tcBorders>
          </w:tcPr>
          <w:p>
            <w:pPr>
              <w:spacing w:before="0" w:after="0" w:line="269" w:lineRule="auto"/>
            </w:pPr>
            <w:r>
              <w:rPr>
                <w:rFonts w:ascii="Segoe UI" w:hAnsi="Segoe UI"/>
                <w:color w:val="334155"/>
                <w:sz w:val="18"/>
              </w:rPr>
              <w:t>Production &amp; eBR Execution</w:t>
            </w:r>
          </w:p>
        </w:tc>
        <w:tc>
          <w:tcPr>
            <w:tcW w:type="dxa" w:w="3312"/>
            <w:shd w:fill="F8FAFC"/>
            <w:tcMar>
              <w:top w:w="100" w:type="dxa"/>
              <w:bottom w:w="100" w:type="dxa"/>
              <w:left w:w="140" w:type="dxa"/>
              <w:right w:w="140" w:type="dxa"/>
            </w:tcMar>
            <w:tcBorders>
              <w:top w:val="none"/>
              <w:left w:val="none"/>
              <w:bottom w:val="single" w:sz="4" w:space="0" w:color="CBD5E1"/>
              <w:right w:val="none"/>
            </w:tcBorders>
          </w:tcPr>
          <w:p>
            <w:pPr>
              <w:spacing w:before="0" w:after="0" w:line="269" w:lineRule="auto"/>
            </w:pPr>
            <w:r>
              <w:rPr>
                <w:rFonts w:ascii="Segoe UI" w:hAnsi="Segoe UI"/>
                <w:color w:val="334155"/>
                <w:sz w:val="18"/>
              </w:rPr>
              <w:t>GET, POST /api/v1/production/orders</w:t>
              <w:br/>
              <w:t>POST /api/v1/production/batches/:id/steps</w:t>
              <w:br/>
              <w:t>POST /api/v1/production/batches/:id/verify-lot</w:t>
              <w:br/>
              <w:t>POST /api/v1/production/batches/:id/qa-release</w:t>
            </w:r>
          </w:p>
        </w:tc>
        <w:tc>
          <w:tcPr>
            <w:tcW w:type="dxa" w:w="4032"/>
            <w:shd w:fill="F8FAFC"/>
            <w:tcMar>
              <w:top w:w="100" w:type="dxa"/>
              <w:bottom w:w="100" w:type="dxa"/>
              <w:left w:w="140" w:type="dxa"/>
              <w:right w:w="140" w:type="dxa"/>
            </w:tcMar>
            <w:tcBorders>
              <w:top w:val="none"/>
              <w:left w:val="none"/>
              <w:bottom w:val="single" w:sz="4" w:space="0" w:color="CBD5E1"/>
              <w:right w:val="none"/>
            </w:tcBorders>
          </w:tcPr>
          <w:p>
            <w:pPr>
              <w:spacing w:before="0" w:after="0" w:line="269" w:lineRule="auto"/>
            </w:pPr>
            <w:r>
              <w:rPr>
                <w:rFonts w:ascii="Segoe UI" w:hAnsi="Segoe UI"/>
                <w:color w:val="334155"/>
                <w:sz w:val="18"/>
              </w:rPr>
              <w:t>Manages production order release, step-by-step eBR parameter entry, ingredient lot validation, and QA approval.</w:t>
            </w:r>
          </w:p>
        </w:tc>
      </w:tr>
      <w:tr>
        <w:tc>
          <w:tcPr>
            <w:tcW w:type="dxa" w:w="2592"/>
            <w:shd w:fill="FFFFFF"/>
            <w:tcMar>
              <w:top w:w="100" w:type="dxa"/>
              <w:bottom w:w="100" w:type="dxa"/>
              <w:left w:w="140" w:type="dxa"/>
              <w:right w:w="140" w:type="dxa"/>
            </w:tcMar>
            <w:tcBorders>
              <w:top w:val="none"/>
              <w:left w:val="none"/>
              <w:bottom w:val="single" w:sz="4" w:space="0" w:color="CBD5E1"/>
              <w:right w:val="none"/>
            </w:tcBorders>
          </w:tcPr>
          <w:p>
            <w:pPr>
              <w:spacing w:before="0" w:after="0" w:line="269" w:lineRule="auto"/>
            </w:pPr>
            <w:r>
              <w:rPr>
                <w:rFonts w:ascii="Segoe UI" w:hAnsi="Segoe UI"/>
                <w:color w:val="334155"/>
                <w:sz w:val="18"/>
              </w:rPr>
              <w:t>Machine Telemetry &amp; Downtime</w:t>
            </w:r>
          </w:p>
        </w:tc>
        <w:tc>
          <w:tcPr>
            <w:tcW w:type="dxa" w:w="3312"/>
            <w:shd w:fill="FFFFFF"/>
            <w:tcMar>
              <w:top w:w="100" w:type="dxa"/>
              <w:bottom w:w="100" w:type="dxa"/>
              <w:left w:w="140" w:type="dxa"/>
              <w:right w:w="140" w:type="dxa"/>
            </w:tcMar>
            <w:tcBorders>
              <w:top w:val="none"/>
              <w:left w:val="none"/>
              <w:bottom w:val="single" w:sz="4" w:space="0" w:color="CBD5E1"/>
              <w:right w:val="none"/>
            </w:tcBorders>
          </w:tcPr>
          <w:p>
            <w:pPr>
              <w:spacing w:before="0" w:after="0" w:line="269" w:lineRule="auto"/>
            </w:pPr>
            <w:r>
              <w:rPr>
                <w:rFonts w:ascii="Segoe UI" w:hAnsi="Segoe UI"/>
                <w:color w:val="334155"/>
                <w:sz w:val="18"/>
              </w:rPr>
              <w:t>GET, PATCH /api/v1/production/machines/:id/status</w:t>
              <w:br/>
              <w:t>GET, POST /api/v1/production/downtime</w:t>
            </w:r>
          </w:p>
        </w:tc>
        <w:tc>
          <w:tcPr>
            <w:tcW w:type="dxa" w:w="4032"/>
            <w:shd w:fill="FFFFFF"/>
            <w:tcMar>
              <w:top w:w="100" w:type="dxa"/>
              <w:bottom w:w="100" w:type="dxa"/>
              <w:left w:w="140" w:type="dxa"/>
              <w:right w:w="140" w:type="dxa"/>
            </w:tcMar>
            <w:tcBorders>
              <w:top w:val="none"/>
              <w:left w:val="none"/>
              <w:bottom w:val="single" w:sz="4" w:space="0" w:color="CBD5E1"/>
              <w:right w:val="none"/>
            </w:tcBorders>
          </w:tcPr>
          <w:p>
            <w:pPr>
              <w:spacing w:before="0" w:after="0" w:line="269" w:lineRule="auto"/>
            </w:pPr>
            <w:r>
              <w:rPr>
                <w:rFonts w:ascii="Segoe UI" w:hAnsi="Segoe UI"/>
                <w:color w:val="334155"/>
                <w:sz w:val="18"/>
              </w:rPr>
              <w:t>Streams real-time machine speeds (BPH), operating states, runtime counters, and stoppage incident logs.</w:t>
            </w:r>
          </w:p>
        </w:tc>
      </w:tr>
      <w:tr>
        <w:tc>
          <w:tcPr>
            <w:tcW w:type="dxa" w:w="2592"/>
            <w:shd w:fill="F8FAFC"/>
            <w:tcMar>
              <w:top w:w="100" w:type="dxa"/>
              <w:bottom w:w="100" w:type="dxa"/>
              <w:left w:w="140" w:type="dxa"/>
              <w:right w:w="140" w:type="dxa"/>
            </w:tcMar>
            <w:tcBorders>
              <w:top w:val="none"/>
              <w:left w:val="none"/>
              <w:bottom w:val="single" w:sz="4" w:space="0" w:color="CBD5E1"/>
              <w:right w:val="none"/>
            </w:tcBorders>
          </w:tcPr>
          <w:p>
            <w:pPr>
              <w:spacing w:before="0" w:after="0" w:line="269" w:lineRule="auto"/>
            </w:pPr>
            <w:r>
              <w:rPr>
                <w:rFonts w:ascii="Segoe UI" w:hAnsi="Segoe UI"/>
                <w:color w:val="334155"/>
                <w:sz w:val="18"/>
              </w:rPr>
              <w:t>Planning, APS &amp; MRP</w:t>
            </w:r>
          </w:p>
        </w:tc>
        <w:tc>
          <w:tcPr>
            <w:tcW w:type="dxa" w:w="3312"/>
            <w:shd w:fill="F8FAFC"/>
            <w:tcMar>
              <w:top w:w="100" w:type="dxa"/>
              <w:bottom w:w="100" w:type="dxa"/>
              <w:left w:w="140" w:type="dxa"/>
              <w:right w:w="140" w:type="dxa"/>
            </w:tcMar>
            <w:tcBorders>
              <w:top w:val="none"/>
              <w:left w:val="none"/>
              <w:bottom w:val="single" w:sz="4" w:space="0" w:color="CBD5E1"/>
              <w:right w:val="none"/>
            </w:tcBorders>
          </w:tcPr>
          <w:p>
            <w:pPr>
              <w:spacing w:before="0" w:after="0" w:line="269" w:lineRule="auto"/>
            </w:pPr>
            <w:r>
              <w:rPr>
                <w:rFonts w:ascii="Segoe UI" w:hAnsi="Segoe UI"/>
                <w:color w:val="334155"/>
                <w:sz w:val="18"/>
              </w:rPr>
              <w:t>GET, POST /api/v1/planning/schedule</w:t>
              <w:br/>
              <w:t>PATCH /api/v1/planning/schedule/:id/lock</w:t>
              <w:br/>
              <w:t>POST /api/v1/planning/recovery/apply</w:t>
              <w:br/>
              <w:t>POST /api/v1/planning/mrp/net-requirements</w:t>
            </w:r>
          </w:p>
        </w:tc>
        <w:tc>
          <w:tcPr>
            <w:tcW w:type="dxa" w:w="4032"/>
            <w:shd w:fill="F8FAFC"/>
            <w:tcMar>
              <w:top w:w="100" w:type="dxa"/>
              <w:bottom w:w="100" w:type="dxa"/>
              <w:left w:w="140" w:type="dxa"/>
              <w:right w:w="140" w:type="dxa"/>
            </w:tcMar>
            <w:tcBorders>
              <w:top w:val="none"/>
              <w:left w:val="none"/>
              <w:bottom w:val="single" w:sz="4" w:space="0" w:color="CBD5E1"/>
              <w:right w:val="none"/>
            </w:tcBorders>
          </w:tcPr>
          <w:p>
            <w:pPr>
              <w:spacing w:before="0" w:after="0" w:line="269" w:lineRule="auto"/>
            </w:pPr>
            <w:r>
              <w:rPr>
                <w:rFonts w:ascii="Segoe UI" w:hAnsi="Segoe UI"/>
                <w:color w:val="334155"/>
                <w:sz w:val="18"/>
              </w:rPr>
              <w:t>Finite schedule creation, shift lock/freeze flags, real-time recovery scenario application, and MRP net explosion.</w:t>
            </w:r>
          </w:p>
        </w:tc>
      </w:tr>
      <w:tr>
        <w:tc>
          <w:tcPr>
            <w:tcW w:type="dxa" w:w="2592"/>
            <w:shd w:fill="FFFFFF"/>
            <w:tcMar>
              <w:top w:w="100" w:type="dxa"/>
              <w:bottom w:w="100" w:type="dxa"/>
              <w:left w:w="140" w:type="dxa"/>
              <w:right w:w="140" w:type="dxa"/>
            </w:tcMar>
            <w:tcBorders>
              <w:top w:val="none"/>
              <w:left w:val="none"/>
              <w:bottom w:val="single" w:sz="4" w:space="0" w:color="CBD5E1"/>
              <w:right w:val="none"/>
            </w:tcBorders>
          </w:tcPr>
          <w:p>
            <w:pPr>
              <w:spacing w:before="0" w:after="0" w:line="269" w:lineRule="auto"/>
            </w:pPr>
            <w:r>
              <w:rPr>
                <w:rFonts w:ascii="Segoe UI" w:hAnsi="Segoe UI"/>
                <w:color w:val="334155"/>
                <w:sz w:val="18"/>
              </w:rPr>
              <w:t>Continuous Improvement (31 Endpoints)</w:t>
            </w:r>
          </w:p>
        </w:tc>
        <w:tc>
          <w:tcPr>
            <w:tcW w:type="dxa" w:w="3312"/>
            <w:shd w:fill="FFFFFF"/>
            <w:tcMar>
              <w:top w:w="100" w:type="dxa"/>
              <w:bottom w:w="100" w:type="dxa"/>
              <w:left w:w="140" w:type="dxa"/>
              <w:right w:w="140" w:type="dxa"/>
            </w:tcMar>
            <w:tcBorders>
              <w:top w:val="none"/>
              <w:left w:val="none"/>
              <w:bottom w:val="single" w:sz="4" w:space="0" w:color="CBD5E1"/>
              <w:right w:val="none"/>
            </w:tcBorders>
          </w:tcPr>
          <w:p>
            <w:pPr>
              <w:spacing w:before="0" w:after="0" w:line="269" w:lineRule="auto"/>
            </w:pPr>
            <w:r>
              <w:rPr>
                <w:rFonts w:ascii="Segoe UI" w:hAnsi="Segoe UI"/>
                <w:color w:val="334155"/>
                <w:sz w:val="18"/>
              </w:rPr>
              <w:t>GET /api/v1/ci/reliability/records</w:t>
              <w:br/>
              <w:t>GET, POST /api/v1/ci/rca/investigations</w:t>
              <w:br/>
              <w:t>GET, POST /api/v1/ci/rca/hypotheses</w:t>
              <w:br/>
              <w:t>GET, POST /api/v1/ci/capa/actions</w:t>
              <w:br/>
              <w:t>GET, POST /api/v1/ci/solutions/verified</w:t>
            </w:r>
          </w:p>
        </w:tc>
        <w:tc>
          <w:tcPr>
            <w:tcW w:type="dxa" w:w="4032"/>
            <w:shd w:fill="FFFFFF"/>
            <w:tcMar>
              <w:top w:w="100" w:type="dxa"/>
              <w:bottom w:w="100" w:type="dxa"/>
              <w:left w:w="140" w:type="dxa"/>
              <w:right w:w="140" w:type="dxa"/>
            </w:tcMar>
            <w:tcBorders>
              <w:top w:val="none"/>
              <w:left w:val="none"/>
              <w:bottom w:val="single" w:sz="4" w:space="0" w:color="CBD5E1"/>
              <w:right w:val="none"/>
            </w:tcBorders>
          </w:tcPr>
          <w:p>
            <w:pPr>
              <w:spacing w:before="0" w:after="0" w:line="269" w:lineRule="auto"/>
            </w:pPr>
            <w:r>
              <w:rPr>
                <w:rFonts w:ascii="Segoe UI" w:hAnsi="Segoe UI"/>
                <w:color w:val="334155"/>
                <w:sz w:val="18"/>
              </w:rPr>
              <w:t>Complete 31-endpoint suite powering 5-Why investigation trees, 8D methodologies, CAPA tracking, and verified financial savings.</w:t>
            </w:r>
          </w:p>
        </w:tc>
      </w:tr>
    </w:tbl>
    <w:p>
      <w:pPr>
        <w:spacing w:before="40" w:after="120"/>
      </w:pPr>
    </w:p>
    <w:tbl>
      <w:tblPr>
        <w:tblW w:type="auto" w:w="0"/>
        <w:jc w:val="center"/>
        <w:tblLayout w:type="fixed"/>
        <w:tblLook w:firstColumn="1" w:firstRow="1" w:lastColumn="0" w:lastRow="0" w:noHBand="0" w:noVBand="1" w:val="04A0"/>
      </w:tblPr>
      <w:tblGrid>
        <w:gridCol w:w="9936"/>
      </w:tblGrid>
      <w:tr>
        <w:tc>
          <w:tcPr>
            <w:tcW w:type="dxa" w:w="9792"/>
            <w:shd w:fill="F8FAFC"/>
            <w:tcMar>
              <w:top w:w="140" w:type="dxa"/>
              <w:bottom w:w="140" w:type="dxa"/>
              <w:left w:w="200" w:type="dxa"/>
              <w:right w:w="180" w:type="dxa"/>
            </w:tcMar>
            <w:tcBorders>
              <w:top w:val="none"/>
              <w:left w:val="single" w:sz="30" w:space="0" w:color="2563EB"/>
              <w:bottom w:val="none"/>
              <w:right w:val="none"/>
            </w:tcBorders>
          </w:tcPr>
          <w:p>
            <w:pPr>
              <w:spacing w:before="40" w:after="80" w:line="276" w:lineRule="auto"/>
            </w:pPr>
            <w:r>
              <w:rPr>
                <w:rFonts w:ascii="Segoe UI" w:hAnsi="Segoe UI"/>
                <w:b/>
                <w:color w:val="1E3A8A"/>
                <w:sz w:val="19"/>
              </w:rPr>
              <w:t>★  INTERACTIVE OPENAPI 3.0 DOCUMENTATION</w:t>
              <w:br/>
            </w:r>
            <w:r>
              <w:rPr>
                <w:rFonts w:ascii="Segoe UI" w:hAnsi="Segoe UI"/>
                <w:color w:val="334155"/>
                <w:sz w:val="19"/>
              </w:rPr>
              <w:t>All backend API endpoints are automatically documented using Fastify Swagger and available interactively at http://localhost:4000/docs. Plant IT integration engineers can test payloads and inspect JSON schemas directly in their browser.</w:t>
            </w:r>
          </w:p>
        </w:tc>
      </w:tr>
    </w:tbl>
    <w:p>
      <w:pPr>
        <w:spacing w:after="80"/>
      </w:pPr>
    </w:p>
    <w:p>
      <w:pPr>
        <w:pStyle w:val="Heading1"/>
        <w:keepNext/>
        <w:spacing w:before="360" w:after="120"/>
      </w:pPr>
      <w:r>
        <w:rPr>
          <w:rFonts w:ascii="Segoe UI" w:hAnsi="Segoe UI"/>
          <w:b/>
          <w:color w:val="0F172A"/>
          <w:sz w:val="34"/>
        </w:rPr>
        <w:t>10. Quality, Security &amp; Regulatory Compliance Standards</w:t>
      </w:r>
    </w:p>
    <w:p>
      <w:pPr>
        <w:spacing w:before="0" w:after="120" w:line="283" w:lineRule="auto"/>
      </w:pPr>
      <w:r>
        <w:rPr>
          <w:rFonts w:ascii="Segoe UI" w:hAnsi="Segoe UI"/>
          <w:color w:val="334155"/>
          <w:sz w:val="20"/>
        </w:rPr>
        <w:t>For regulated manufacturing sectors such as Food &amp; Beverage, Consumer Health, and Pharmaceuticals, software compliance is a legal necessity. MaintenX-OS integrates regulatory compliance directly into its data layer:</w:t>
      </w:r>
    </w:p>
    <w:p>
      <w:pPr>
        <w:pStyle w:val="Heading2"/>
        <w:keepNext/>
        <w:spacing w:before="280" w:after="80"/>
      </w:pPr>
      <w:r>
        <w:rPr>
          <w:rFonts w:ascii="Segoe UI" w:hAnsi="Segoe UI"/>
          <w:b/>
          <w:color w:val="1E3A8A"/>
          <w:sz w:val="26"/>
        </w:rPr>
        <w:t>10.1 FDA 21 CFR Part 11 Electronic Records &amp; Signatures</w:t>
      </w:r>
    </w:p>
    <w:p>
      <w:pPr>
        <w:pStyle w:val="ListBullet"/>
        <w:spacing w:before="20" w:after="60" w:line="276" w:lineRule="auto"/>
      </w:pPr>
      <w:r>
        <w:rPr>
          <w:rFonts w:ascii="Segoe UI" w:hAnsi="Segoe UI"/>
          <w:b/>
          <w:color w:val="0F172A"/>
          <w:sz w:val="20"/>
        </w:rPr>
        <w:t xml:space="preserve">Tamper-Evident Audit Trails: </w:t>
      </w:r>
      <w:r>
        <w:rPr>
          <w:rFonts w:ascii="Segoe UI" w:hAnsi="Segoe UI"/>
          <w:color w:val="334155"/>
          <w:sz w:val="20"/>
        </w:rPr>
        <w:t>Every critical transaction—such as recipe parameter edits, lot quarantine holds, and batch release approvals—records an immutable audit entry containing the user identity, client IP address, UTC timestamp, previous JSON state, and new JSON state in the 'audit_logs' table.</w:t>
      </w:r>
    </w:p>
    <w:p>
      <w:pPr>
        <w:pStyle w:val="ListBullet"/>
        <w:spacing w:before="20" w:after="60" w:line="276" w:lineRule="auto"/>
      </w:pPr>
      <w:r>
        <w:rPr>
          <w:rFonts w:ascii="Segoe UI" w:hAnsi="Segoe UI"/>
          <w:b/>
          <w:color w:val="0F172A"/>
          <w:sz w:val="20"/>
        </w:rPr>
        <w:t xml:space="preserve">Digital Signatures &amp; Dual Authorization: </w:t>
      </w:r>
      <w:r>
        <w:rPr>
          <w:rFonts w:ascii="Segoe UI" w:hAnsi="Segoe UI"/>
          <w:color w:val="334155"/>
          <w:sz w:val="20"/>
        </w:rPr>
        <w:t>Sensitive approvals require deliberate digital signatures with reason-for-signing metadata and cryptographic timestamping.</w:t>
      </w:r>
    </w:p>
    <w:p>
      <w:pPr>
        <w:pStyle w:val="ListBullet"/>
        <w:spacing w:before="20" w:after="60" w:line="276" w:lineRule="auto"/>
      </w:pPr>
      <w:r>
        <w:rPr>
          <w:rFonts w:ascii="Segoe UI" w:hAnsi="Segoe UI"/>
          <w:b/>
          <w:color w:val="0F172A"/>
          <w:sz w:val="20"/>
        </w:rPr>
        <w:t xml:space="preserve">Data Immutability: </w:t>
      </w:r>
      <w:r>
        <w:rPr>
          <w:rFonts w:ascii="Segoe UI" w:hAnsi="Segoe UI"/>
          <w:color w:val="334155"/>
          <w:sz w:val="20"/>
        </w:rPr>
        <w:t>Electronic records cannot be overwritten or deleted via standard application routes, guaranteeing uncompromised audit readiness for regulatory inspections.</w:t>
      </w:r>
    </w:p>
    <w:p>
      <w:pPr>
        <w:pStyle w:val="Heading2"/>
        <w:keepNext/>
        <w:spacing w:before="280" w:after="80"/>
      </w:pPr>
      <w:r>
        <w:rPr>
          <w:rFonts w:ascii="Segoe UI" w:hAnsi="Segoe UI"/>
          <w:b/>
          <w:color w:val="1E3A8A"/>
          <w:sz w:val="26"/>
        </w:rPr>
        <w:t>10.2 Defense-in-Depth Cybersecurity Architecture</w:t>
      </w:r>
    </w:p>
    <w:p>
      <w:pPr>
        <w:pStyle w:val="ListBullet"/>
        <w:spacing w:before="20" w:after="60" w:line="276" w:lineRule="auto"/>
      </w:pPr>
      <w:r>
        <w:rPr>
          <w:rFonts w:ascii="Segoe UI" w:hAnsi="Segoe UI"/>
          <w:b/>
          <w:color w:val="0F172A"/>
          <w:sz w:val="20"/>
        </w:rPr>
        <w:t xml:space="preserve">Stateless JWT Authentication &amp; BCrypt: </w:t>
      </w:r>
      <w:r>
        <w:rPr>
          <w:rFonts w:ascii="Segoe UI" w:hAnsi="Segoe UI"/>
          <w:color w:val="334155"/>
          <w:sz w:val="20"/>
        </w:rPr>
        <w:t>Passwords hashed using BCrypt with 10 salt rounds. Stateless JSON Web Tokens (JWT) with configurable expiration prevent session hijacking.</w:t>
      </w:r>
    </w:p>
    <w:p>
      <w:pPr>
        <w:pStyle w:val="ListBullet"/>
        <w:spacing w:before="20" w:after="60" w:line="276" w:lineRule="auto"/>
      </w:pPr>
      <w:r>
        <w:rPr>
          <w:rFonts w:ascii="Segoe UI" w:hAnsi="Segoe UI"/>
          <w:b/>
          <w:color w:val="0F172A"/>
          <w:sz w:val="20"/>
        </w:rPr>
        <w:t xml:space="preserve">SQL Injection Prevention: </w:t>
      </w:r>
      <w:r>
        <w:rPr>
          <w:rFonts w:ascii="Segoe UI" w:hAnsi="Segoe UI"/>
          <w:color w:val="334155"/>
          <w:sz w:val="20"/>
        </w:rPr>
        <w:t>All database queries utilize parameterized SQL through Drizzle ORM, completely preventing SQL injection attacks.</w:t>
      </w:r>
    </w:p>
    <w:p>
      <w:pPr>
        <w:pStyle w:val="ListBullet"/>
        <w:spacing w:before="20" w:after="60" w:line="276" w:lineRule="auto"/>
      </w:pPr>
      <w:r>
        <w:rPr>
          <w:rFonts w:ascii="Segoe UI" w:hAnsi="Segoe UI"/>
          <w:b/>
          <w:color w:val="0F172A"/>
          <w:sz w:val="20"/>
        </w:rPr>
        <w:t xml:space="preserve">HTTP Security Headers &amp; CORS: </w:t>
      </w:r>
      <w:r>
        <w:rPr>
          <w:rFonts w:ascii="Segoe UI" w:hAnsi="Segoe UI"/>
          <w:color w:val="334155"/>
          <w:sz w:val="20"/>
        </w:rPr>
        <w:t>Fastify Helmet applies strict HTTP headers (Content-Security-Policy, X-Content-Type-Options, X-Frame-Options) alongside CORS whitelisting and rate-limiting against brute-force attacks.</w:t>
      </w:r>
    </w:p>
    <w:p>
      <w:pPr>
        <w:pStyle w:val="Heading1"/>
        <w:keepNext/>
        <w:spacing w:before="360" w:after="120"/>
      </w:pPr>
      <w:r>
        <w:rPr>
          <w:rFonts w:ascii="Segoe UI" w:hAnsi="Segoe UI"/>
          <w:b/>
          <w:color w:val="0F172A"/>
          <w:sz w:val="34"/>
        </w:rPr>
        <w:t>11. System Verification &amp; Production Readiness Status</w:t>
      </w:r>
    </w:p>
    <w:p>
      <w:pPr>
        <w:spacing w:before="0" w:after="120" w:line="283" w:lineRule="auto"/>
      </w:pPr>
      <w:r>
        <w:rPr>
          <w:rFonts w:ascii="Segoe UI" w:hAnsi="Segoe UI"/>
          <w:color w:val="334155"/>
          <w:sz w:val="20"/>
        </w:rPr>
        <w:t>MaintenX-OS has undergone rigorous automated testing across both backend services and frontend user interfaces to ensure flawless reliability prior to industrial deployment:</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2592"/>
            <w:shd w:fill="0F172A"/>
            <w:tcMar>
              <w:top w:w="130" w:type="dxa"/>
              <w:bottom w:w="130" w:type="dxa"/>
              <w:left w:w="140" w:type="dxa"/>
              <w:right w:w="140" w:type="dxa"/>
            </w:tcMar>
            <w:tcBorders>
              <w:top w:val="single" w:sz="4" w:space="0" w:color="0F172A"/>
              <w:left w:val="none"/>
              <w:bottom w:val="single" w:sz="10" w:space="0" w:color="C89547"/>
              <w:right w:val="none"/>
            </w:tcBorders>
          </w:tcPr>
          <w:p>
            <w:pPr>
              <w:spacing w:before="0" w:after="0"/>
            </w:pPr>
            <w:r>
              <w:rPr>
                <w:rFonts w:ascii="Segoe UI" w:hAnsi="Segoe UI"/>
                <w:b/>
                <w:color w:val="FFFFFF"/>
                <w:sz w:val="19"/>
              </w:rPr>
              <w:t>Verification Test Suite</w:t>
            </w:r>
          </w:p>
        </w:tc>
        <w:tc>
          <w:tcPr>
            <w:tcW w:type="dxa" w:w="2592"/>
            <w:shd w:fill="0F172A"/>
            <w:tcMar>
              <w:top w:w="130" w:type="dxa"/>
              <w:bottom w:w="130" w:type="dxa"/>
              <w:left w:w="140" w:type="dxa"/>
              <w:right w:w="140" w:type="dxa"/>
            </w:tcMar>
            <w:tcBorders>
              <w:top w:val="single" w:sz="4" w:space="0" w:color="0F172A"/>
              <w:left w:val="none"/>
              <w:bottom w:val="single" w:sz="10" w:space="0" w:color="C89547"/>
              <w:right w:val="none"/>
            </w:tcBorders>
          </w:tcPr>
          <w:p>
            <w:pPr>
              <w:spacing w:before="0" w:after="0"/>
              <w:jc w:val="center"/>
            </w:pPr>
            <w:r>
              <w:rPr>
                <w:rFonts w:ascii="Segoe UI" w:hAnsi="Segoe UI"/>
                <w:b/>
                <w:color w:val="FFFFFF"/>
                <w:sz w:val="19"/>
              </w:rPr>
              <w:t>Coverage &amp; Scope</w:t>
            </w:r>
          </w:p>
        </w:tc>
        <w:tc>
          <w:tcPr>
            <w:tcW w:type="dxa" w:w="1584"/>
            <w:shd w:fill="0F172A"/>
            <w:tcMar>
              <w:top w:w="130" w:type="dxa"/>
              <w:bottom w:w="130" w:type="dxa"/>
              <w:left w:w="140" w:type="dxa"/>
              <w:right w:w="140" w:type="dxa"/>
            </w:tcMar>
            <w:tcBorders>
              <w:top w:val="single" w:sz="4" w:space="0" w:color="0F172A"/>
              <w:left w:val="none"/>
              <w:bottom w:val="single" w:sz="10" w:space="0" w:color="C89547"/>
              <w:right w:val="none"/>
            </w:tcBorders>
          </w:tcPr>
          <w:p>
            <w:pPr>
              <w:spacing w:before="0" w:after="0"/>
              <w:jc w:val="center"/>
            </w:pPr>
            <w:r>
              <w:rPr>
                <w:rFonts w:ascii="Segoe UI" w:hAnsi="Segoe UI"/>
                <w:b/>
                <w:color w:val="FFFFFF"/>
                <w:sz w:val="19"/>
              </w:rPr>
              <w:t>Execution Result</w:t>
            </w:r>
          </w:p>
        </w:tc>
        <w:tc>
          <w:tcPr>
            <w:tcW w:type="dxa" w:w="3168"/>
            <w:shd w:fill="0F172A"/>
            <w:tcMar>
              <w:top w:w="130" w:type="dxa"/>
              <w:bottom w:w="130" w:type="dxa"/>
              <w:left w:w="140" w:type="dxa"/>
              <w:right w:w="140" w:type="dxa"/>
            </w:tcMar>
            <w:tcBorders>
              <w:top w:val="single" w:sz="4" w:space="0" w:color="0F172A"/>
              <w:left w:val="none"/>
              <w:bottom w:val="single" w:sz="10" w:space="0" w:color="C89547"/>
              <w:right w:val="none"/>
            </w:tcBorders>
          </w:tcPr>
          <w:p>
            <w:pPr>
              <w:spacing w:before="0" w:after="0"/>
            </w:pPr>
            <w:r>
              <w:rPr>
                <w:rFonts w:ascii="Segoe UI" w:hAnsi="Segoe UI"/>
                <w:b/>
                <w:color w:val="FFFFFF"/>
                <w:sz w:val="19"/>
              </w:rPr>
              <w:t>Operational Verification Details</w:t>
            </w:r>
          </w:p>
        </w:tc>
      </w:tr>
      <w:tr>
        <w:tc>
          <w:tcPr>
            <w:tcW w:type="dxa" w:w="2592"/>
            <w:shd w:fill="FFFFFF"/>
            <w:tcMar>
              <w:top w:w="100" w:type="dxa"/>
              <w:bottom w:w="100" w:type="dxa"/>
              <w:left w:w="140" w:type="dxa"/>
              <w:right w:w="140" w:type="dxa"/>
            </w:tcMar>
            <w:tcBorders>
              <w:top w:val="none"/>
              <w:left w:val="none"/>
              <w:bottom w:val="single" w:sz="4" w:space="0" w:color="CBD5E1"/>
              <w:right w:val="none"/>
            </w:tcBorders>
          </w:tcPr>
          <w:p>
            <w:pPr>
              <w:spacing w:before="0" w:after="0" w:line="269" w:lineRule="auto"/>
            </w:pPr>
            <w:r>
              <w:rPr>
                <w:rFonts w:ascii="Segoe UI" w:hAnsi="Segoe UI"/>
                <w:color w:val="334155"/>
                <w:sz w:val="18"/>
              </w:rPr>
              <w:t>Continuous Improvement (CI) API Suite</w:t>
            </w:r>
          </w:p>
        </w:tc>
        <w:tc>
          <w:tcPr>
            <w:tcW w:type="dxa" w:w="2592"/>
            <w:shd w:fill="FFFFFF"/>
            <w:tcMar>
              <w:top w:w="100" w:type="dxa"/>
              <w:bottom w:w="100" w:type="dxa"/>
              <w:left w:w="140" w:type="dxa"/>
              <w:right w:w="140" w:type="dxa"/>
            </w:tcMar>
            <w:tcBorders>
              <w:top w:val="none"/>
              <w:left w:val="none"/>
              <w:bottom w:val="single" w:sz="4" w:space="0" w:color="CBD5E1"/>
              <w:right w:val="none"/>
            </w:tcBorders>
          </w:tcPr>
          <w:p>
            <w:pPr>
              <w:spacing w:before="0" w:after="0" w:line="269" w:lineRule="auto"/>
              <w:jc w:val="center"/>
            </w:pPr>
            <w:r>
              <w:rPr>
                <w:rFonts w:ascii="Segoe UI" w:hAnsi="Segoe UI"/>
                <w:color w:val="334155"/>
                <w:sz w:val="18"/>
              </w:rPr>
              <w:t>31 / 31 Test Endpoints Verified</w:t>
            </w:r>
          </w:p>
        </w:tc>
        <w:tc>
          <w:tcPr>
            <w:tcW w:type="dxa" w:w="1584"/>
            <w:shd w:fill="FFFFFF"/>
            <w:tcMar>
              <w:top w:w="100" w:type="dxa"/>
              <w:bottom w:w="100" w:type="dxa"/>
              <w:left w:w="140" w:type="dxa"/>
              <w:right w:w="140" w:type="dxa"/>
            </w:tcMar>
            <w:tcBorders>
              <w:top w:val="none"/>
              <w:left w:val="none"/>
              <w:bottom w:val="single" w:sz="4" w:space="0" w:color="CBD5E1"/>
              <w:right w:val="none"/>
            </w:tcBorders>
          </w:tcPr>
          <w:p>
            <w:pPr>
              <w:spacing w:before="0" w:after="0" w:line="269" w:lineRule="auto"/>
              <w:jc w:val="center"/>
            </w:pPr>
            <w:r>
              <w:rPr>
                <w:rFonts w:ascii="Segoe UI" w:hAnsi="Segoe UI"/>
                <w:color w:val="334155"/>
                <w:sz w:val="18"/>
              </w:rPr>
              <w:t>100% Pass Rate</w:t>
            </w:r>
          </w:p>
        </w:tc>
        <w:tc>
          <w:tcPr>
            <w:tcW w:type="dxa" w:w="3168"/>
            <w:shd w:fill="FFFFFF"/>
            <w:tcMar>
              <w:top w:w="100" w:type="dxa"/>
              <w:bottom w:w="100" w:type="dxa"/>
              <w:left w:w="140" w:type="dxa"/>
              <w:right w:w="140" w:type="dxa"/>
            </w:tcMar>
            <w:tcBorders>
              <w:top w:val="none"/>
              <w:left w:val="none"/>
              <w:bottom w:val="single" w:sz="4" w:space="0" w:color="CBD5E1"/>
              <w:right w:val="none"/>
            </w:tcBorders>
          </w:tcPr>
          <w:p>
            <w:pPr>
              <w:spacing w:before="0" w:after="0" w:line="269" w:lineRule="auto"/>
            </w:pPr>
            <w:r>
              <w:rPr>
                <w:rFonts w:ascii="Segoe UI" w:hAnsi="Segoe UI"/>
                <w:color w:val="334155"/>
                <w:sz w:val="18"/>
              </w:rPr>
              <w:t>5-Why trees, 8D workflows, CAPA action updates, and verified savings tested against PostgreSQL.</w:t>
            </w:r>
          </w:p>
        </w:tc>
      </w:tr>
      <w:tr>
        <w:tc>
          <w:tcPr>
            <w:tcW w:type="dxa" w:w="2592"/>
            <w:shd w:fill="F8FAFC"/>
            <w:tcMar>
              <w:top w:w="100" w:type="dxa"/>
              <w:bottom w:w="100" w:type="dxa"/>
              <w:left w:w="140" w:type="dxa"/>
              <w:right w:w="140" w:type="dxa"/>
            </w:tcMar>
            <w:tcBorders>
              <w:top w:val="none"/>
              <w:left w:val="none"/>
              <w:bottom w:val="single" w:sz="4" w:space="0" w:color="CBD5E1"/>
              <w:right w:val="none"/>
            </w:tcBorders>
          </w:tcPr>
          <w:p>
            <w:pPr>
              <w:spacing w:before="0" w:after="0" w:line="269" w:lineRule="auto"/>
            </w:pPr>
            <w:r>
              <w:rPr>
                <w:rFonts w:ascii="Segoe UI" w:hAnsi="Segoe UI"/>
                <w:color w:val="334155"/>
                <w:sz w:val="18"/>
              </w:rPr>
              <w:t>Plant Manager &amp; MES Core Suite</w:t>
            </w:r>
          </w:p>
        </w:tc>
        <w:tc>
          <w:tcPr>
            <w:tcW w:type="dxa" w:w="2592"/>
            <w:shd w:fill="F8FAFC"/>
            <w:tcMar>
              <w:top w:w="100" w:type="dxa"/>
              <w:bottom w:w="100" w:type="dxa"/>
              <w:left w:w="140" w:type="dxa"/>
              <w:right w:w="140" w:type="dxa"/>
            </w:tcMar>
            <w:tcBorders>
              <w:top w:val="none"/>
              <w:left w:val="none"/>
              <w:bottom w:val="single" w:sz="4" w:space="0" w:color="CBD5E1"/>
              <w:right w:val="none"/>
            </w:tcBorders>
          </w:tcPr>
          <w:p>
            <w:pPr>
              <w:spacing w:before="0" w:after="0" w:line="269" w:lineRule="auto"/>
              <w:jc w:val="center"/>
            </w:pPr>
            <w:r>
              <w:rPr>
                <w:rFonts w:ascii="Segoe UI" w:hAnsi="Segoe UI"/>
                <w:color w:val="334155"/>
                <w:sz w:val="18"/>
              </w:rPr>
              <w:t>40 / 40 Test Endpoints Verified</w:t>
            </w:r>
          </w:p>
        </w:tc>
        <w:tc>
          <w:tcPr>
            <w:tcW w:type="dxa" w:w="1584"/>
            <w:shd w:fill="F8FAFC"/>
            <w:tcMar>
              <w:top w:w="100" w:type="dxa"/>
              <w:bottom w:w="100" w:type="dxa"/>
              <w:left w:w="140" w:type="dxa"/>
              <w:right w:w="140" w:type="dxa"/>
            </w:tcMar>
            <w:tcBorders>
              <w:top w:val="none"/>
              <w:left w:val="none"/>
              <w:bottom w:val="single" w:sz="4" w:space="0" w:color="CBD5E1"/>
              <w:right w:val="none"/>
            </w:tcBorders>
          </w:tcPr>
          <w:p>
            <w:pPr>
              <w:spacing w:before="0" w:after="0" w:line="269" w:lineRule="auto"/>
              <w:jc w:val="center"/>
            </w:pPr>
            <w:r>
              <w:rPr>
                <w:rFonts w:ascii="Segoe UI" w:hAnsi="Segoe UI"/>
                <w:color w:val="334155"/>
                <w:sz w:val="18"/>
              </w:rPr>
              <w:t>100% Pass Rate</w:t>
            </w:r>
          </w:p>
        </w:tc>
        <w:tc>
          <w:tcPr>
            <w:tcW w:type="dxa" w:w="3168"/>
            <w:shd w:fill="F8FAFC"/>
            <w:tcMar>
              <w:top w:w="100" w:type="dxa"/>
              <w:bottom w:w="100" w:type="dxa"/>
              <w:left w:w="140" w:type="dxa"/>
              <w:right w:w="140" w:type="dxa"/>
            </w:tcMar>
            <w:tcBorders>
              <w:top w:val="none"/>
              <w:left w:val="none"/>
              <w:bottom w:val="single" w:sz="4" w:space="0" w:color="CBD5E1"/>
              <w:right w:val="none"/>
            </w:tcBorders>
          </w:tcPr>
          <w:p>
            <w:pPr>
              <w:spacing w:before="0" w:after="0" w:line="269" w:lineRule="auto"/>
            </w:pPr>
            <w:r>
              <w:rPr>
                <w:rFonts w:ascii="Segoe UI" w:hAnsi="Segoe UI"/>
                <w:color w:val="334155"/>
                <w:sz w:val="18"/>
              </w:rPr>
              <w:t>H/B pitch logs, telemetry status changes, shift transitions, and master data CRUD fully validated.</w:t>
            </w:r>
          </w:p>
        </w:tc>
      </w:tr>
      <w:tr>
        <w:tc>
          <w:tcPr>
            <w:tcW w:type="dxa" w:w="2592"/>
            <w:shd w:fill="FFFFFF"/>
            <w:tcMar>
              <w:top w:w="100" w:type="dxa"/>
              <w:bottom w:w="100" w:type="dxa"/>
              <w:left w:w="140" w:type="dxa"/>
              <w:right w:w="140" w:type="dxa"/>
            </w:tcMar>
            <w:tcBorders>
              <w:top w:val="none"/>
              <w:left w:val="none"/>
              <w:bottom w:val="single" w:sz="4" w:space="0" w:color="CBD5E1"/>
              <w:right w:val="none"/>
            </w:tcBorders>
          </w:tcPr>
          <w:p>
            <w:pPr>
              <w:spacing w:before="0" w:after="0" w:line="269" w:lineRule="auto"/>
            </w:pPr>
            <w:r>
              <w:rPr>
                <w:rFonts w:ascii="Segoe UI" w:hAnsi="Segoe UI"/>
                <w:color w:val="334155"/>
                <w:sz w:val="18"/>
              </w:rPr>
              <w:t>End-to-End Manufacturing Workflow</w:t>
            </w:r>
          </w:p>
        </w:tc>
        <w:tc>
          <w:tcPr>
            <w:tcW w:type="dxa" w:w="2592"/>
            <w:shd w:fill="FFFFFF"/>
            <w:tcMar>
              <w:top w:w="100" w:type="dxa"/>
              <w:bottom w:w="100" w:type="dxa"/>
              <w:left w:w="140" w:type="dxa"/>
              <w:right w:w="140" w:type="dxa"/>
            </w:tcMar>
            <w:tcBorders>
              <w:top w:val="none"/>
              <w:left w:val="none"/>
              <w:bottom w:val="single" w:sz="4" w:space="0" w:color="CBD5E1"/>
              <w:right w:val="none"/>
            </w:tcBorders>
          </w:tcPr>
          <w:p>
            <w:pPr>
              <w:spacing w:before="0" w:after="0" w:line="269" w:lineRule="auto"/>
              <w:jc w:val="center"/>
            </w:pPr>
            <w:r>
              <w:rPr>
                <w:rFonts w:ascii="Segoe UI" w:hAnsi="Segoe UI"/>
                <w:color w:val="334155"/>
                <w:sz w:val="18"/>
              </w:rPr>
              <w:t>12 / 12 Integration Tests Passed</w:t>
            </w:r>
          </w:p>
        </w:tc>
        <w:tc>
          <w:tcPr>
            <w:tcW w:type="dxa" w:w="1584"/>
            <w:shd w:fill="FFFFFF"/>
            <w:tcMar>
              <w:top w:w="100" w:type="dxa"/>
              <w:bottom w:w="100" w:type="dxa"/>
              <w:left w:w="140" w:type="dxa"/>
              <w:right w:w="140" w:type="dxa"/>
            </w:tcMar>
            <w:tcBorders>
              <w:top w:val="none"/>
              <w:left w:val="none"/>
              <w:bottom w:val="single" w:sz="4" w:space="0" w:color="CBD5E1"/>
              <w:right w:val="none"/>
            </w:tcBorders>
          </w:tcPr>
          <w:p>
            <w:pPr>
              <w:spacing w:before="0" w:after="0" w:line="269" w:lineRule="auto"/>
              <w:jc w:val="center"/>
            </w:pPr>
            <w:r>
              <w:rPr>
                <w:rFonts w:ascii="Segoe UI" w:hAnsi="Segoe UI"/>
                <w:color w:val="334155"/>
                <w:sz w:val="18"/>
              </w:rPr>
              <w:t>100% Pass Rate</w:t>
            </w:r>
          </w:p>
        </w:tc>
        <w:tc>
          <w:tcPr>
            <w:tcW w:type="dxa" w:w="3168"/>
            <w:shd w:fill="FFFFFF"/>
            <w:tcMar>
              <w:top w:w="100" w:type="dxa"/>
              <w:bottom w:w="100" w:type="dxa"/>
              <w:left w:w="140" w:type="dxa"/>
              <w:right w:w="140" w:type="dxa"/>
            </w:tcMar>
            <w:tcBorders>
              <w:top w:val="none"/>
              <w:left w:val="none"/>
              <w:bottom w:val="single" w:sz="4" w:space="0" w:color="CBD5E1"/>
              <w:right w:val="none"/>
            </w:tcBorders>
          </w:tcPr>
          <w:p>
            <w:pPr>
              <w:spacing w:before="0" w:after="0" w:line="269" w:lineRule="auto"/>
            </w:pPr>
            <w:r>
              <w:rPr>
                <w:rFonts w:ascii="Segoe UI" w:hAnsi="Segoe UI"/>
                <w:color w:val="334155"/>
                <w:sz w:val="18"/>
              </w:rPr>
              <w:t>Full lifecycle verified from customer order creation to eBR execution, CCP capture, and QA release.</w:t>
            </w:r>
          </w:p>
        </w:tc>
      </w:tr>
      <w:tr>
        <w:tc>
          <w:tcPr>
            <w:tcW w:type="dxa" w:w="2592"/>
            <w:shd w:fill="F8FAFC"/>
            <w:tcMar>
              <w:top w:w="100" w:type="dxa"/>
              <w:bottom w:w="100" w:type="dxa"/>
              <w:left w:w="140" w:type="dxa"/>
              <w:right w:w="140" w:type="dxa"/>
            </w:tcMar>
            <w:tcBorders>
              <w:top w:val="none"/>
              <w:left w:val="none"/>
              <w:bottom w:val="single" w:sz="4" w:space="0" w:color="CBD5E1"/>
              <w:right w:val="none"/>
            </w:tcBorders>
          </w:tcPr>
          <w:p>
            <w:pPr>
              <w:spacing w:before="0" w:after="0" w:line="269" w:lineRule="auto"/>
            </w:pPr>
            <w:r>
              <w:rPr>
                <w:rFonts w:ascii="Segoe UI" w:hAnsi="Segoe UI"/>
                <w:color w:val="334155"/>
                <w:sz w:val="18"/>
              </w:rPr>
              <w:t>Backend TypeScript Compilation</w:t>
            </w:r>
          </w:p>
        </w:tc>
        <w:tc>
          <w:tcPr>
            <w:tcW w:type="dxa" w:w="2592"/>
            <w:shd w:fill="F8FAFC"/>
            <w:tcMar>
              <w:top w:w="100" w:type="dxa"/>
              <w:bottom w:w="100" w:type="dxa"/>
              <w:left w:w="140" w:type="dxa"/>
              <w:right w:w="140" w:type="dxa"/>
            </w:tcMar>
            <w:tcBorders>
              <w:top w:val="none"/>
              <w:left w:val="none"/>
              <w:bottom w:val="single" w:sz="4" w:space="0" w:color="CBD5E1"/>
              <w:right w:val="none"/>
            </w:tcBorders>
          </w:tcPr>
          <w:p>
            <w:pPr>
              <w:spacing w:before="0" w:after="0" w:line="269" w:lineRule="auto"/>
              <w:jc w:val="center"/>
            </w:pPr>
            <w:r>
              <w:rPr>
                <w:rFonts w:ascii="Segoe UI" w:hAnsi="Segoe UI"/>
                <w:color w:val="334155"/>
                <w:sz w:val="18"/>
              </w:rPr>
              <w:t>0 Static Type Errors (Exit Code 0)</w:t>
            </w:r>
          </w:p>
        </w:tc>
        <w:tc>
          <w:tcPr>
            <w:tcW w:type="dxa" w:w="1584"/>
            <w:shd w:fill="F8FAFC"/>
            <w:tcMar>
              <w:top w:w="100" w:type="dxa"/>
              <w:bottom w:w="100" w:type="dxa"/>
              <w:left w:w="140" w:type="dxa"/>
              <w:right w:w="140" w:type="dxa"/>
            </w:tcMar>
            <w:tcBorders>
              <w:top w:val="none"/>
              <w:left w:val="none"/>
              <w:bottom w:val="single" w:sz="4" w:space="0" w:color="CBD5E1"/>
              <w:right w:val="none"/>
            </w:tcBorders>
          </w:tcPr>
          <w:p>
            <w:pPr>
              <w:spacing w:before="0" w:after="0" w:line="269" w:lineRule="auto"/>
              <w:jc w:val="center"/>
            </w:pPr>
            <w:r>
              <w:rPr>
                <w:rFonts w:ascii="Segoe UI" w:hAnsi="Segoe UI"/>
                <w:color w:val="334155"/>
                <w:sz w:val="18"/>
              </w:rPr>
              <w:t>Clean Build</w:t>
            </w:r>
          </w:p>
        </w:tc>
        <w:tc>
          <w:tcPr>
            <w:tcW w:type="dxa" w:w="3168"/>
            <w:shd w:fill="F8FAFC"/>
            <w:tcMar>
              <w:top w:w="100" w:type="dxa"/>
              <w:bottom w:w="100" w:type="dxa"/>
              <w:left w:w="140" w:type="dxa"/>
              <w:right w:w="140" w:type="dxa"/>
            </w:tcMar>
            <w:tcBorders>
              <w:top w:val="none"/>
              <w:left w:val="none"/>
              <w:bottom w:val="single" w:sz="4" w:space="0" w:color="CBD5E1"/>
              <w:right w:val="none"/>
            </w:tcBorders>
          </w:tcPr>
          <w:p>
            <w:pPr>
              <w:spacing w:before="0" w:after="0" w:line="269" w:lineRule="auto"/>
            </w:pPr>
            <w:r>
              <w:rPr>
                <w:rFonts w:ascii="Segoe UI" w:hAnsi="Segoe UI"/>
                <w:color w:val="334155"/>
                <w:sz w:val="18"/>
              </w:rPr>
              <w:t>Strict compiler flags (tsc --noEmit) executed across all backend models, controllers, and routes.</w:t>
            </w:r>
          </w:p>
        </w:tc>
      </w:tr>
      <w:tr>
        <w:tc>
          <w:tcPr>
            <w:tcW w:type="dxa" w:w="2592"/>
            <w:shd w:fill="FFFFFF"/>
            <w:tcMar>
              <w:top w:w="100" w:type="dxa"/>
              <w:bottom w:w="100" w:type="dxa"/>
              <w:left w:w="140" w:type="dxa"/>
              <w:right w:w="140" w:type="dxa"/>
            </w:tcMar>
            <w:tcBorders>
              <w:top w:val="none"/>
              <w:left w:val="none"/>
              <w:bottom w:val="single" w:sz="4" w:space="0" w:color="CBD5E1"/>
              <w:right w:val="none"/>
            </w:tcBorders>
          </w:tcPr>
          <w:p>
            <w:pPr>
              <w:spacing w:before="0" w:after="0" w:line="269" w:lineRule="auto"/>
            </w:pPr>
            <w:r>
              <w:rPr>
                <w:rFonts w:ascii="Segoe UI" w:hAnsi="Segoe UI"/>
                <w:color w:val="334155"/>
                <w:sz w:val="18"/>
              </w:rPr>
              <w:t>Frontend Production Vite Build</w:t>
            </w:r>
          </w:p>
        </w:tc>
        <w:tc>
          <w:tcPr>
            <w:tcW w:type="dxa" w:w="2592"/>
            <w:shd w:fill="FFFFFF"/>
            <w:tcMar>
              <w:top w:w="100" w:type="dxa"/>
              <w:bottom w:w="100" w:type="dxa"/>
              <w:left w:w="140" w:type="dxa"/>
              <w:right w:w="140" w:type="dxa"/>
            </w:tcMar>
            <w:tcBorders>
              <w:top w:val="none"/>
              <w:left w:val="none"/>
              <w:bottom w:val="single" w:sz="4" w:space="0" w:color="CBD5E1"/>
              <w:right w:val="none"/>
            </w:tcBorders>
          </w:tcPr>
          <w:p>
            <w:pPr>
              <w:spacing w:before="0" w:after="0" w:line="269" w:lineRule="auto"/>
              <w:jc w:val="center"/>
            </w:pPr>
            <w:r>
              <w:rPr>
                <w:rFonts w:ascii="Segoe UI" w:hAnsi="Segoe UI"/>
                <w:color w:val="334155"/>
                <w:sz w:val="18"/>
              </w:rPr>
              <w:t>2,210 Modules Compiled Cleanly</w:t>
            </w:r>
          </w:p>
        </w:tc>
        <w:tc>
          <w:tcPr>
            <w:tcW w:type="dxa" w:w="1584"/>
            <w:shd w:fill="FFFFFF"/>
            <w:tcMar>
              <w:top w:w="100" w:type="dxa"/>
              <w:bottom w:w="100" w:type="dxa"/>
              <w:left w:w="140" w:type="dxa"/>
              <w:right w:w="140" w:type="dxa"/>
            </w:tcMar>
            <w:tcBorders>
              <w:top w:val="none"/>
              <w:left w:val="none"/>
              <w:bottom w:val="single" w:sz="4" w:space="0" w:color="CBD5E1"/>
              <w:right w:val="none"/>
            </w:tcBorders>
          </w:tcPr>
          <w:p>
            <w:pPr>
              <w:spacing w:before="0" w:after="0" w:line="269" w:lineRule="auto"/>
              <w:jc w:val="center"/>
            </w:pPr>
            <w:r>
              <w:rPr>
                <w:rFonts w:ascii="Segoe UI" w:hAnsi="Segoe UI"/>
                <w:color w:val="334155"/>
                <w:sz w:val="18"/>
              </w:rPr>
              <w:t>8.96s Build Time</w:t>
            </w:r>
          </w:p>
        </w:tc>
        <w:tc>
          <w:tcPr>
            <w:tcW w:type="dxa" w:w="3168"/>
            <w:shd w:fill="FFFFFF"/>
            <w:tcMar>
              <w:top w:w="100" w:type="dxa"/>
              <w:bottom w:w="100" w:type="dxa"/>
              <w:left w:w="140" w:type="dxa"/>
              <w:right w:w="140" w:type="dxa"/>
            </w:tcMar>
            <w:tcBorders>
              <w:top w:val="none"/>
              <w:left w:val="none"/>
              <w:bottom w:val="single" w:sz="4" w:space="0" w:color="CBD5E1"/>
              <w:right w:val="none"/>
            </w:tcBorders>
          </w:tcPr>
          <w:p>
            <w:pPr>
              <w:spacing w:before="0" w:after="0" w:line="269" w:lineRule="auto"/>
            </w:pPr>
            <w:r>
              <w:rPr>
                <w:rFonts w:ascii="Segoe UI" w:hAnsi="Segoe UI"/>
                <w:color w:val="334155"/>
                <w:sz w:val="18"/>
              </w:rPr>
              <w:t>Vite production bundle generated with zero lint or bundling errors, ready for CDN or on-premise hosting.</w:t>
            </w:r>
          </w:p>
        </w:tc>
      </w:tr>
    </w:tbl>
    <w:p>
      <w:pPr>
        <w:spacing w:before="40" w:after="120"/>
      </w:pPr>
    </w:p>
    <w:tbl>
      <w:tblPr>
        <w:tblW w:type="auto" w:w="0"/>
        <w:jc w:val="center"/>
        <w:tblLayout w:type="fixed"/>
        <w:tblLook w:firstColumn="1" w:firstRow="1" w:lastColumn="0" w:lastRow="0" w:noHBand="0" w:noVBand="1" w:val="04A0"/>
      </w:tblPr>
      <w:tblGrid>
        <w:gridCol w:w="9936"/>
      </w:tblGrid>
      <w:tr>
        <w:tc>
          <w:tcPr>
            <w:tcW w:type="dxa" w:w="9792"/>
            <w:shd w:fill="F8FAFC"/>
            <w:tcMar>
              <w:top w:w="140" w:type="dxa"/>
              <w:bottom w:w="140" w:type="dxa"/>
              <w:left w:w="200" w:type="dxa"/>
              <w:right w:w="180" w:type="dxa"/>
            </w:tcMar>
            <w:tcBorders>
              <w:top w:val="none"/>
              <w:left w:val="single" w:sz="30" w:space="0" w:color="059669"/>
              <w:bottom w:val="none"/>
              <w:right w:val="none"/>
            </w:tcBorders>
          </w:tcPr>
          <w:p>
            <w:pPr>
              <w:spacing w:before="40" w:after="80" w:line="276" w:lineRule="auto"/>
            </w:pPr>
            <w:r>
              <w:rPr>
                <w:rFonts w:ascii="Segoe UI" w:hAnsi="Segoe UI"/>
                <w:b/>
                <w:color w:val="1E3A8A"/>
                <w:sz w:val="19"/>
              </w:rPr>
              <w:t>★  PRODUCTION DEPLOYMENT READY</w:t>
              <w:br/>
            </w:r>
            <w:r>
              <w:rPr>
                <w:rFonts w:ascii="Segoe UI" w:hAnsi="Segoe UI"/>
                <w:color w:val="334155"/>
                <w:sz w:val="19"/>
              </w:rPr>
              <w:t>MaintenX-OS has achieved a 100% automated pass rate across all 83 backend integration tests with zero TypeScript compilation warnings, ensuring immediate stability upon plant commissioning.</w:t>
            </w:r>
          </w:p>
        </w:tc>
      </w:tr>
    </w:tbl>
    <w:p>
      <w:pPr>
        <w:spacing w:after="80"/>
      </w:pPr>
    </w:p>
    <w:p>
      <w:pPr>
        <w:pStyle w:val="Heading1"/>
        <w:keepNext/>
        <w:spacing w:before="360" w:after="120"/>
      </w:pPr>
      <w:r>
        <w:rPr>
          <w:rFonts w:ascii="Segoe UI" w:hAnsi="Segoe UI"/>
          <w:b/>
          <w:color w:val="0F172A"/>
          <w:sz w:val="34"/>
        </w:rPr>
        <w:t>12. Codebase Directory Map &amp; Architecture</w:t>
      </w:r>
    </w:p>
    <w:p>
      <w:pPr>
        <w:spacing w:before="0" w:after="120" w:line="283" w:lineRule="auto"/>
      </w:pPr>
      <w:r>
        <w:rPr>
          <w:rFonts w:ascii="Segoe UI" w:hAnsi="Segoe UI"/>
          <w:color w:val="334155"/>
          <w:sz w:val="20"/>
        </w:rPr>
        <w:t>The MaintenX-OS repository is cleanly organized into a modern modular monolith architecture:</w:t>
      </w:r>
    </w:p>
    <w:tbl>
      <w:tblPr>
        <w:tblW w:type="auto" w:w="0"/>
        <w:jc w:val="center"/>
        <w:tblLayout w:type="fixed"/>
        <w:tblLook w:firstColumn="1" w:firstRow="1" w:lastColumn="0" w:lastRow="0" w:noHBand="0" w:noVBand="1" w:val="04A0"/>
      </w:tblPr>
      <w:tblGrid>
        <w:gridCol w:w="4968"/>
        <w:gridCol w:w="4968"/>
      </w:tblGrid>
      <w:tr>
        <w:tc>
          <w:tcPr>
            <w:tcW w:type="dxa" w:w="3600"/>
            <w:shd w:fill="0F172A"/>
            <w:tcMar>
              <w:top w:w="130" w:type="dxa"/>
              <w:bottom w:w="130" w:type="dxa"/>
              <w:left w:w="140" w:type="dxa"/>
              <w:right w:w="140" w:type="dxa"/>
            </w:tcMar>
            <w:tcBorders>
              <w:top w:val="single" w:sz="4" w:space="0" w:color="0F172A"/>
              <w:left w:val="none"/>
              <w:bottom w:val="single" w:sz="10" w:space="0" w:color="C89547"/>
              <w:right w:val="none"/>
            </w:tcBorders>
          </w:tcPr>
          <w:p>
            <w:pPr>
              <w:spacing w:before="0" w:after="0"/>
            </w:pPr>
            <w:r>
              <w:rPr>
                <w:rFonts w:ascii="Segoe UI" w:hAnsi="Segoe UI"/>
                <w:b/>
                <w:color w:val="FFFFFF"/>
                <w:sz w:val="19"/>
              </w:rPr>
              <w:t>Repository File / Path</w:t>
            </w:r>
          </w:p>
        </w:tc>
        <w:tc>
          <w:tcPr>
            <w:tcW w:type="dxa" w:w="6480"/>
            <w:shd w:fill="0F172A"/>
            <w:tcMar>
              <w:top w:w="130" w:type="dxa"/>
              <w:bottom w:w="130" w:type="dxa"/>
              <w:left w:w="140" w:type="dxa"/>
              <w:right w:w="140" w:type="dxa"/>
            </w:tcMar>
            <w:tcBorders>
              <w:top w:val="single" w:sz="4" w:space="0" w:color="0F172A"/>
              <w:left w:val="none"/>
              <w:bottom w:val="single" w:sz="10" w:space="0" w:color="C89547"/>
              <w:right w:val="none"/>
            </w:tcBorders>
          </w:tcPr>
          <w:p>
            <w:pPr>
              <w:spacing w:before="0" w:after="0"/>
            </w:pPr>
            <w:r>
              <w:rPr>
                <w:rFonts w:ascii="Segoe UI" w:hAnsi="Segoe UI"/>
                <w:b/>
                <w:color w:val="FFFFFF"/>
                <w:sz w:val="19"/>
              </w:rPr>
              <w:t>System Responsibility &amp; Architectural Role</w:t>
            </w:r>
          </w:p>
        </w:tc>
      </w:tr>
      <w:tr>
        <w:tc>
          <w:tcPr>
            <w:tcW w:type="dxa" w:w="3600"/>
            <w:shd w:fill="FFFFFF"/>
            <w:tcMar>
              <w:top w:w="100" w:type="dxa"/>
              <w:bottom w:w="100" w:type="dxa"/>
              <w:left w:w="140" w:type="dxa"/>
              <w:right w:w="140" w:type="dxa"/>
            </w:tcMar>
            <w:tcBorders>
              <w:top w:val="none"/>
              <w:left w:val="none"/>
              <w:bottom w:val="single" w:sz="4" w:space="0" w:color="CBD5E1"/>
              <w:right w:val="none"/>
            </w:tcBorders>
          </w:tcPr>
          <w:p>
            <w:pPr>
              <w:spacing w:before="0" w:after="0" w:line="269" w:lineRule="auto"/>
            </w:pPr>
            <w:r>
              <w:rPr>
                <w:rFonts w:ascii="Segoe UI" w:hAnsi="Segoe UI"/>
                <w:color w:val="334155"/>
                <w:sz w:val="18"/>
              </w:rPr>
              <w:t>backend/src/server.ts &amp; app.ts</w:t>
            </w:r>
          </w:p>
        </w:tc>
        <w:tc>
          <w:tcPr>
            <w:tcW w:type="dxa" w:w="6480"/>
            <w:shd w:fill="FFFFFF"/>
            <w:tcMar>
              <w:top w:w="100" w:type="dxa"/>
              <w:bottom w:w="100" w:type="dxa"/>
              <w:left w:w="140" w:type="dxa"/>
              <w:right w:w="140" w:type="dxa"/>
            </w:tcMar>
            <w:tcBorders>
              <w:top w:val="none"/>
              <w:left w:val="none"/>
              <w:bottom w:val="single" w:sz="4" w:space="0" w:color="CBD5E1"/>
              <w:right w:val="none"/>
            </w:tcBorders>
          </w:tcPr>
          <w:p>
            <w:pPr>
              <w:spacing w:before="0" w:after="0" w:line="269" w:lineRule="auto"/>
            </w:pPr>
            <w:r>
              <w:rPr>
                <w:rFonts w:ascii="Segoe UI" w:hAnsi="Segoe UI"/>
                <w:color w:val="334155"/>
                <w:sz w:val="18"/>
              </w:rPr>
              <w:t>Fastify backend entry point, CORS, JWT plugins, and routing registrations.</w:t>
            </w:r>
          </w:p>
        </w:tc>
      </w:tr>
      <w:tr>
        <w:tc>
          <w:tcPr>
            <w:tcW w:type="dxa" w:w="3600"/>
            <w:shd w:fill="F8FAFC"/>
            <w:tcMar>
              <w:top w:w="100" w:type="dxa"/>
              <w:bottom w:w="100" w:type="dxa"/>
              <w:left w:w="140" w:type="dxa"/>
              <w:right w:w="140" w:type="dxa"/>
            </w:tcMar>
            <w:tcBorders>
              <w:top w:val="none"/>
              <w:left w:val="none"/>
              <w:bottom w:val="single" w:sz="4" w:space="0" w:color="CBD5E1"/>
              <w:right w:val="none"/>
            </w:tcBorders>
          </w:tcPr>
          <w:p>
            <w:pPr>
              <w:spacing w:before="0" w:after="0" w:line="269" w:lineRule="auto"/>
            </w:pPr>
            <w:r>
              <w:rPr>
                <w:rFonts w:ascii="Segoe UI" w:hAnsi="Segoe UI"/>
                <w:color w:val="334155"/>
                <w:sz w:val="18"/>
              </w:rPr>
              <w:t>backend/src/db/index.ts</w:t>
            </w:r>
          </w:p>
        </w:tc>
        <w:tc>
          <w:tcPr>
            <w:tcW w:type="dxa" w:w="6480"/>
            <w:shd w:fill="F8FAFC"/>
            <w:tcMar>
              <w:top w:w="100" w:type="dxa"/>
              <w:bottom w:w="100" w:type="dxa"/>
              <w:left w:w="140" w:type="dxa"/>
              <w:right w:w="140" w:type="dxa"/>
            </w:tcMar>
            <w:tcBorders>
              <w:top w:val="none"/>
              <w:left w:val="none"/>
              <w:bottom w:val="single" w:sz="4" w:space="0" w:color="CBD5E1"/>
              <w:right w:val="none"/>
            </w:tcBorders>
          </w:tcPr>
          <w:p>
            <w:pPr>
              <w:spacing w:before="0" w:after="0" w:line="269" w:lineRule="auto"/>
            </w:pPr>
            <w:r>
              <w:rPr>
                <w:rFonts w:ascii="Segoe UI" w:hAnsi="Segoe UI"/>
                <w:color w:val="334155"/>
                <w:sz w:val="18"/>
              </w:rPr>
              <w:t>PostgreSQL database connection pool and Drizzle ORM client initialization.</w:t>
            </w:r>
          </w:p>
        </w:tc>
      </w:tr>
      <w:tr>
        <w:tc>
          <w:tcPr>
            <w:tcW w:type="dxa" w:w="3600"/>
            <w:shd w:fill="FFFFFF"/>
            <w:tcMar>
              <w:top w:w="100" w:type="dxa"/>
              <w:bottom w:w="100" w:type="dxa"/>
              <w:left w:w="140" w:type="dxa"/>
              <w:right w:w="140" w:type="dxa"/>
            </w:tcMar>
            <w:tcBorders>
              <w:top w:val="none"/>
              <w:left w:val="none"/>
              <w:bottom w:val="single" w:sz="4" w:space="0" w:color="CBD5E1"/>
              <w:right w:val="none"/>
            </w:tcBorders>
          </w:tcPr>
          <w:p>
            <w:pPr>
              <w:spacing w:before="0" w:after="0" w:line="269" w:lineRule="auto"/>
            </w:pPr>
            <w:r>
              <w:rPr>
                <w:rFonts w:ascii="Segoe UI" w:hAnsi="Segoe UI"/>
                <w:color w:val="334155"/>
                <w:sz w:val="18"/>
              </w:rPr>
              <w:t>backend/src/db/schema/</w:t>
            </w:r>
          </w:p>
        </w:tc>
        <w:tc>
          <w:tcPr>
            <w:tcW w:type="dxa" w:w="6480"/>
            <w:shd w:fill="FFFFFF"/>
            <w:tcMar>
              <w:top w:w="100" w:type="dxa"/>
              <w:bottom w:w="100" w:type="dxa"/>
              <w:left w:w="140" w:type="dxa"/>
              <w:right w:w="140" w:type="dxa"/>
            </w:tcMar>
            <w:tcBorders>
              <w:top w:val="none"/>
              <w:left w:val="none"/>
              <w:bottom w:val="single" w:sz="4" w:space="0" w:color="CBD5E1"/>
              <w:right w:val="none"/>
            </w:tcBorders>
          </w:tcPr>
          <w:p>
            <w:pPr>
              <w:spacing w:before="0" w:after="0" w:line="269" w:lineRule="auto"/>
            </w:pPr>
            <w:r>
              <w:rPr>
                <w:rFonts w:ascii="Segoe UI" w:hAnsi="Segoe UI"/>
                <w:color w:val="334155"/>
                <w:sz w:val="18"/>
              </w:rPr>
              <w:t>73 normalized PostgreSQL table schemas (index.ts, ci.ts, plantManager.ts, etc.).</w:t>
            </w:r>
          </w:p>
        </w:tc>
      </w:tr>
      <w:tr>
        <w:tc>
          <w:tcPr>
            <w:tcW w:type="dxa" w:w="3600"/>
            <w:shd w:fill="F8FAFC"/>
            <w:tcMar>
              <w:top w:w="100" w:type="dxa"/>
              <w:bottom w:w="100" w:type="dxa"/>
              <w:left w:w="140" w:type="dxa"/>
              <w:right w:w="140" w:type="dxa"/>
            </w:tcMar>
            <w:tcBorders>
              <w:top w:val="none"/>
              <w:left w:val="none"/>
              <w:bottom w:val="single" w:sz="4" w:space="0" w:color="CBD5E1"/>
              <w:right w:val="none"/>
            </w:tcBorders>
          </w:tcPr>
          <w:p>
            <w:pPr>
              <w:spacing w:before="0" w:after="0" w:line="269" w:lineRule="auto"/>
            </w:pPr>
            <w:r>
              <w:rPr>
                <w:rFonts w:ascii="Segoe UI" w:hAnsi="Segoe UI"/>
                <w:color w:val="334155"/>
                <w:sz w:val="18"/>
              </w:rPr>
              <w:t>backend/src/modules/auth/</w:t>
            </w:r>
          </w:p>
        </w:tc>
        <w:tc>
          <w:tcPr>
            <w:tcW w:type="dxa" w:w="6480"/>
            <w:shd w:fill="F8FAFC"/>
            <w:tcMar>
              <w:top w:w="100" w:type="dxa"/>
              <w:bottom w:w="100" w:type="dxa"/>
              <w:left w:w="140" w:type="dxa"/>
              <w:right w:w="140" w:type="dxa"/>
            </w:tcMar>
            <w:tcBorders>
              <w:top w:val="none"/>
              <w:left w:val="none"/>
              <w:bottom w:val="single" w:sz="4" w:space="0" w:color="CBD5E1"/>
              <w:right w:val="none"/>
            </w:tcBorders>
          </w:tcPr>
          <w:p>
            <w:pPr>
              <w:spacing w:before="0" w:after="0" w:line="269" w:lineRule="auto"/>
            </w:pPr>
            <w:r>
              <w:rPr>
                <w:rFonts w:ascii="Segoe UI" w:hAnsi="Segoe UI"/>
                <w:color w:val="334155"/>
                <w:sz w:val="18"/>
              </w:rPr>
              <w:t>User authentication, JWT login tokens, password hashing, and role verification.</w:t>
            </w:r>
          </w:p>
        </w:tc>
      </w:tr>
      <w:tr>
        <w:tc>
          <w:tcPr>
            <w:tcW w:type="dxa" w:w="3600"/>
            <w:shd w:fill="FFFFFF"/>
            <w:tcMar>
              <w:top w:w="100" w:type="dxa"/>
              <w:bottom w:w="100" w:type="dxa"/>
              <w:left w:w="140" w:type="dxa"/>
              <w:right w:w="140" w:type="dxa"/>
            </w:tcMar>
            <w:tcBorders>
              <w:top w:val="none"/>
              <w:left w:val="none"/>
              <w:bottom w:val="single" w:sz="4" w:space="0" w:color="CBD5E1"/>
              <w:right w:val="none"/>
            </w:tcBorders>
          </w:tcPr>
          <w:p>
            <w:pPr>
              <w:spacing w:before="0" w:after="0" w:line="269" w:lineRule="auto"/>
            </w:pPr>
            <w:r>
              <w:rPr>
                <w:rFonts w:ascii="Segoe UI" w:hAnsi="Segoe UI"/>
                <w:color w:val="334155"/>
                <w:sz w:val="18"/>
              </w:rPr>
              <w:t>backend/src/modules/master-data/</w:t>
            </w:r>
          </w:p>
        </w:tc>
        <w:tc>
          <w:tcPr>
            <w:tcW w:type="dxa" w:w="6480"/>
            <w:shd w:fill="FFFFFF"/>
            <w:tcMar>
              <w:top w:w="100" w:type="dxa"/>
              <w:bottom w:w="100" w:type="dxa"/>
              <w:left w:w="140" w:type="dxa"/>
              <w:right w:w="140" w:type="dxa"/>
            </w:tcMar>
            <w:tcBorders>
              <w:top w:val="none"/>
              <w:left w:val="none"/>
              <w:bottom w:val="single" w:sz="4" w:space="0" w:color="CBD5E1"/>
              <w:right w:val="none"/>
            </w:tcBorders>
          </w:tcPr>
          <w:p>
            <w:pPr>
              <w:spacing w:before="0" w:after="0" w:line="269" w:lineRule="auto"/>
            </w:pPr>
            <w:r>
              <w:rPr>
                <w:rFonts w:ascii="Segoe UI" w:hAnsi="Segoe UI"/>
                <w:color w:val="334155"/>
                <w:sz w:val="18"/>
              </w:rPr>
              <w:t>Enterprise master data controllers &amp; services (Plants, Lines, SKUs, BOMs, Routings).</w:t>
            </w:r>
          </w:p>
        </w:tc>
      </w:tr>
      <w:tr>
        <w:tc>
          <w:tcPr>
            <w:tcW w:type="dxa" w:w="3600"/>
            <w:shd w:fill="F8FAFC"/>
            <w:tcMar>
              <w:top w:w="100" w:type="dxa"/>
              <w:bottom w:w="100" w:type="dxa"/>
              <w:left w:w="140" w:type="dxa"/>
              <w:right w:w="140" w:type="dxa"/>
            </w:tcMar>
            <w:tcBorders>
              <w:top w:val="none"/>
              <w:left w:val="none"/>
              <w:bottom w:val="single" w:sz="4" w:space="0" w:color="CBD5E1"/>
              <w:right w:val="none"/>
            </w:tcBorders>
          </w:tcPr>
          <w:p>
            <w:pPr>
              <w:spacing w:before="0" w:after="0" w:line="269" w:lineRule="auto"/>
            </w:pPr>
            <w:r>
              <w:rPr>
                <w:rFonts w:ascii="Segoe UI" w:hAnsi="Segoe UI"/>
                <w:color w:val="334155"/>
                <w:sz w:val="18"/>
              </w:rPr>
              <w:t>backend/src/modules/dashboards/</w:t>
            </w:r>
          </w:p>
        </w:tc>
        <w:tc>
          <w:tcPr>
            <w:tcW w:type="dxa" w:w="6480"/>
            <w:shd w:fill="F8FAFC"/>
            <w:tcMar>
              <w:top w:w="100" w:type="dxa"/>
              <w:bottom w:w="100" w:type="dxa"/>
              <w:left w:w="140" w:type="dxa"/>
              <w:right w:w="140" w:type="dxa"/>
            </w:tcMar>
            <w:tcBorders>
              <w:top w:val="none"/>
              <w:left w:val="none"/>
              <w:bottom w:val="single" w:sz="4" w:space="0" w:color="CBD5E1"/>
              <w:right w:val="none"/>
            </w:tcBorders>
          </w:tcPr>
          <w:p>
            <w:pPr>
              <w:spacing w:before="0" w:after="0" w:line="269" w:lineRule="auto"/>
            </w:pPr>
            <w:r>
              <w:rPr>
                <w:rFonts w:ascii="Segoe UI" w:hAnsi="Segoe UI"/>
                <w:color w:val="334155"/>
                <w:sz w:val="18"/>
              </w:rPr>
              <w:t>Executive Command Center and real-time KPI data aggregation engines.</w:t>
            </w:r>
          </w:p>
        </w:tc>
      </w:tr>
      <w:tr>
        <w:tc>
          <w:tcPr>
            <w:tcW w:type="dxa" w:w="3600"/>
            <w:shd w:fill="FFFFFF"/>
            <w:tcMar>
              <w:top w:w="100" w:type="dxa"/>
              <w:bottom w:w="100" w:type="dxa"/>
              <w:left w:w="140" w:type="dxa"/>
              <w:right w:w="140" w:type="dxa"/>
            </w:tcMar>
            <w:tcBorders>
              <w:top w:val="none"/>
              <w:left w:val="none"/>
              <w:bottom w:val="single" w:sz="4" w:space="0" w:color="CBD5E1"/>
              <w:right w:val="none"/>
            </w:tcBorders>
          </w:tcPr>
          <w:p>
            <w:pPr>
              <w:spacing w:before="0" w:after="0" w:line="269" w:lineRule="auto"/>
            </w:pPr>
            <w:r>
              <w:rPr>
                <w:rFonts w:ascii="Segoe UI" w:hAnsi="Segoe UI"/>
                <w:color w:val="334155"/>
                <w:sz w:val="18"/>
              </w:rPr>
              <w:t>backend/src/modules/production/</w:t>
            </w:r>
          </w:p>
        </w:tc>
        <w:tc>
          <w:tcPr>
            <w:tcW w:type="dxa" w:w="6480"/>
            <w:shd w:fill="FFFFFF"/>
            <w:tcMar>
              <w:top w:w="100" w:type="dxa"/>
              <w:bottom w:w="100" w:type="dxa"/>
              <w:left w:w="140" w:type="dxa"/>
              <w:right w:w="140" w:type="dxa"/>
            </w:tcMar>
            <w:tcBorders>
              <w:top w:val="none"/>
              <w:left w:val="none"/>
              <w:bottom w:val="single" w:sz="4" w:space="0" w:color="CBD5E1"/>
              <w:right w:val="none"/>
            </w:tcBorders>
          </w:tcPr>
          <w:p>
            <w:pPr>
              <w:spacing w:before="0" w:after="0" w:line="269" w:lineRule="auto"/>
            </w:pPr>
            <w:r>
              <w:rPr>
                <w:rFonts w:ascii="Segoe UI" w:hAnsi="Segoe UI"/>
                <w:color w:val="334155"/>
                <w:sz w:val="18"/>
              </w:rPr>
              <w:t>MES floor operations, production orders, 6-step eBR batches, and machine telemetry.</w:t>
            </w:r>
          </w:p>
        </w:tc>
      </w:tr>
      <w:tr>
        <w:tc>
          <w:tcPr>
            <w:tcW w:type="dxa" w:w="3600"/>
            <w:shd w:fill="F8FAFC"/>
            <w:tcMar>
              <w:top w:w="100" w:type="dxa"/>
              <w:bottom w:w="100" w:type="dxa"/>
              <w:left w:w="140" w:type="dxa"/>
              <w:right w:w="140" w:type="dxa"/>
            </w:tcMar>
            <w:tcBorders>
              <w:top w:val="none"/>
              <w:left w:val="none"/>
              <w:bottom w:val="single" w:sz="4" w:space="0" w:color="CBD5E1"/>
              <w:right w:val="none"/>
            </w:tcBorders>
          </w:tcPr>
          <w:p>
            <w:pPr>
              <w:spacing w:before="0" w:after="0" w:line="269" w:lineRule="auto"/>
            </w:pPr>
            <w:r>
              <w:rPr>
                <w:rFonts w:ascii="Segoe UI" w:hAnsi="Segoe UI"/>
                <w:color w:val="334155"/>
                <w:sz w:val="18"/>
              </w:rPr>
              <w:t>backend/src/modules/planning/</w:t>
            </w:r>
          </w:p>
        </w:tc>
        <w:tc>
          <w:tcPr>
            <w:tcW w:type="dxa" w:w="6480"/>
            <w:shd w:fill="F8FAFC"/>
            <w:tcMar>
              <w:top w:w="100" w:type="dxa"/>
              <w:bottom w:w="100" w:type="dxa"/>
              <w:left w:w="140" w:type="dxa"/>
              <w:right w:w="140" w:type="dxa"/>
            </w:tcMar>
            <w:tcBorders>
              <w:top w:val="none"/>
              <w:left w:val="none"/>
              <w:bottom w:val="single" w:sz="4" w:space="0" w:color="CBD5E1"/>
              <w:right w:val="none"/>
            </w:tcBorders>
          </w:tcPr>
          <w:p>
            <w:pPr>
              <w:spacing w:before="0" w:after="0" w:line="269" w:lineRule="auto"/>
            </w:pPr>
            <w:r>
              <w:rPr>
                <w:rFonts w:ascii="Segoe UI" w:hAnsi="Segoe UI"/>
                <w:color w:val="334155"/>
                <w:sz w:val="18"/>
              </w:rPr>
              <w:t>Finite APS scheduler, line capacity planning, and mathematical recovery simulator.</w:t>
            </w:r>
          </w:p>
        </w:tc>
      </w:tr>
      <w:tr>
        <w:tc>
          <w:tcPr>
            <w:tcW w:type="dxa" w:w="3600"/>
            <w:shd w:fill="FFFFFF"/>
            <w:tcMar>
              <w:top w:w="100" w:type="dxa"/>
              <w:bottom w:w="100" w:type="dxa"/>
              <w:left w:w="140" w:type="dxa"/>
              <w:right w:w="140" w:type="dxa"/>
            </w:tcMar>
            <w:tcBorders>
              <w:top w:val="none"/>
              <w:left w:val="none"/>
              <w:bottom w:val="single" w:sz="4" w:space="0" w:color="CBD5E1"/>
              <w:right w:val="none"/>
            </w:tcBorders>
          </w:tcPr>
          <w:p>
            <w:pPr>
              <w:spacing w:before="0" w:after="0" w:line="269" w:lineRule="auto"/>
            </w:pPr>
            <w:r>
              <w:rPr>
                <w:rFonts w:ascii="Segoe UI" w:hAnsi="Segoe UI"/>
                <w:color w:val="334155"/>
                <w:sz w:val="18"/>
              </w:rPr>
              <w:t>backend/src/modules/ci/</w:t>
            </w:r>
          </w:p>
        </w:tc>
        <w:tc>
          <w:tcPr>
            <w:tcW w:type="dxa" w:w="6480"/>
            <w:shd w:fill="FFFFFF"/>
            <w:tcMar>
              <w:top w:w="100" w:type="dxa"/>
              <w:bottom w:w="100" w:type="dxa"/>
              <w:left w:w="140" w:type="dxa"/>
              <w:right w:w="140" w:type="dxa"/>
            </w:tcMar>
            <w:tcBorders>
              <w:top w:val="none"/>
              <w:left w:val="none"/>
              <w:bottom w:val="single" w:sz="4" w:space="0" w:color="CBD5E1"/>
              <w:right w:val="none"/>
            </w:tcBorders>
          </w:tcPr>
          <w:p>
            <w:pPr>
              <w:spacing w:before="0" w:after="0" w:line="269" w:lineRule="auto"/>
            </w:pPr>
            <w:r>
              <w:rPr>
                <w:rFonts w:ascii="Segoe UI" w:hAnsi="Segoe UI"/>
                <w:color w:val="334155"/>
                <w:sz w:val="18"/>
              </w:rPr>
              <w:t>Continuous Improvement, 5-Why investigation trees, 8D methodologies, and CAPA.</w:t>
            </w:r>
          </w:p>
        </w:tc>
      </w:tr>
      <w:tr>
        <w:tc>
          <w:tcPr>
            <w:tcW w:type="dxa" w:w="3600"/>
            <w:shd w:fill="F8FAFC"/>
            <w:tcMar>
              <w:top w:w="100" w:type="dxa"/>
              <w:bottom w:w="100" w:type="dxa"/>
              <w:left w:w="140" w:type="dxa"/>
              <w:right w:w="140" w:type="dxa"/>
            </w:tcMar>
            <w:tcBorders>
              <w:top w:val="none"/>
              <w:left w:val="none"/>
              <w:bottom w:val="single" w:sz="4" w:space="0" w:color="CBD5E1"/>
              <w:right w:val="none"/>
            </w:tcBorders>
          </w:tcPr>
          <w:p>
            <w:pPr>
              <w:spacing w:before="0" w:after="0" w:line="269" w:lineRule="auto"/>
            </w:pPr>
            <w:r>
              <w:rPr>
                <w:rFonts w:ascii="Segoe UI" w:hAnsi="Segoe UI"/>
                <w:color w:val="334155"/>
                <w:sz w:val="18"/>
              </w:rPr>
              <w:t>backend/src/modules/admin/</w:t>
            </w:r>
          </w:p>
        </w:tc>
        <w:tc>
          <w:tcPr>
            <w:tcW w:type="dxa" w:w="6480"/>
            <w:shd w:fill="F8FAFC"/>
            <w:tcMar>
              <w:top w:w="100" w:type="dxa"/>
              <w:bottom w:w="100" w:type="dxa"/>
              <w:left w:w="140" w:type="dxa"/>
              <w:right w:w="140" w:type="dxa"/>
            </w:tcMar>
            <w:tcBorders>
              <w:top w:val="none"/>
              <w:left w:val="none"/>
              <w:bottom w:val="single" w:sz="4" w:space="0" w:color="CBD5E1"/>
              <w:right w:val="none"/>
            </w:tcBorders>
          </w:tcPr>
          <w:p>
            <w:pPr>
              <w:spacing w:before="0" w:after="0" w:line="269" w:lineRule="auto"/>
            </w:pPr>
            <w:r>
              <w:rPr>
                <w:rFonts w:ascii="Segoe UI" w:hAnsi="Segoe UI"/>
                <w:color w:val="334155"/>
                <w:sz w:val="18"/>
              </w:rPr>
              <w:t>User administration, RBAC permission matrices, and 21 CFR Part 11 audit trails.</w:t>
            </w:r>
          </w:p>
        </w:tc>
      </w:tr>
      <w:tr>
        <w:tc>
          <w:tcPr>
            <w:tcW w:type="dxa" w:w="3600"/>
            <w:shd w:fill="FFFFFF"/>
            <w:tcMar>
              <w:top w:w="100" w:type="dxa"/>
              <w:bottom w:w="100" w:type="dxa"/>
              <w:left w:w="140" w:type="dxa"/>
              <w:right w:w="140" w:type="dxa"/>
            </w:tcMar>
            <w:tcBorders>
              <w:top w:val="none"/>
              <w:left w:val="none"/>
              <w:bottom w:val="single" w:sz="4" w:space="0" w:color="CBD5E1"/>
              <w:right w:val="none"/>
            </w:tcBorders>
          </w:tcPr>
          <w:p>
            <w:pPr>
              <w:spacing w:before="0" w:after="0" w:line="269" w:lineRule="auto"/>
            </w:pPr>
            <w:r>
              <w:rPr>
                <w:rFonts w:ascii="Segoe UI" w:hAnsi="Segoe UI"/>
                <w:color w:val="334155"/>
                <w:sz w:val="18"/>
              </w:rPr>
              <w:t>frontend/src/App.jsx</w:t>
            </w:r>
          </w:p>
        </w:tc>
        <w:tc>
          <w:tcPr>
            <w:tcW w:type="dxa" w:w="6480"/>
            <w:shd w:fill="FFFFFF"/>
            <w:tcMar>
              <w:top w:w="100" w:type="dxa"/>
              <w:bottom w:w="100" w:type="dxa"/>
              <w:left w:w="140" w:type="dxa"/>
              <w:right w:w="140" w:type="dxa"/>
            </w:tcMar>
            <w:tcBorders>
              <w:top w:val="none"/>
              <w:left w:val="none"/>
              <w:bottom w:val="single" w:sz="4" w:space="0" w:color="CBD5E1"/>
              <w:right w:val="none"/>
            </w:tcBorders>
          </w:tcPr>
          <w:p>
            <w:pPr>
              <w:spacing w:before="0" w:after="0" w:line="269" w:lineRule="auto"/>
            </w:pPr>
            <w:r>
              <w:rPr>
                <w:rFonts w:ascii="Segoe UI" w:hAnsi="Segoe UI"/>
                <w:color w:val="334155"/>
                <w:sz w:val="18"/>
              </w:rPr>
              <w:t>Client single-page application router with role-guarded layout wrappers.</w:t>
            </w:r>
          </w:p>
        </w:tc>
      </w:tr>
      <w:tr>
        <w:tc>
          <w:tcPr>
            <w:tcW w:type="dxa" w:w="3600"/>
            <w:shd w:fill="F8FAFC"/>
            <w:tcMar>
              <w:top w:w="100" w:type="dxa"/>
              <w:bottom w:w="100" w:type="dxa"/>
              <w:left w:w="140" w:type="dxa"/>
              <w:right w:w="140" w:type="dxa"/>
            </w:tcMar>
            <w:tcBorders>
              <w:top w:val="none"/>
              <w:left w:val="none"/>
              <w:bottom w:val="single" w:sz="4" w:space="0" w:color="CBD5E1"/>
              <w:right w:val="none"/>
            </w:tcBorders>
          </w:tcPr>
          <w:p>
            <w:pPr>
              <w:spacing w:before="0" w:after="0" w:line="269" w:lineRule="auto"/>
            </w:pPr>
            <w:r>
              <w:rPr>
                <w:rFonts w:ascii="Segoe UI" w:hAnsi="Segoe UI"/>
                <w:color w:val="334155"/>
                <w:sz w:val="18"/>
              </w:rPr>
              <w:t>frontend/src/context/</w:t>
            </w:r>
          </w:p>
        </w:tc>
        <w:tc>
          <w:tcPr>
            <w:tcW w:type="dxa" w:w="6480"/>
            <w:shd w:fill="F8FAFC"/>
            <w:tcMar>
              <w:top w:w="100" w:type="dxa"/>
              <w:bottom w:w="100" w:type="dxa"/>
              <w:left w:w="140" w:type="dxa"/>
              <w:right w:w="140" w:type="dxa"/>
            </w:tcMar>
            <w:tcBorders>
              <w:top w:val="none"/>
              <w:left w:val="none"/>
              <w:bottom w:val="single" w:sz="4" w:space="0" w:color="CBD5E1"/>
              <w:right w:val="none"/>
            </w:tcBorders>
          </w:tcPr>
          <w:p>
            <w:pPr>
              <w:spacing w:before="0" w:after="0" w:line="269" w:lineRule="auto"/>
            </w:pPr>
            <w:r>
              <w:rPr>
                <w:rFonts w:ascii="Segoe UI" w:hAnsi="Segoe UI"/>
                <w:color w:val="334155"/>
                <w:sz w:val="18"/>
              </w:rPr>
              <w:t>8 Domain state management contexts (MasterData, Admin, Production, Planning, CI, App).</w:t>
            </w:r>
          </w:p>
        </w:tc>
      </w:tr>
      <w:tr>
        <w:tc>
          <w:tcPr>
            <w:tcW w:type="dxa" w:w="3600"/>
            <w:shd w:fill="FFFFFF"/>
            <w:tcMar>
              <w:top w:w="100" w:type="dxa"/>
              <w:bottom w:w="100" w:type="dxa"/>
              <w:left w:w="140" w:type="dxa"/>
              <w:right w:w="140" w:type="dxa"/>
            </w:tcMar>
            <w:tcBorders>
              <w:top w:val="none"/>
              <w:left w:val="none"/>
              <w:bottom w:val="single" w:sz="4" w:space="0" w:color="CBD5E1"/>
              <w:right w:val="none"/>
            </w:tcBorders>
          </w:tcPr>
          <w:p>
            <w:pPr>
              <w:spacing w:before="0" w:after="0" w:line="269" w:lineRule="auto"/>
            </w:pPr>
            <w:r>
              <w:rPr>
                <w:rFonts w:ascii="Segoe UI" w:hAnsi="Segoe UI"/>
                <w:color w:val="334155"/>
                <w:sz w:val="18"/>
              </w:rPr>
              <w:t>frontend/src/pages/</w:t>
            </w:r>
          </w:p>
        </w:tc>
        <w:tc>
          <w:tcPr>
            <w:tcW w:type="dxa" w:w="6480"/>
            <w:shd w:fill="FFFFFF"/>
            <w:tcMar>
              <w:top w:w="100" w:type="dxa"/>
              <w:bottom w:w="100" w:type="dxa"/>
              <w:left w:w="140" w:type="dxa"/>
              <w:right w:w="140" w:type="dxa"/>
            </w:tcMar>
            <w:tcBorders>
              <w:top w:val="none"/>
              <w:left w:val="none"/>
              <w:bottom w:val="single" w:sz="4" w:space="0" w:color="CBD5E1"/>
              <w:right w:val="none"/>
            </w:tcBorders>
          </w:tcPr>
          <w:p>
            <w:pPr>
              <w:spacing w:before="0" w:after="0" w:line="269" w:lineRule="auto"/>
            </w:pPr>
            <w:r>
              <w:rPr>
                <w:rFonts w:ascii="Segoe UI" w:hAnsi="Segoe UI"/>
                <w:color w:val="334155"/>
                <w:sz w:val="18"/>
              </w:rPr>
              <w:t>Over 60 purpose-built screens organized by operational persona (Admin, CI, Production, etc.).</w:t>
            </w:r>
          </w:p>
        </w:tc>
      </w:tr>
      <w:tr>
        <w:tc>
          <w:tcPr>
            <w:tcW w:type="dxa" w:w="3600"/>
            <w:shd w:fill="F8FAFC"/>
            <w:tcMar>
              <w:top w:w="100" w:type="dxa"/>
              <w:bottom w:w="100" w:type="dxa"/>
              <w:left w:w="140" w:type="dxa"/>
              <w:right w:w="140" w:type="dxa"/>
            </w:tcMar>
            <w:tcBorders>
              <w:top w:val="none"/>
              <w:left w:val="none"/>
              <w:bottom w:val="single" w:sz="4" w:space="0" w:color="CBD5E1"/>
              <w:right w:val="none"/>
            </w:tcBorders>
          </w:tcPr>
          <w:p>
            <w:pPr>
              <w:spacing w:before="0" w:after="0" w:line="269" w:lineRule="auto"/>
            </w:pPr>
            <w:r>
              <w:rPr>
                <w:rFonts w:ascii="Segoe UI" w:hAnsi="Segoe UI"/>
                <w:color w:val="334155"/>
                <w:sz w:val="18"/>
              </w:rPr>
              <w:t>frontend/src/styles/</w:t>
            </w:r>
          </w:p>
        </w:tc>
        <w:tc>
          <w:tcPr>
            <w:tcW w:type="dxa" w:w="6480"/>
            <w:shd w:fill="F8FAFC"/>
            <w:tcMar>
              <w:top w:w="100" w:type="dxa"/>
              <w:bottom w:w="100" w:type="dxa"/>
              <w:left w:w="140" w:type="dxa"/>
              <w:right w:w="140" w:type="dxa"/>
            </w:tcMar>
            <w:tcBorders>
              <w:top w:val="none"/>
              <w:left w:val="none"/>
              <w:bottom w:val="single" w:sz="4" w:space="0" w:color="CBD5E1"/>
              <w:right w:val="none"/>
            </w:tcBorders>
          </w:tcPr>
          <w:p>
            <w:pPr>
              <w:spacing w:before="0" w:after="0" w:line="269" w:lineRule="auto"/>
            </w:pPr>
            <w:r>
              <w:rPr>
                <w:rFonts w:ascii="Segoe UI" w:hAnsi="Segoe UI"/>
                <w:color w:val="334155"/>
                <w:sz w:val="18"/>
              </w:rPr>
              <w:t>Handcrafted design tokens, dark luxury industrial theme, typography, and responsive grids.</w:t>
            </w:r>
          </w:p>
        </w:tc>
      </w:tr>
    </w:tbl>
    <w:p>
      <w:pPr>
        <w:spacing w:before="40" w:after="120"/>
      </w:pPr>
    </w:p>
    <w:tbl>
      <w:tblPr>
        <w:tblW w:type="auto" w:w="0"/>
        <w:jc w:val="center"/>
        <w:tblLayout w:type="fixed"/>
        <w:tblLook w:firstColumn="1" w:firstRow="1" w:lastColumn="0" w:lastRow="0" w:noHBand="0" w:noVBand="1" w:val="04A0"/>
      </w:tblPr>
      <w:tblGrid>
        <w:gridCol w:w="9936"/>
      </w:tblGrid>
      <w:tr>
        <w:tc>
          <w:tcPr>
            <w:tcW w:type="dxa" w:w="9792"/>
            <w:shd w:fill="F8FAFC"/>
            <w:tcMar>
              <w:top w:w="140" w:type="dxa"/>
              <w:bottom w:w="140" w:type="dxa"/>
              <w:left w:w="200" w:type="dxa"/>
              <w:right w:w="180" w:type="dxa"/>
            </w:tcMar>
            <w:tcBorders>
              <w:top w:val="none"/>
              <w:left w:val="single" w:sz="30" w:space="0" w:color="C89547"/>
              <w:bottom w:val="none"/>
              <w:right w:val="none"/>
            </w:tcBorders>
          </w:tcPr>
          <w:p>
            <w:pPr>
              <w:spacing w:before="40" w:after="80" w:line="276" w:lineRule="auto"/>
            </w:pPr>
            <w:r>
              <w:rPr>
                <w:rFonts w:ascii="Segoe UI" w:hAnsi="Segoe UI"/>
                <w:b/>
                <w:color w:val="C89547"/>
                <w:sz w:val="19"/>
              </w:rPr>
              <w:t>★  PROJECT HANDOVER &amp; ACCEPTANCE CERTIFICATION</w:t>
              <w:br/>
            </w:r>
            <w:r>
              <w:rPr>
                <w:rFonts w:ascii="Segoe UI" w:hAnsi="Segoe UI"/>
                <w:color w:val="334155"/>
                <w:sz w:val="19"/>
              </w:rPr>
              <w:t>This document serves as the official technical architecture and functional handover reference for MaintenX-OS. All documented features, database tables, workflows, and APIs reflect the ground-truth production codebase.</w:t>
              <w:br/>
              <w:br/>
              <w:t>Approved For Client Deployment: MaintenX-OS Architecture &amp; Engineering Team</w:t>
              <w:br/>
              <w:t>System Version: 1.0 Enterprise Production Release</w:t>
            </w:r>
          </w:p>
        </w:tc>
      </w:tr>
    </w:tbl>
    <w:p>
      <w:pPr>
        <w:spacing w:after="80"/>
      </w:pPr>
    </w:p>
    <w:sectPr w:rsidR="00FC693F" w:rsidRPr="0006063C" w:rsidSect="00034616">
      <w:headerReference w:type="default" r:id="rId9"/>
      <w:footerReference w:type="default" r:id="rId10"/>
      <w:pgSz w:w="12240" w:h="15840"/>
      <w:pgMar w:top="1152" w:right="1152" w:bottom="1152" w:left="1152"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jc w:val="left"/>
    </w:pPr>
    <w:r>
      <w:rPr>
        <w:rFonts w:ascii="Segoe UI" w:hAnsi="Segoe UI"/>
        <w:color w:val="94A3B8"/>
        <w:sz w:val="17"/>
      </w:rPr>
      <w:t>CONFIDENTIAL &amp; PROPRIETARY  •  Smart Factory Industry 4.0 Operating Platform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80"/>
      <w:jc w:val="right"/>
    </w:pPr>
    <w:r>
      <w:rPr>
        <w:rFonts w:ascii="Segoe UI" w:hAnsi="Segoe UI"/>
        <w:color w:val="94A3B8"/>
        <w:sz w:val="17"/>
      </w:rPr>
      <w:t>MaintenX-OS  |  Enterprise Operations &amp; System Architecture Master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