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FLOWSTATE OPS</w:t>
      </w:r>
    </w:p>
    <w:p>
      <w:pPr>
        <w:pStyle w:val="Subtitle"/>
      </w:pPr>
      <w:r>
        <w:t>Manufacturing Platform Technical Brief</w:t>
      </w:r>
    </w:p>
    <w:p>
      <w:pPr>
        <w:spacing w:after="360"/>
      </w:pPr>
      <w:r>
        <w:rPr>
          <w:b/>
          <w:color w:val="2E74B5"/>
          <w:sz w:val="24"/>
        </w:rPr>
        <w:t>System model, modules, APIs, integrations, hardware assumptions, data flow and development questions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17365D"/>
            <w:tcMar>
              <w:top w:w="80" w:type="dxa"/>
              <w:start w:w="120" w:type="dxa"/>
              <w:bottom w:w="80" w:type="dxa"/>
              <w:end w:w="120" w:type="dxa"/>
            </w:tcMar>
            <w:vAlign w:val="center"/>
          </w:tcPr>
          <w:p>
            <w:r>
              <w:rPr>
                <w:b/>
                <w:color w:val="FFFFFF"/>
                <w:sz w:val="18"/>
              </w:rPr>
              <w:t>Document field</w:t>
            </w:r>
          </w:p>
        </w:tc>
        <w:tc>
          <w:tcPr>
            <w:tcW w:type="dxa" w:w="6960"/>
            <w:shd w:fill="17365D"/>
            <w:tcMar>
              <w:top w:w="80" w:type="dxa"/>
              <w:start w:w="120" w:type="dxa"/>
              <w:bottom w:w="80" w:type="dxa"/>
              <w:end w:w="120" w:type="dxa"/>
            </w:tcMar>
            <w:vAlign w:val="center"/>
          </w:tcPr>
          <w:p>
            <w:r>
              <w:rPr>
                <w:b/>
                <w:color w:val="FFFFFF"/>
                <w:sz w:val="18"/>
              </w:rPr>
              <w:t>Value</w:t>
            </w:r>
          </w:p>
        </w:tc>
      </w:tr>
      <w:tr>
        <w:trPr>
          <w:cantSplit w:val="true"/>
        </w:trPr>
        <w:tc>
          <w:tcPr>
            <w:tcW w:type="dxa" w:w="2400"/>
            <w:tcMar>
              <w:top w:w="80" w:type="dxa"/>
              <w:start w:w="120" w:type="dxa"/>
              <w:bottom w:w="80" w:type="dxa"/>
              <w:end w:w="120" w:type="dxa"/>
            </w:tcMar>
            <w:vAlign w:val="center"/>
          </w:tcPr>
          <w:p>
            <w:pPr>
              <w:spacing w:after="20" w:line="240" w:lineRule="auto"/>
            </w:pPr>
            <w:r>
              <w:rPr>
                <w:sz w:val="18"/>
              </w:rPr>
              <w:t>Prepared for</w:t>
            </w:r>
          </w:p>
        </w:tc>
        <w:tc>
          <w:tcPr>
            <w:tcW w:type="dxa" w:w="6960"/>
            <w:tcMar>
              <w:top w:w="80" w:type="dxa"/>
              <w:start w:w="120" w:type="dxa"/>
              <w:bottom w:w="80" w:type="dxa"/>
              <w:end w:w="120" w:type="dxa"/>
            </w:tcMar>
            <w:vAlign w:val="center"/>
          </w:tcPr>
          <w:p>
            <w:pPr>
              <w:spacing w:after="20" w:line="240" w:lineRule="auto"/>
            </w:pPr>
            <w:r>
              <w:rPr>
                <w:sz w:val="18"/>
              </w:rPr>
              <w:t>Kiaan Tech / Development Partner</w:t>
            </w:r>
          </w:p>
        </w:tc>
      </w:tr>
      <w:tr>
        <w:trPr>
          <w:cantSplit w:val="true"/>
        </w:trPr>
        <w:tc>
          <w:tcPr>
            <w:tcW w:type="dxa" w:w="2400"/>
            <w:shd w:fill="F2F4F7"/>
            <w:tcMar>
              <w:top w:w="80" w:type="dxa"/>
              <w:start w:w="120" w:type="dxa"/>
              <w:bottom w:w="80" w:type="dxa"/>
              <w:end w:w="120" w:type="dxa"/>
            </w:tcMar>
            <w:vAlign w:val="center"/>
          </w:tcPr>
          <w:p>
            <w:pPr>
              <w:spacing w:after="20" w:line="240" w:lineRule="auto"/>
            </w:pPr>
            <w:r>
              <w:rPr>
                <w:sz w:val="18"/>
              </w:rPr>
              <w:t>Prepared by</w:t>
            </w:r>
          </w:p>
        </w:tc>
        <w:tc>
          <w:tcPr>
            <w:tcW w:type="dxa" w:w="6960"/>
            <w:shd w:fill="F2F4F7"/>
            <w:tcMar>
              <w:top w:w="80" w:type="dxa"/>
              <w:start w:w="120" w:type="dxa"/>
              <w:bottom w:w="80" w:type="dxa"/>
              <w:end w:w="120" w:type="dxa"/>
            </w:tcMar>
            <w:vAlign w:val="center"/>
          </w:tcPr>
          <w:p>
            <w:pPr>
              <w:spacing w:after="20" w:line="240" w:lineRule="auto"/>
            </w:pPr>
            <w:r>
              <w:rPr>
                <w:sz w:val="18"/>
              </w:rPr>
              <w:t>Stefan Crawford / FlowState Ops</w:t>
            </w:r>
          </w:p>
        </w:tc>
      </w:tr>
      <w:tr>
        <w:trPr>
          <w:cantSplit w:val="true"/>
        </w:trPr>
        <w:tc>
          <w:tcPr>
            <w:tcW w:type="dxa" w:w="2400"/>
            <w:tcMar>
              <w:top w:w="80" w:type="dxa"/>
              <w:start w:w="120" w:type="dxa"/>
              <w:bottom w:w="80" w:type="dxa"/>
              <w:end w:w="120" w:type="dxa"/>
            </w:tcMar>
            <w:vAlign w:val="center"/>
          </w:tcPr>
          <w:p>
            <w:pPr>
              <w:spacing w:after="20" w:line="240" w:lineRule="auto"/>
            </w:pPr>
            <w:r>
              <w:rPr>
                <w:sz w:val="18"/>
              </w:rPr>
              <w:t>Version</w:t>
            </w:r>
          </w:p>
        </w:tc>
        <w:tc>
          <w:tcPr>
            <w:tcW w:type="dxa" w:w="6960"/>
            <w:tcMar>
              <w:top w:w="80" w:type="dxa"/>
              <w:start w:w="120" w:type="dxa"/>
              <w:bottom w:w="80" w:type="dxa"/>
              <w:end w:w="120" w:type="dxa"/>
            </w:tcMar>
            <w:vAlign w:val="center"/>
          </w:tcPr>
          <w:p>
            <w:pPr>
              <w:spacing w:after="20" w:line="240" w:lineRule="auto"/>
            </w:pPr>
            <w:r>
              <w:rPr>
                <w:sz w:val="18"/>
              </w:rPr>
              <w:t>1.0 - Developer Discovery Brief</w:t>
            </w:r>
          </w:p>
        </w:tc>
      </w:tr>
      <w:tr>
        <w:trPr>
          <w:cantSplit w:val="true"/>
        </w:trPr>
        <w:tc>
          <w:tcPr>
            <w:tcW w:type="dxa" w:w="2400"/>
            <w:shd w:fill="F2F4F7"/>
            <w:tcMar>
              <w:top w:w="80" w:type="dxa"/>
              <w:start w:w="120" w:type="dxa"/>
              <w:bottom w:w="80" w:type="dxa"/>
              <w:end w:w="120" w:type="dxa"/>
            </w:tcMar>
            <w:vAlign w:val="center"/>
          </w:tcPr>
          <w:p>
            <w:pPr>
              <w:spacing w:after="20" w:line="240" w:lineRule="auto"/>
            </w:pPr>
            <w:r>
              <w:rPr>
                <w:sz w:val="18"/>
              </w:rPr>
              <w:t>Date</w:t>
            </w:r>
          </w:p>
        </w:tc>
        <w:tc>
          <w:tcPr>
            <w:tcW w:type="dxa" w:w="6960"/>
            <w:shd w:fill="F2F4F7"/>
            <w:tcMar>
              <w:top w:w="80" w:type="dxa"/>
              <w:start w:w="120" w:type="dxa"/>
              <w:bottom w:w="80" w:type="dxa"/>
              <w:end w:w="120" w:type="dxa"/>
            </w:tcMar>
            <w:vAlign w:val="center"/>
          </w:tcPr>
          <w:p>
            <w:pPr>
              <w:spacing w:after="20" w:line="240" w:lineRule="auto"/>
            </w:pPr>
            <w:r>
              <w:rPr>
                <w:sz w:val="18"/>
              </w:rPr>
              <w:t>September 7, 2026</w:t>
            </w:r>
          </w:p>
        </w:tc>
      </w:tr>
      <w:tr>
        <w:trPr>
          <w:cantSplit w:val="true"/>
        </w:trPr>
        <w:tc>
          <w:tcPr>
            <w:tcW w:type="dxa" w:w="2400"/>
            <w:tcMar>
              <w:top w:w="80" w:type="dxa"/>
              <w:start w:w="120" w:type="dxa"/>
              <w:bottom w:w="80" w:type="dxa"/>
              <w:end w:w="120" w:type="dxa"/>
            </w:tcMar>
            <w:vAlign w:val="center"/>
          </w:tcPr>
          <w:p>
            <w:pPr>
              <w:spacing w:after="20" w:line="240" w:lineRule="auto"/>
            </w:pPr>
            <w:r>
              <w:rPr>
                <w:sz w:val="18"/>
              </w:rPr>
              <w:t>Status</w:t>
            </w:r>
          </w:p>
        </w:tc>
        <w:tc>
          <w:tcPr>
            <w:tcW w:type="dxa" w:w="6960"/>
            <w:tcMar>
              <w:top w:w="80" w:type="dxa"/>
              <w:start w:w="120" w:type="dxa"/>
              <w:bottom w:w="80" w:type="dxa"/>
              <w:end w:w="120" w:type="dxa"/>
            </w:tcMar>
            <w:vAlign w:val="center"/>
          </w:tcPr>
          <w:p>
            <w:pPr>
              <w:spacing w:after="20" w:line="240" w:lineRule="auto"/>
            </w:pPr>
            <w:r>
              <w:rPr>
                <w:sz w:val="18"/>
              </w:rPr>
              <w:t>Requirements baseline; hardware discovery still required</w:t>
            </w:r>
          </w:p>
        </w:tc>
      </w:tr>
      <w:tr>
        <w:trPr>
          <w:cantSplit w:val="true"/>
        </w:trPr>
        <w:tc>
          <w:tcPr>
            <w:tcW w:type="dxa" w:w="2400"/>
            <w:shd w:fill="F2F4F7"/>
            <w:tcMar>
              <w:top w:w="80" w:type="dxa"/>
              <w:start w:w="120" w:type="dxa"/>
              <w:bottom w:w="80" w:type="dxa"/>
              <w:end w:w="120" w:type="dxa"/>
            </w:tcMar>
            <w:vAlign w:val="center"/>
          </w:tcPr>
          <w:p>
            <w:pPr>
              <w:spacing w:after="20" w:line="240" w:lineRule="auto"/>
            </w:pPr>
            <w:r>
              <w:rPr>
                <w:sz w:val="18"/>
              </w:rPr>
              <w:t>Target</w:t>
            </w:r>
          </w:p>
        </w:tc>
        <w:tc>
          <w:tcPr>
            <w:tcW w:type="dxa" w:w="6960"/>
            <w:shd w:fill="F2F4F7"/>
            <w:tcMar>
              <w:top w:w="80" w:type="dxa"/>
              <w:start w:w="120" w:type="dxa"/>
              <w:bottom w:w="80" w:type="dxa"/>
              <w:end w:w="120" w:type="dxa"/>
            </w:tcMar>
            <w:vAlign w:val="center"/>
          </w:tcPr>
          <w:p>
            <w:pPr>
              <w:spacing w:after="20" w:line="240" w:lineRule="auto"/>
            </w:pPr>
            <w:r>
              <w:rPr>
                <w:sz w:val="18"/>
              </w:rPr>
              <w:t>Independent, multi-company, multi-plant manufacturing SaaS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20"/>
            </w:pPr>
            <w:r/>
            <w:r>
              <w:rPr>
                <w:b/>
                <w:color w:val="17365D"/>
              </w:rPr>
              <w:t xml:space="preserve">PRIMARY OBJECTIVE: </w:t>
            </w:r>
            <w:r>
              <w:t>Rebuild FlowState Ops as one connected manufacturing operating system. It must execute real transactions across planning, production, quality, inventory, maintenance and traceability - not operate as a collection of disconnected dashboards.</w:t>
            </w:r>
          </w:p>
        </w:tc>
      </w:tr>
    </w:tbl>
    <w:p>
      <w:pPr>
        <w:spacing w:after="0"/>
      </w:pPr>
    </w:p>
    <w:p>
      <w:pPr>
        <w:pStyle w:val="Heading2"/>
      </w:pPr>
      <w:r>
        <w:t>Core operating chain</w:t>
      </w:r>
    </w:p>
    <w:p>
      <w:pPr>
        <w:jc w:val="center"/>
      </w:pPr>
      <w:r>
        <w:rPr>
          <w:b/>
          <w:color w:val="17365D"/>
          <w:sz w:val="21"/>
        </w:rPr>
        <w:t>DEMAND  →  PLAN  →  MATERIALS  →  PRODUCE  →  VERIFY  →  RELEASE  →  STORE  →  SHIP  →  TRACE  →  IMPROVE</w:t>
      </w:r>
    </w:p>
    <w:p>
      <w:pPr>
        <w:pStyle w:val="SmallNote"/>
      </w:pPr>
      <w:r>
        <w:t>This brief supplements the existing FlowState Ops Full Developer Rebuild Scope. It defines the architecture and discovery decisions Kiaan Tech must document before implementation continues.</w:t>
      </w:r>
    </w:p>
    <w:p>
      <w:r>
        <w:br w:type="page"/>
      </w:r>
    </w:p>
    <w:p>
      <w:pPr>
        <w:pStyle w:val="Heading1"/>
      </w:pPr>
      <w:r>
        <w:t>1. Required Outcome and Boundaries</w:t>
      </w:r>
    </w:p>
    <w:p>
      <w:r>
        <w:t>FlowState Ops is a food-manufacturing-first operating platform combining ERP, APS, MRP, MES, QMS, WMS, CMMS, traceability, labour, costing, continuous improvement and governed AI. Each module must use a shared relational data model and shared transaction history.</w:t>
      </w:r>
    </w:p>
    <w:p>
      <w:pPr>
        <w:pStyle w:val="Heading2"/>
      </w:pPr>
      <w:r>
        <w:t>1.1 Non-negotiable principles</w:t>
      </w:r>
    </w:p>
    <w:p>
      <w:pPr>
        <w:pStyle w:val="ListBullet"/>
      </w:pPr>
      <w:r>
        <w:t>One canonical source of truth for every major business object and KPI.</w:t>
      </w:r>
    </w:p>
    <w:p>
      <w:pPr>
        <w:pStyle w:val="ListBullet"/>
      </w:pPr>
      <w:r>
        <w:t>API-first backend; critical business logic must execute server-side.</w:t>
      </w:r>
    </w:p>
    <w:p>
      <w:pPr>
        <w:pStyle w:val="ListBullet"/>
      </w:pPr>
      <w:r>
        <w:t>Strict tenant isolation by company and plant, with authorized master-owner visibility.</w:t>
      </w:r>
    </w:p>
    <w:p>
      <w:pPr>
        <w:pStyle w:val="ListBullet"/>
      </w:pPr>
      <w:r>
        <w:t>Every critical transaction must record company, plant, department, line, order, batch/lot, equipment, user and timestamp where applicable.</w:t>
      </w:r>
    </w:p>
    <w:p>
      <w:pPr>
        <w:pStyle w:val="ListBullet"/>
      </w:pPr>
      <w:r>
        <w:t>Finished goods must not become available or shippable until the required QA release succeeds.</w:t>
      </w:r>
    </w:p>
    <w:p>
      <w:pPr>
        <w:pStyle w:val="ListBullet"/>
      </w:pPr>
      <w:r>
        <w:t>No hardcoded KPIs, demo metrics or UI-only workflows in production.</w:t>
      </w:r>
    </w:p>
    <w:p>
      <w:pPr>
        <w:pStyle w:val="ListBullet"/>
      </w:pPr>
      <w:r>
        <w:t>Food-safety decisions, root-cause approval and release decisions remain human-controlled.</w:t>
      </w:r>
    </w:p>
    <w:p>
      <w:pPr>
        <w:pStyle w:val="ListBullet"/>
      </w:pPr>
      <w:r>
        <w:t>The owner receives source code, database schema, API specification, deployment configuration and technical documentation.</w:t>
      </w:r>
    </w:p>
    <w:p>
      <w:pPr>
        <w:pStyle w:val="Heading2"/>
      </w:pPr>
      <w:r>
        <w:t>1.2 Delivery strategy</w:t>
      </w:r>
    </w:p>
    <w:p>
      <w:r>
        <w:t>The complete architecture must be defined now, but implementation should be milestone-based. Kiaan Tech must first complete discovery, the current-system gap assessment and hardware survey. No machine connection should be quoted as confirmed until PLC/controller access and protocol support are verified.</w:t>
      </w:r>
    </w:p>
    <w:p>
      <w:pPr>
        <w:pStyle w:val="Heading1"/>
      </w:pPr>
      <w:r>
        <w:t>2. Users and Access Model</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7365D"/>
            <w:tcMar>
              <w:top w:w="80" w:type="dxa"/>
              <w:start w:w="120" w:type="dxa"/>
              <w:bottom w:w="80" w:type="dxa"/>
              <w:end w:w="120" w:type="dxa"/>
            </w:tcMar>
            <w:vAlign w:val="center"/>
          </w:tcPr>
          <w:p>
            <w:r>
              <w:rPr>
                <w:b/>
                <w:color w:val="FFFFFF"/>
                <w:sz w:val="17"/>
              </w:rPr>
              <w:t>Role</w:t>
            </w:r>
          </w:p>
        </w:tc>
        <w:tc>
          <w:tcPr>
            <w:tcW w:type="dxa" w:w="7260"/>
            <w:shd w:fill="17365D"/>
            <w:tcMar>
              <w:top w:w="80" w:type="dxa"/>
              <w:start w:w="120" w:type="dxa"/>
              <w:bottom w:w="80" w:type="dxa"/>
              <w:end w:w="120" w:type="dxa"/>
            </w:tcMar>
            <w:vAlign w:val="center"/>
          </w:tcPr>
          <w:p>
            <w:r>
              <w:rPr>
                <w:b/>
                <w:color w:val="FFFFFF"/>
                <w:sz w:val="17"/>
              </w:rPr>
              <w:t>Primary system responsibility</w:t>
            </w:r>
          </w:p>
        </w:tc>
      </w:tr>
      <w:tr>
        <w:trPr>
          <w:cantSplit w:val="true"/>
        </w:trPr>
        <w:tc>
          <w:tcPr>
            <w:tcW w:type="dxa" w:w="2100"/>
            <w:tcMar>
              <w:top w:w="80" w:type="dxa"/>
              <w:start w:w="120" w:type="dxa"/>
              <w:bottom w:w="80" w:type="dxa"/>
              <w:end w:w="120" w:type="dxa"/>
            </w:tcMar>
            <w:vAlign w:val="center"/>
          </w:tcPr>
          <w:p>
            <w:pPr>
              <w:spacing w:after="20" w:line="240" w:lineRule="auto"/>
            </w:pPr>
            <w:r>
              <w:rPr>
                <w:sz w:val="17"/>
              </w:rPr>
              <w:t>Operator</w:t>
            </w:r>
          </w:p>
        </w:tc>
        <w:tc>
          <w:tcPr>
            <w:tcW w:type="dxa" w:w="7260"/>
            <w:tcMar>
              <w:top w:w="80" w:type="dxa"/>
              <w:start w:w="120" w:type="dxa"/>
              <w:bottom w:w="80" w:type="dxa"/>
              <w:end w:w="120" w:type="dxa"/>
            </w:tcMar>
            <w:vAlign w:val="center"/>
          </w:tcPr>
          <w:p>
            <w:pPr>
              <w:spacing w:after="20" w:line="240" w:lineRule="auto"/>
            </w:pPr>
            <w:r>
              <w:rPr>
                <w:sz w:val="17"/>
              </w:rPr>
              <w:t>Start/pause/complete jobs; record production, downtime, checks and evidence.</w:t>
            </w:r>
          </w:p>
        </w:tc>
      </w:tr>
      <w:tr>
        <w:trPr>
          <w:cantSplit w:val="true"/>
        </w:trPr>
        <w:tc>
          <w:tcPr>
            <w:tcW w:type="dxa" w:w="2100"/>
            <w:shd w:fill="F2F4F7"/>
            <w:tcMar>
              <w:top w:w="80" w:type="dxa"/>
              <w:start w:w="120" w:type="dxa"/>
              <w:bottom w:w="80" w:type="dxa"/>
              <w:end w:w="120" w:type="dxa"/>
            </w:tcMar>
            <w:vAlign w:val="center"/>
          </w:tcPr>
          <w:p>
            <w:pPr>
              <w:spacing w:after="20" w:line="240" w:lineRule="auto"/>
            </w:pPr>
            <w:r>
              <w:rPr>
                <w:sz w:val="17"/>
              </w:rPr>
              <w:t>Lead / Supervisor</w:t>
            </w:r>
          </w:p>
        </w:tc>
        <w:tc>
          <w:tcPr>
            <w:tcW w:type="dxa" w:w="7260"/>
            <w:shd w:fill="F2F4F7"/>
            <w:tcMar>
              <w:top w:w="80" w:type="dxa"/>
              <w:start w:w="120" w:type="dxa"/>
              <w:bottom w:w="80" w:type="dxa"/>
              <w:end w:w="120" w:type="dxa"/>
            </w:tcMar>
            <w:vAlign w:val="center"/>
          </w:tcPr>
          <w:p>
            <w:pPr>
              <w:spacing w:after="20" w:line="240" w:lineRule="auto"/>
            </w:pPr>
            <w:r>
              <w:rPr>
                <w:sz w:val="17"/>
              </w:rPr>
              <w:t>Control schedule execution, labour, pace, H/B, holds, recovery and approvals.</w:t>
            </w:r>
          </w:p>
        </w:tc>
      </w:tr>
      <w:tr>
        <w:trPr>
          <w:cantSplit w:val="true"/>
        </w:trPr>
        <w:tc>
          <w:tcPr>
            <w:tcW w:type="dxa" w:w="2100"/>
            <w:tcMar>
              <w:top w:w="80" w:type="dxa"/>
              <w:start w:w="120" w:type="dxa"/>
              <w:bottom w:w="80" w:type="dxa"/>
              <w:end w:w="120" w:type="dxa"/>
            </w:tcMar>
            <w:vAlign w:val="center"/>
          </w:tcPr>
          <w:p>
            <w:pPr>
              <w:spacing w:after="20" w:line="240" w:lineRule="auto"/>
            </w:pPr>
            <w:r>
              <w:rPr>
                <w:sz w:val="17"/>
              </w:rPr>
              <w:t>Planner</w:t>
            </w:r>
          </w:p>
        </w:tc>
        <w:tc>
          <w:tcPr>
            <w:tcW w:type="dxa" w:w="7260"/>
            <w:tcMar>
              <w:top w:w="80" w:type="dxa"/>
              <w:start w:w="120" w:type="dxa"/>
              <w:bottom w:w="80" w:type="dxa"/>
              <w:end w:w="120" w:type="dxa"/>
            </w:tcMar>
            <w:vAlign w:val="center"/>
          </w:tcPr>
          <w:p>
            <w:pPr>
              <w:spacing w:after="20" w:line="240" w:lineRule="auto"/>
            </w:pPr>
            <w:r>
              <w:rPr>
                <w:sz w:val="17"/>
              </w:rPr>
              <w:t>Forecast, net requirements, finite-capacity APS, materials and schedule publication.</w:t>
            </w:r>
          </w:p>
        </w:tc>
      </w:tr>
      <w:tr>
        <w:trPr>
          <w:cantSplit w:val="true"/>
        </w:trPr>
        <w:tc>
          <w:tcPr>
            <w:tcW w:type="dxa" w:w="2100"/>
            <w:shd w:fill="F2F4F7"/>
            <w:tcMar>
              <w:top w:w="80" w:type="dxa"/>
              <w:start w:w="120" w:type="dxa"/>
              <w:bottom w:w="80" w:type="dxa"/>
              <w:end w:w="120" w:type="dxa"/>
            </w:tcMar>
            <w:vAlign w:val="center"/>
          </w:tcPr>
          <w:p>
            <w:pPr>
              <w:spacing w:after="20" w:line="240" w:lineRule="auto"/>
            </w:pPr>
            <w:r>
              <w:rPr>
                <w:sz w:val="17"/>
              </w:rPr>
              <w:t>QA</w:t>
            </w:r>
          </w:p>
        </w:tc>
        <w:tc>
          <w:tcPr>
            <w:tcW w:type="dxa" w:w="7260"/>
            <w:shd w:fill="F2F4F7"/>
            <w:tcMar>
              <w:top w:w="80" w:type="dxa"/>
              <w:start w:w="120" w:type="dxa"/>
              <w:bottom w:w="80" w:type="dxa"/>
              <w:end w:w="120" w:type="dxa"/>
            </w:tcMar>
            <w:vAlign w:val="center"/>
          </w:tcPr>
          <w:p>
            <w:pPr>
              <w:spacing w:after="20" w:line="240" w:lineRule="auto"/>
            </w:pPr>
            <w:r>
              <w:rPr>
                <w:sz w:val="17"/>
              </w:rPr>
              <w:t>Specifications, CCP checks, holds, deviations, verification, disposition and release.</w:t>
            </w:r>
          </w:p>
        </w:tc>
      </w:tr>
      <w:tr>
        <w:trPr>
          <w:cantSplit w:val="true"/>
        </w:trPr>
        <w:tc>
          <w:tcPr>
            <w:tcW w:type="dxa" w:w="2100"/>
            <w:tcMar>
              <w:top w:w="80" w:type="dxa"/>
              <w:start w:w="120" w:type="dxa"/>
              <w:bottom w:w="80" w:type="dxa"/>
              <w:end w:w="120" w:type="dxa"/>
            </w:tcMar>
            <w:vAlign w:val="center"/>
          </w:tcPr>
          <w:p>
            <w:pPr>
              <w:spacing w:after="20" w:line="240" w:lineRule="auto"/>
            </w:pPr>
            <w:r>
              <w:rPr>
                <w:sz w:val="17"/>
              </w:rPr>
              <w:t>Warehouse</w:t>
            </w:r>
          </w:p>
        </w:tc>
        <w:tc>
          <w:tcPr>
            <w:tcW w:type="dxa" w:w="7260"/>
            <w:tcMar>
              <w:top w:w="80" w:type="dxa"/>
              <w:start w:w="120" w:type="dxa"/>
              <w:bottom w:w="80" w:type="dxa"/>
              <w:end w:w="120" w:type="dxa"/>
            </w:tcMar>
            <w:vAlign w:val="center"/>
          </w:tcPr>
          <w:p>
            <w:pPr>
              <w:spacing w:after="20" w:line="240" w:lineRule="auto"/>
            </w:pPr>
            <w:r>
              <w:rPr>
                <w:sz w:val="17"/>
              </w:rPr>
              <w:t>Receiving, lots, locations, reservations, staging, picking, shipping and counts.</w:t>
            </w:r>
          </w:p>
        </w:tc>
      </w:tr>
      <w:tr>
        <w:trPr>
          <w:cantSplit w:val="true"/>
        </w:trPr>
        <w:tc>
          <w:tcPr>
            <w:tcW w:type="dxa" w:w="2100"/>
            <w:shd w:fill="F2F4F7"/>
            <w:tcMar>
              <w:top w:w="80" w:type="dxa"/>
              <w:start w:w="120" w:type="dxa"/>
              <w:bottom w:w="80" w:type="dxa"/>
              <w:end w:w="120" w:type="dxa"/>
            </w:tcMar>
            <w:vAlign w:val="center"/>
          </w:tcPr>
          <w:p>
            <w:pPr>
              <w:spacing w:after="20" w:line="240" w:lineRule="auto"/>
            </w:pPr>
            <w:r>
              <w:rPr>
                <w:sz w:val="17"/>
              </w:rPr>
              <w:t>Maintenance</w:t>
            </w:r>
          </w:p>
        </w:tc>
        <w:tc>
          <w:tcPr>
            <w:tcW w:type="dxa" w:w="7260"/>
            <w:shd w:fill="F2F4F7"/>
            <w:tcMar>
              <w:top w:w="80" w:type="dxa"/>
              <w:start w:w="120" w:type="dxa"/>
              <w:bottom w:w="80" w:type="dxa"/>
              <w:end w:w="120" w:type="dxa"/>
            </w:tcMar>
            <w:vAlign w:val="center"/>
          </w:tcPr>
          <w:p>
            <w:pPr>
              <w:spacing w:after="20" w:line="240" w:lineRule="auto"/>
            </w:pPr>
            <w:r>
              <w:rPr>
                <w:sz w:val="17"/>
              </w:rPr>
              <w:t>Assets, work orders, PM, failures, spares, calibration and reliability.</w:t>
            </w:r>
          </w:p>
        </w:tc>
      </w:tr>
      <w:tr>
        <w:trPr>
          <w:cantSplit w:val="true"/>
        </w:trPr>
        <w:tc>
          <w:tcPr>
            <w:tcW w:type="dxa" w:w="2100"/>
            <w:tcMar>
              <w:top w:w="80" w:type="dxa"/>
              <w:start w:w="120" w:type="dxa"/>
              <w:bottom w:w="80" w:type="dxa"/>
              <w:end w:w="120" w:type="dxa"/>
            </w:tcMar>
            <w:vAlign w:val="center"/>
          </w:tcPr>
          <w:p>
            <w:pPr>
              <w:spacing w:after="20" w:line="240" w:lineRule="auto"/>
            </w:pPr>
            <w:r>
              <w:rPr>
                <w:sz w:val="17"/>
              </w:rPr>
              <w:t>Plant / Executive</w:t>
            </w:r>
          </w:p>
        </w:tc>
        <w:tc>
          <w:tcPr>
            <w:tcW w:type="dxa" w:w="7260"/>
            <w:tcMar>
              <w:top w:w="80" w:type="dxa"/>
              <w:start w:w="120" w:type="dxa"/>
              <w:bottom w:w="80" w:type="dxa"/>
              <w:end w:w="120" w:type="dxa"/>
            </w:tcMar>
            <w:vAlign w:val="center"/>
          </w:tcPr>
          <w:p>
            <w:pPr>
              <w:spacing w:after="20" w:line="240" w:lineRule="auto"/>
            </w:pPr>
            <w:r>
              <w:rPr>
                <w:sz w:val="17"/>
              </w:rPr>
              <w:t>Cross-module KPIs, constraints, risks, cost, recovery and drill-down.</w:t>
            </w:r>
          </w:p>
        </w:tc>
      </w:tr>
      <w:tr>
        <w:trPr>
          <w:cantSplit w:val="true"/>
        </w:trPr>
        <w:tc>
          <w:tcPr>
            <w:tcW w:type="dxa" w:w="2100"/>
            <w:shd w:fill="F2F4F7"/>
            <w:tcMar>
              <w:top w:w="80" w:type="dxa"/>
              <w:start w:w="120" w:type="dxa"/>
              <w:bottom w:w="80" w:type="dxa"/>
              <w:end w:w="120" w:type="dxa"/>
            </w:tcMar>
            <w:vAlign w:val="center"/>
          </w:tcPr>
          <w:p>
            <w:pPr>
              <w:spacing w:after="20" w:line="240" w:lineRule="auto"/>
            </w:pPr>
            <w:r>
              <w:rPr>
                <w:sz w:val="17"/>
              </w:rPr>
              <w:t>Company / System Admin</w:t>
            </w:r>
          </w:p>
        </w:tc>
        <w:tc>
          <w:tcPr>
            <w:tcW w:type="dxa" w:w="7260"/>
            <w:shd w:fill="F2F4F7"/>
            <w:tcMar>
              <w:top w:w="80" w:type="dxa"/>
              <w:start w:w="120" w:type="dxa"/>
              <w:bottom w:w="80" w:type="dxa"/>
              <w:end w:w="120" w:type="dxa"/>
            </w:tcMar>
            <w:vAlign w:val="center"/>
          </w:tcPr>
          <w:p>
            <w:pPr>
              <w:spacing w:after="20" w:line="240" w:lineRule="auto"/>
            </w:pPr>
            <w:r>
              <w:rPr>
                <w:sz w:val="17"/>
              </w:rPr>
              <w:t>Tenants, users, roles, plants, master data, modules, integrations and audit.</w:t>
            </w:r>
          </w:p>
        </w:tc>
      </w:tr>
    </w:tbl>
    <w:p>
      <w:pPr>
        <w:spacing w:after="40"/>
      </w:pPr>
    </w:p>
    <w:p>
      <w:r>
        <w:br w:type="page"/>
      </w:r>
    </w:p>
    <w:p>
      <w:pPr>
        <w:pStyle w:val="Heading1"/>
      </w:pPr>
      <w:r>
        <w:t>3. System Model and Canonical Data Backbone</w:t>
      </w:r>
    </w:p>
    <w:p>
      <w:r>
        <w:t>The recommended system is a modular web application with a relational transactional core, documented APIs, an integration/event layer, object storage and a separate reporting/AI read layer. Critical workflows must remain usable when an optional AI or external integration is unavailable.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7365D"/>
            <w:tcMar>
              <w:top w:w="80" w:type="dxa"/>
              <w:start w:w="120" w:type="dxa"/>
              <w:bottom w:w="80" w:type="dxa"/>
              <w:end w:w="120" w:type="dxa"/>
            </w:tcMar>
            <w:vAlign w:val="center"/>
          </w:tcPr>
          <w:p>
            <w:r>
              <w:rPr>
                <w:b/>
                <w:color w:val="FFFFFF"/>
                <w:sz w:val="16"/>
              </w:rPr>
              <w:t>Domain</w:t>
            </w:r>
          </w:p>
        </w:tc>
        <w:tc>
          <w:tcPr>
            <w:tcW w:type="dxa" w:w="7260"/>
            <w:shd w:fill="17365D"/>
            <w:tcMar>
              <w:top w:w="80" w:type="dxa"/>
              <w:start w:w="120" w:type="dxa"/>
              <w:bottom w:w="80" w:type="dxa"/>
              <w:end w:w="120" w:type="dxa"/>
            </w:tcMar>
            <w:vAlign w:val="center"/>
          </w:tcPr>
          <w:p>
            <w:r>
              <w:rPr>
                <w:b/>
                <w:color w:val="FFFFFF"/>
                <w:sz w:val="16"/>
              </w:rPr>
              <w:t>Core records</w:t>
            </w:r>
          </w:p>
        </w:tc>
      </w:tr>
      <w:tr>
        <w:trPr>
          <w:cantSplit w:val="true"/>
        </w:trPr>
        <w:tc>
          <w:tcPr>
            <w:tcW w:type="dxa" w:w="2100"/>
            <w:tcMar>
              <w:top w:w="80" w:type="dxa"/>
              <w:start w:w="120" w:type="dxa"/>
              <w:bottom w:w="80" w:type="dxa"/>
              <w:end w:w="120" w:type="dxa"/>
            </w:tcMar>
            <w:vAlign w:val="center"/>
          </w:tcPr>
          <w:p>
            <w:pPr>
              <w:spacing w:after="20" w:line="240" w:lineRule="auto"/>
            </w:pPr>
            <w:r>
              <w:rPr>
                <w:sz w:val="16"/>
              </w:rPr>
              <w:t>Tenant and organization</w:t>
            </w:r>
          </w:p>
        </w:tc>
        <w:tc>
          <w:tcPr>
            <w:tcW w:type="dxa" w:w="7260"/>
            <w:tcMar>
              <w:top w:w="80" w:type="dxa"/>
              <w:start w:w="120" w:type="dxa"/>
              <w:bottom w:w="80" w:type="dxa"/>
              <w:end w:w="120" w:type="dxa"/>
            </w:tcMar>
            <w:vAlign w:val="center"/>
          </w:tcPr>
          <w:p>
            <w:pPr>
              <w:spacing w:after="20" w:line="240" w:lineRule="auto"/>
            </w:pPr>
            <w:r>
              <w:rPr>
                <w:sz w:val="16"/>
              </w:rPr>
              <w:t>Company, plant, department, area, line, work centre, shift, user, role and permission.</w:t>
            </w:r>
          </w:p>
        </w:tc>
      </w:tr>
      <w:tr>
        <w:trPr>
          <w:cantSplit w:val="true"/>
        </w:trPr>
        <w:tc>
          <w:tcPr>
            <w:tcW w:type="dxa" w:w="2100"/>
            <w:shd w:fill="F2F4F7"/>
            <w:tcMar>
              <w:top w:w="80" w:type="dxa"/>
              <w:start w:w="120" w:type="dxa"/>
              <w:bottom w:w="80" w:type="dxa"/>
              <w:end w:w="120" w:type="dxa"/>
            </w:tcMar>
            <w:vAlign w:val="center"/>
          </w:tcPr>
          <w:p>
            <w:pPr>
              <w:spacing w:after="20" w:line="240" w:lineRule="auto"/>
            </w:pPr>
            <w:r>
              <w:rPr>
                <w:sz w:val="16"/>
              </w:rPr>
              <w:t>Product and process</w:t>
            </w:r>
          </w:p>
        </w:tc>
        <w:tc>
          <w:tcPr>
            <w:tcW w:type="dxa" w:w="7260"/>
            <w:shd w:fill="F2F4F7"/>
            <w:tcMar>
              <w:top w:w="80" w:type="dxa"/>
              <w:start w:w="120" w:type="dxa"/>
              <w:bottom w:w="80" w:type="dxa"/>
              <w:end w:w="120" w:type="dxa"/>
            </w:tcMar>
            <w:vAlign w:val="center"/>
          </w:tcPr>
          <w:p>
            <w:pPr>
              <w:spacing w:after="20" w:line="240" w:lineRule="auto"/>
            </w:pPr>
            <w:r>
              <w:rPr>
                <w:sz w:val="16"/>
              </w:rPr>
              <w:t>SKU, UOM, pack configuration, BOM/recipe version, routing, operation, target, changeover and yield rule.</w:t>
            </w:r>
          </w:p>
        </w:tc>
      </w:tr>
      <w:tr>
        <w:trPr>
          <w:cantSplit w:val="true"/>
        </w:trPr>
        <w:tc>
          <w:tcPr>
            <w:tcW w:type="dxa" w:w="2100"/>
            <w:tcMar>
              <w:top w:w="80" w:type="dxa"/>
              <w:start w:w="120" w:type="dxa"/>
              <w:bottom w:w="80" w:type="dxa"/>
              <w:end w:w="120" w:type="dxa"/>
            </w:tcMar>
            <w:vAlign w:val="center"/>
          </w:tcPr>
          <w:p>
            <w:pPr>
              <w:spacing w:after="20" w:line="240" w:lineRule="auto"/>
            </w:pPr>
            <w:r>
              <w:rPr>
                <w:sz w:val="16"/>
              </w:rPr>
              <w:t>Demand and planning</w:t>
            </w:r>
          </w:p>
        </w:tc>
        <w:tc>
          <w:tcPr>
            <w:tcW w:type="dxa" w:w="7260"/>
            <w:tcMar>
              <w:top w:w="80" w:type="dxa"/>
              <w:start w:w="120" w:type="dxa"/>
              <w:bottom w:w="80" w:type="dxa"/>
              <w:end w:w="120" w:type="dxa"/>
            </w:tcMar>
            <w:vAlign w:val="center"/>
          </w:tcPr>
          <w:p>
            <w:pPr>
              <w:spacing w:after="20" w:line="240" w:lineRule="auto"/>
            </w:pPr>
            <w:r>
              <w:rPr>
                <w:sz w:val="16"/>
              </w:rPr>
              <w:t>Customer, forecast, sales order, safety stock, schedule version, production order and packaging job.</w:t>
            </w:r>
          </w:p>
        </w:tc>
      </w:tr>
      <w:tr>
        <w:trPr>
          <w:cantSplit w:val="true"/>
        </w:trPr>
        <w:tc>
          <w:tcPr>
            <w:tcW w:type="dxa" w:w="2100"/>
            <w:shd w:fill="F2F4F7"/>
            <w:tcMar>
              <w:top w:w="80" w:type="dxa"/>
              <w:start w:w="120" w:type="dxa"/>
              <w:bottom w:w="80" w:type="dxa"/>
              <w:end w:w="120" w:type="dxa"/>
            </w:tcMar>
            <w:vAlign w:val="center"/>
          </w:tcPr>
          <w:p>
            <w:pPr>
              <w:spacing w:after="20" w:line="240" w:lineRule="auto"/>
            </w:pPr>
            <w:r>
              <w:rPr>
                <w:sz w:val="16"/>
              </w:rPr>
              <w:t>Materials and inventory</w:t>
            </w:r>
          </w:p>
        </w:tc>
        <w:tc>
          <w:tcPr>
            <w:tcW w:type="dxa" w:w="7260"/>
            <w:shd w:fill="F2F4F7"/>
            <w:tcMar>
              <w:top w:w="80" w:type="dxa"/>
              <w:start w:w="120" w:type="dxa"/>
              <w:bottom w:w="80" w:type="dxa"/>
              <w:end w:w="120" w:type="dxa"/>
            </w:tcMar>
            <w:vAlign w:val="center"/>
          </w:tcPr>
          <w:p>
            <w:pPr>
              <w:spacing w:after="20" w:line="240" w:lineRule="auto"/>
            </w:pPr>
            <w:r>
              <w:rPr>
                <w:sz w:val="16"/>
              </w:rPr>
              <w:t>Requirement, reservation, issue, consumption, lot, pallet, location, transfer, adjustment and receipt.</w:t>
            </w:r>
          </w:p>
        </w:tc>
      </w:tr>
      <w:tr>
        <w:trPr>
          <w:cantSplit w:val="true"/>
        </w:trPr>
        <w:tc>
          <w:tcPr>
            <w:tcW w:type="dxa" w:w="2100"/>
            <w:tcMar>
              <w:top w:w="80" w:type="dxa"/>
              <w:start w:w="120" w:type="dxa"/>
              <w:bottom w:w="80" w:type="dxa"/>
              <w:end w:w="120" w:type="dxa"/>
            </w:tcMar>
            <w:vAlign w:val="center"/>
          </w:tcPr>
          <w:p>
            <w:pPr>
              <w:spacing w:after="20" w:line="240" w:lineRule="auto"/>
            </w:pPr>
            <w:r>
              <w:rPr>
                <w:sz w:val="16"/>
              </w:rPr>
              <w:t>Execution</w:t>
            </w:r>
          </w:p>
        </w:tc>
        <w:tc>
          <w:tcPr>
            <w:tcW w:type="dxa" w:w="7260"/>
            <w:tcMar>
              <w:top w:w="80" w:type="dxa"/>
              <w:start w:w="120" w:type="dxa"/>
              <w:bottom w:w="80" w:type="dxa"/>
              <w:end w:w="120" w:type="dxa"/>
            </w:tcMar>
            <w:vAlign w:val="center"/>
          </w:tcPr>
          <w:p>
            <w:pPr>
              <w:spacing w:after="20" w:line="240" w:lineRule="auto"/>
            </w:pPr>
            <w:r>
              <w:rPr>
                <w:sz w:val="16"/>
              </w:rPr>
              <w:t>Batch record, process step, equipment use, operator assignment, output, scrap, downtime and timeline.</w:t>
            </w:r>
          </w:p>
        </w:tc>
      </w:tr>
      <w:tr>
        <w:trPr>
          <w:cantSplit w:val="true"/>
        </w:trPr>
        <w:tc>
          <w:tcPr>
            <w:tcW w:type="dxa" w:w="2100"/>
            <w:shd w:fill="F2F4F7"/>
            <w:tcMar>
              <w:top w:w="80" w:type="dxa"/>
              <w:start w:w="120" w:type="dxa"/>
              <w:bottom w:w="80" w:type="dxa"/>
              <w:end w:w="120" w:type="dxa"/>
            </w:tcMar>
            <w:vAlign w:val="center"/>
          </w:tcPr>
          <w:p>
            <w:pPr>
              <w:spacing w:after="20" w:line="240" w:lineRule="auto"/>
            </w:pPr>
            <w:r>
              <w:rPr>
                <w:sz w:val="16"/>
              </w:rPr>
              <w:t>Quality</w:t>
            </w:r>
          </w:p>
        </w:tc>
        <w:tc>
          <w:tcPr>
            <w:tcW w:type="dxa" w:w="7260"/>
            <w:shd w:fill="F2F4F7"/>
            <w:tcMar>
              <w:top w:w="80" w:type="dxa"/>
              <w:start w:w="120" w:type="dxa"/>
              <w:bottom w:w="80" w:type="dxa"/>
              <w:end w:w="120" w:type="dxa"/>
            </w:tcMar>
            <w:vAlign w:val="center"/>
          </w:tcPr>
          <w:p>
            <w:pPr>
              <w:spacing w:after="20" w:line="240" w:lineRule="auto"/>
            </w:pPr>
            <w:r>
              <w:rPr>
                <w:sz w:val="16"/>
              </w:rPr>
              <w:t>Specification, CCP, check, deviation, hold, disposition, release, complaint, RCA, CAPA and evidence.</w:t>
            </w:r>
          </w:p>
        </w:tc>
      </w:tr>
      <w:tr>
        <w:trPr>
          <w:cantSplit w:val="true"/>
        </w:trPr>
        <w:tc>
          <w:tcPr>
            <w:tcW w:type="dxa" w:w="2100"/>
            <w:tcMar>
              <w:top w:w="80" w:type="dxa"/>
              <w:start w:w="120" w:type="dxa"/>
              <w:bottom w:w="80" w:type="dxa"/>
              <w:end w:w="120" w:type="dxa"/>
            </w:tcMar>
            <w:vAlign w:val="center"/>
          </w:tcPr>
          <w:p>
            <w:pPr>
              <w:spacing w:after="20" w:line="240" w:lineRule="auto"/>
            </w:pPr>
            <w:r>
              <w:rPr>
                <w:sz w:val="16"/>
              </w:rPr>
              <w:t>Maintenance</w:t>
            </w:r>
          </w:p>
        </w:tc>
        <w:tc>
          <w:tcPr>
            <w:tcW w:type="dxa" w:w="7260"/>
            <w:tcMar>
              <w:top w:w="80" w:type="dxa"/>
              <w:start w:w="120" w:type="dxa"/>
              <w:bottom w:w="80" w:type="dxa"/>
              <w:end w:w="120" w:type="dxa"/>
            </w:tcMar>
            <w:vAlign w:val="center"/>
          </w:tcPr>
          <w:p>
            <w:pPr>
              <w:spacing w:after="20" w:line="240" w:lineRule="auto"/>
            </w:pPr>
            <w:r>
              <w:rPr>
                <w:sz w:val="16"/>
              </w:rPr>
              <w:t>Asset, work request/order, PM plan, failure code, spare part, calibration and machine history.</w:t>
            </w:r>
          </w:p>
        </w:tc>
      </w:tr>
      <w:tr>
        <w:trPr>
          <w:cantSplit w:val="true"/>
        </w:trPr>
        <w:tc>
          <w:tcPr>
            <w:tcW w:type="dxa" w:w="2100"/>
            <w:shd w:fill="F2F4F7"/>
            <w:tcMar>
              <w:top w:w="80" w:type="dxa"/>
              <w:start w:w="120" w:type="dxa"/>
              <w:bottom w:w="80" w:type="dxa"/>
              <w:end w:w="120" w:type="dxa"/>
            </w:tcMar>
            <w:vAlign w:val="center"/>
          </w:tcPr>
          <w:p>
            <w:pPr>
              <w:spacing w:after="20" w:line="240" w:lineRule="auto"/>
            </w:pPr>
            <w:r>
              <w:rPr>
                <w:sz w:val="16"/>
              </w:rPr>
              <w:t>Management</w:t>
            </w:r>
          </w:p>
        </w:tc>
        <w:tc>
          <w:tcPr>
            <w:tcW w:type="dxa" w:w="7260"/>
            <w:shd w:fill="F2F4F7"/>
            <w:tcMar>
              <w:top w:w="80" w:type="dxa"/>
              <w:start w:w="120" w:type="dxa"/>
              <w:bottom w:w="80" w:type="dxa"/>
              <w:end w:w="120" w:type="dxa"/>
            </w:tcMar>
            <w:vAlign w:val="center"/>
          </w:tcPr>
          <w:p>
            <w:pPr>
              <w:spacing w:after="20" w:line="240" w:lineRule="auto"/>
            </w:pPr>
            <w:r>
              <w:rPr>
                <w:sz w:val="16"/>
              </w:rPr>
              <w:t>KPI snapshot, labour time, cost, meeting, decision, action, CI project and verified solution.</w:t>
            </w:r>
          </w:p>
        </w:tc>
      </w:tr>
      <w:tr>
        <w:trPr>
          <w:cantSplit w:val="true"/>
        </w:trPr>
        <w:tc>
          <w:tcPr>
            <w:tcW w:type="dxa" w:w="2100"/>
            <w:tcMar>
              <w:top w:w="80" w:type="dxa"/>
              <w:start w:w="120" w:type="dxa"/>
              <w:bottom w:w="80" w:type="dxa"/>
              <w:end w:w="120" w:type="dxa"/>
            </w:tcMar>
            <w:vAlign w:val="center"/>
          </w:tcPr>
          <w:p>
            <w:pPr>
              <w:spacing w:after="20" w:line="240" w:lineRule="auto"/>
            </w:pPr>
            <w:r>
              <w:rPr>
                <w:sz w:val="16"/>
              </w:rPr>
              <w:t>Governance</w:t>
            </w:r>
          </w:p>
        </w:tc>
        <w:tc>
          <w:tcPr>
            <w:tcW w:type="dxa" w:w="7260"/>
            <w:tcMar>
              <w:top w:w="80" w:type="dxa"/>
              <w:start w:w="120" w:type="dxa"/>
              <w:bottom w:w="80" w:type="dxa"/>
              <w:end w:w="120" w:type="dxa"/>
            </w:tcMar>
            <w:vAlign w:val="center"/>
          </w:tcPr>
          <w:p>
            <w:pPr>
              <w:spacing w:after="20" w:line="240" w:lineRule="auto"/>
            </w:pPr>
            <w:r>
              <w:rPr>
                <w:sz w:val="16"/>
              </w:rPr>
              <w:t>Audit event, e-signature, notification, approval, document revision and integration event.</w:t>
            </w:r>
          </w:p>
        </w:tc>
      </w:tr>
    </w:tbl>
    <w:p>
      <w:pPr>
        <w:spacing w:after="40"/>
      </w:pPr>
    </w:p>
    <w:p>
      <w:pPr>
        <w:pStyle w:val="Heading2"/>
      </w:pPr>
      <w:r>
        <w:t>3.1 Required record relationships</w:t>
      </w:r>
    </w:p>
    <w:p>
      <w:pPr>
        <w:pStyle w:val="ListBullet"/>
      </w:pPr>
      <w:r>
        <w:t>Demand links to schedule, production order, batch, finished lot, shipment and customer.</w:t>
      </w:r>
    </w:p>
    <w:p>
      <w:pPr>
        <w:pStyle w:val="ListBullet"/>
      </w:pPr>
      <w:r>
        <w:t>Every consumed raw-material and packaging lot links to the finished lots it created.</w:t>
      </w:r>
    </w:p>
    <w:p>
      <w:pPr>
        <w:pStyle w:val="ListBullet"/>
      </w:pPr>
      <w:r>
        <w:t>Every production event updates labour, material, quality, inventory, traceability, cost and KPI records through controlled transactions.</w:t>
      </w:r>
    </w:p>
    <w:p>
      <w:pPr>
        <w:pStyle w:val="ListBullet"/>
      </w:pPr>
      <w:r>
        <w:t>Every correction preserves the original value, revised value, reason, user, date/time and approval where required.</w:t>
      </w:r>
    </w:p>
    <w:p>
      <w:pPr>
        <w:pStyle w:val="ListBullet"/>
      </w:pPr>
      <w:r>
        <w:t>Every integration message has an idempotency key, status, retry count, error detail and audit record.</w:t>
      </w:r>
    </w:p>
    <w:p>
      <w:pPr>
        <w:pStyle w:val="Heading1"/>
      </w:pPr>
      <w:r>
        <w:t>4. Main Functional Modules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7365D"/>
            <w:tcMar>
              <w:top w:w="80" w:type="dxa"/>
              <w:start w:w="120" w:type="dxa"/>
              <w:bottom w:w="80" w:type="dxa"/>
              <w:end w:w="120" w:type="dxa"/>
            </w:tcMar>
            <w:vAlign w:val="center"/>
          </w:tcPr>
          <w:p>
            <w:r>
              <w:rPr>
                <w:b/>
                <w:color w:val="FFFFFF"/>
                <w:sz w:val="16"/>
              </w:rPr>
              <w:t>Module</w:t>
            </w:r>
          </w:p>
        </w:tc>
        <w:tc>
          <w:tcPr>
            <w:tcW w:type="dxa" w:w="7160"/>
            <w:shd w:fill="17365D"/>
            <w:tcMar>
              <w:top w:w="80" w:type="dxa"/>
              <w:start w:w="120" w:type="dxa"/>
              <w:bottom w:w="80" w:type="dxa"/>
              <w:end w:w="120" w:type="dxa"/>
            </w:tcMar>
            <w:vAlign w:val="center"/>
          </w:tcPr>
          <w:p>
            <w:r>
              <w:rPr>
                <w:b/>
                <w:color w:val="FFFFFF"/>
                <w:sz w:val="16"/>
              </w:rPr>
              <w:t>Minimum required capability</w:t>
            </w:r>
          </w:p>
        </w:tc>
      </w:tr>
      <w:tr>
        <w:trPr>
          <w:cantSplit w:val="true"/>
        </w:trPr>
        <w:tc>
          <w:tcPr>
            <w:tcW w:type="dxa" w:w="2200"/>
            <w:tcMar>
              <w:top w:w="80" w:type="dxa"/>
              <w:start w:w="120" w:type="dxa"/>
              <w:bottom w:w="80" w:type="dxa"/>
              <w:end w:w="120" w:type="dxa"/>
            </w:tcMar>
            <w:vAlign w:val="center"/>
          </w:tcPr>
          <w:p>
            <w:pPr>
              <w:spacing w:after="20" w:line="240" w:lineRule="auto"/>
            </w:pPr>
            <w:r>
              <w:rPr>
                <w:sz w:val="16"/>
              </w:rPr>
              <w:t>Platform foundation</w:t>
            </w:r>
          </w:p>
        </w:tc>
        <w:tc>
          <w:tcPr>
            <w:tcW w:type="dxa" w:w="7160"/>
            <w:tcMar>
              <w:top w:w="80" w:type="dxa"/>
              <w:start w:w="120" w:type="dxa"/>
              <w:bottom w:w="80" w:type="dxa"/>
              <w:end w:w="120" w:type="dxa"/>
            </w:tcMar>
            <w:vAlign w:val="center"/>
          </w:tcPr>
          <w:p>
            <w:pPr>
              <w:spacing w:after="20" w:line="240" w:lineRule="auto"/>
            </w:pPr>
            <w:r>
              <w:rPr>
                <w:sz w:val="16"/>
              </w:rPr>
              <w:t>Authentication, MFA, tenants, roles, row-level authorization, audit, master data, files, notifications and approvals.</w:t>
            </w:r>
          </w:p>
        </w:tc>
      </w:tr>
      <w:tr>
        <w:trPr>
          <w:cantSplit w:val="true"/>
        </w:trPr>
        <w:tc>
          <w:tcPr>
            <w:tcW w:type="dxa" w:w="2200"/>
            <w:shd w:fill="F2F4F7"/>
            <w:tcMar>
              <w:top w:w="80" w:type="dxa"/>
              <w:start w:w="120" w:type="dxa"/>
              <w:bottom w:w="80" w:type="dxa"/>
              <w:end w:w="120" w:type="dxa"/>
            </w:tcMar>
            <w:vAlign w:val="center"/>
          </w:tcPr>
          <w:p>
            <w:pPr>
              <w:spacing w:after="20" w:line="240" w:lineRule="auto"/>
            </w:pPr>
            <w:r>
              <w:rPr>
                <w:sz w:val="16"/>
              </w:rPr>
              <w:t>Demand / APS / MRP</w:t>
            </w:r>
          </w:p>
        </w:tc>
        <w:tc>
          <w:tcPr>
            <w:tcW w:type="dxa" w:w="7160"/>
            <w:shd w:fill="F2F4F7"/>
            <w:tcMar>
              <w:top w:w="80" w:type="dxa"/>
              <w:start w:w="120" w:type="dxa"/>
              <w:bottom w:w="80" w:type="dxa"/>
              <w:end w:w="120" w:type="dxa"/>
            </w:tcMar>
            <w:vAlign w:val="center"/>
          </w:tcPr>
          <w:p>
            <w:pPr>
              <w:spacing w:after="20" w:line="240" w:lineRule="auto"/>
            </w:pPr>
            <w:r>
              <w:rPr>
                <w:sz w:val="16"/>
              </w:rPr>
              <w:t>Orders, forecasts, safety stock, 14/90-day horizon, finite capacity, materials, labour, QA and maintenance constraints.</w:t>
            </w:r>
          </w:p>
        </w:tc>
      </w:tr>
      <w:tr>
        <w:trPr>
          <w:cantSplit w:val="true"/>
        </w:trPr>
        <w:tc>
          <w:tcPr>
            <w:tcW w:type="dxa" w:w="2200"/>
            <w:tcMar>
              <w:top w:w="80" w:type="dxa"/>
              <w:start w:w="120" w:type="dxa"/>
              <w:bottom w:w="80" w:type="dxa"/>
              <w:end w:w="120" w:type="dxa"/>
            </w:tcMar>
            <w:vAlign w:val="center"/>
          </w:tcPr>
          <w:p>
            <w:pPr>
              <w:spacing w:after="20" w:line="240" w:lineRule="auto"/>
            </w:pPr>
            <w:r>
              <w:rPr>
                <w:sz w:val="16"/>
              </w:rPr>
              <w:t>Production / MES</w:t>
            </w:r>
          </w:p>
        </w:tc>
        <w:tc>
          <w:tcPr>
            <w:tcW w:type="dxa" w:w="7160"/>
            <w:tcMar>
              <w:top w:w="80" w:type="dxa"/>
              <w:start w:w="120" w:type="dxa"/>
              <w:bottom w:w="80" w:type="dxa"/>
              <w:end w:w="120" w:type="dxa"/>
            </w:tcMar>
            <w:vAlign w:val="center"/>
          </w:tcPr>
          <w:p>
            <w:pPr>
              <w:spacing w:after="20" w:line="240" w:lineRule="auto"/>
            </w:pPr>
            <w:r>
              <w:rPr>
                <w:sz w:val="16"/>
              </w:rPr>
              <w:t>Production orders, digital batch records, operator job control, outputs, downtime, changeovers, yields and shift handoff.</w:t>
            </w:r>
          </w:p>
        </w:tc>
      </w:tr>
      <w:tr>
        <w:trPr>
          <w:cantSplit w:val="true"/>
        </w:trPr>
        <w:tc>
          <w:tcPr>
            <w:tcW w:type="dxa" w:w="2200"/>
            <w:shd w:fill="F2F4F7"/>
            <w:tcMar>
              <w:top w:w="80" w:type="dxa"/>
              <w:start w:w="120" w:type="dxa"/>
              <w:bottom w:w="80" w:type="dxa"/>
              <w:end w:w="120" w:type="dxa"/>
            </w:tcMar>
            <w:vAlign w:val="center"/>
          </w:tcPr>
          <w:p>
            <w:pPr>
              <w:spacing w:after="20" w:line="240" w:lineRule="auto"/>
            </w:pPr>
            <w:r>
              <w:rPr>
                <w:sz w:val="16"/>
              </w:rPr>
              <w:t>Quality / QMS</w:t>
            </w:r>
          </w:p>
        </w:tc>
        <w:tc>
          <w:tcPr>
            <w:tcW w:type="dxa" w:w="7160"/>
            <w:shd w:fill="F2F4F7"/>
            <w:tcMar>
              <w:top w:w="80" w:type="dxa"/>
              <w:start w:w="120" w:type="dxa"/>
              <w:bottom w:w="80" w:type="dxa"/>
              <w:end w:w="120" w:type="dxa"/>
            </w:tcMar>
            <w:vAlign w:val="center"/>
          </w:tcPr>
          <w:p>
            <w:pPr>
              <w:spacing w:after="20" w:line="240" w:lineRule="auto"/>
            </w:pPr>
            <w:r>
              <w:rPr>
                <w:sz w:val="16"/>
              </w:rPr>
              <w:t>Specifications, pre-op, CCP, pH, temperature, aw, O2, seal/weight checks, holds, deviations, release and complaints.</w:t>
            </w:r>
          </w:p>
        </w:tc>
      </w:tr>
      <w:tr>
        <w:trPr>
          <w:cantSplit w:val="true"/>
        </w:trPr>
        <w:tc>
          <w:tcPr>
            <w:tcW w:type="dxa" w:w="2200"/>
            <w:tcMar>
              <w:top w:w="80" w:type="dxa"/>
              <w:start w:w="120" w:type="dxa"/>
              <w:bottom w:w="80" w:type="dxa"/>
              <w:end w:w="120" w:type="dxa"/>
            </w:tcMar>
            <w:vAlign w:val="center"/>
          </w:tcPr>
          <w:p>
            <w:pPr>
              <w:spacing w:after="20" w:line="240" w:lineRule="auto"/>
            </w:pPr>
            <w:r>
              <w:rPr>
                <w:sz w:val="16"/>
              </w:rPr>
              <w:t>Batch 360 / traceability</w:t>
            </w:r>
          </w:p>
        </w:tc>
        <w:tc>
          <w:tcPr>
            <w:tcW w:type="dxa" w:w="7160"/>
            <w:tcMar>
              <w:top w:w="80" w:type="dxa"/>
              <w:start w:w="120" w:type="dxa"/>
              <w:bottom w:w="80" w:type="dxa"/>
              <w:end w:w="120" w:type="dxa"/>
            </w:tcMar>
            <w:vAlign w:val="center"/>
          </w:tcPr>
          <w:p>
            <w:pPr>
              <w:spacing w:after="20" w:line="240" w:lineRule="auto"/>
            </w:pPr>
            <w:r>
              <w:rPr>
                <w:sz w:val="16"/>
              </w:rPr>
              <w:t>One-step-back/forward genealogy, reverse and forward trace, mock recall, pallet/shipment/customer linkage.</w:t>
            </w:r>
          </w:p>
        </w:tc>
      </w:tr>
      <w:tr>
        <w:trPr>
          <w:cantSplit w:val="true"/>
        </w:trPr>
        <w:tc>
          <w:tcPr>
            <w:tcW w:type="dxa" w:w="2200"/>
            <w:shd w:fill="F2F4F7"/>
            <w:tcMar>
              <w:top w:w="80" w:type="dxa"/>
              <w:start w:w="120" w:type="dxa"/>
              <w:bottom w:w="80" w:type="dxa"/>
              <w:end w:w="120" w:type="dxa"/>
            </w:tcMar>
            <w:vAlign w:val="center"/>
          </w:tcPr>
          <w:p>
            <w:pPr>
              <w:spacing w:after="20" w:line="240" w:lineRule="auto"/>
            </w:pPr>
            <w:r>
              <w:rPr>
                <w:sz w:val="16"/>
              </w:rPr>
              <w:t>Inventory / WMS</w:t>
            </w:r>
          </w:p>
        </w:tc>
        <w:tc>
          <w:tcPr>
            <w:tcW w:type="dxa" w:w="7160"/>
            <w:shd w:fill="F2F4F7"/>
            <w:tcMar>
              <w:top w:w="80" w:type="dxa"/>
              <w:start w:w="120" w:type="dxa"/>
              <w:bottom w:w="80" w:type="dxa"/>
              <w:end w:w="120" w:type="dxa"/>
            </w:tcMar>
            <w:vAlign w:val="center"/>
          </w:tcPr>
          <w:p>
            <w:pPr>
              <w:spacing w:after="20" w:line="240" w:lineRule="auto"/>
            </w:pPr>
            <w:r>
              <w:rPr>
                <w:sz w:val="16"/>
              </w:rPr>
              <w:t>Receiving, lots, FEFO/FIFO, bins, reservations, issues, returns, holds, counts, staging, picking and shipping.</w:t>
            </w:r>
          </w:p>
        </w:tc>
      </w:tr>
      <w:tr>
        <w:trPr>
          <w:cantSplit w:val="true"/>
        </w:trPr>
        <w:tc>
          <w:tcPr>
            <w:tcW w:type="dxa" w:w="2200"/>
            <w:tcMar>
              <w:top w:w="80" w:type="dxa"/>
              <w:start w:w="120" w:type="dxa"/>
              <w:bottom w:w="80" w:type="dxa"/>
              <w:end w:w="120" w:type="dxa"/>
            </w:tcMar>
            <w:vAlign w:val="center"/>
          </w:tcPr>
          <w:p>
            <w:pPr>
              <w:spacing w:after="20" w:line="240" w:lineRule="auto"/>
            </w:pPr>
            <w:r>
              <w:rPr>
                <w:sz w:val="16"/>
              </w:rPr>
              <w:t>Maintenance / CMMS</w:t>
            </w:r>
          </w:p>
        </w:tc>
        <w:tc>
          <w:tcPr>
            <w:tcW w:type="dxa" w:w="7160"/>
            <w:tcMar>
              <w:top w:w="80" w:type="dxa"/>
              <w:start w:w="120" w:type="dxa"/>
              <w:bottom w:w="80" w:type="dxa"/>
              <w:end w:w="120" w:type="dxa"/>
            </w:tcMar>
            <w:vAlign w:val="center"/>
          </w:tcPr>
          <w:p>
            <w:pPr>
              <w:spacing w:after="20" w:line="240" w:lineRule="auto"/>
            </w:pPr>
            <w:r>
              <w:rPr>
                <w:sz w:val="16"/>
              </w:rPr>
              <w:t>Assets, work orders, PM, downtime links, failure codes, spares, calibration, MTBF, MTTR and costs.</w:t>
            </w:r>
          </w:p>
        </w:tc>
      </w:tr>
      <w:tr>
        <w:trPr>
          <w:cantSplit w:val="true"/>
        </w:trPr>
        <w:tc>
          <w:tcPr>
            <w:tcW w:type="dxa" w:w="2200"/>
            <w:shd w:fill="F2F4F7"/>
            <w:tcMar>
              <w:top w:w="80" w:type="dxa"/>
              <w:start w:w="120" w:type="dxa"/>
              <w:bottom w:w="80" w:type="dxa"/>
              <w:end w:w="120" w:type="dxa"/>
            </w:tcMar>
            <w:vAlign w:val="center"/>
          </w:tcPr>
          <w:p>
            <w:pPr>
              <w:spacing w:after="20" w:line="240" w:lineRule="auto"/>
            </w:pPr>
            <w:r>
              <w:rPr>
                <w:sz w:val="16"/>
              </w:rPr>
              <w:t>Labour / performance</w:t>
            </w:r>
          </w:p>
        </w:tc>
        <w:tc>
          <w:tcPr>
            <w:tcW w:type="dxa" w:w="7160"/>
            <w:shd w:fill="F2F4F7"/>
            <w:tcMar>
              <w:top w:w="80" w:type="dxa"/>
              <w:start w:w="120" w:type="dxa"/>
              <w:bottom w:w="80" w:type="dxa"/>
              <w:end w:w="120" w:type="dxa"/>
            </w:tcMar>
            <w:vAlign w:val="center"/>
          </w:tcPr>
          <w:p>
            <w:pPr>
              <w:spacing w:after="20" w:line="240" w:lineRule="auto"/>
            </w:pPr>
            <w:r>
              <w:rPr>
                <w:sz w:val="16"/>
              </w:rPr>
              <w:t>Assignments, skills, time, transfers, overtime, H/B, OEE, schedule attainment and recovery projections.</w:t>
            </w:r>
          </w:p>
        </w:tc>
      </w:tr>
      <w:tr>
        <w:trPr>
          <w:cantSplit w:val="true"/>
        </w:trPr>
        <w:tc>
          <w:tcPr>
            <w:tcW w:type="dxa" w:w="2200"/>
            <w:tcMar>
              <w:top w:w="80" w:type="dxa"/>
              <w:start w:w="120" w:type="dxa"/>
              <w:bottom w:w="80" w:type="dxa"/>
              <w:end w:w="120" w:type="dxa"/>
            </w:tcMar>
            <w:vAlign w:val="center"/>
          </w:tcPr>
          <w:p>
            <w:pPr>
              <w:spacing w:after="20" w:line="240" w:lineRule="auto"/>
            </w:pPr>
            <w:r>
              <w:rPr>
                <w:sz w:val="16"/>
              </w:rPr>
              <w:t>RCA / CI</w:t>
            </w:r>
          </w:p>
        </w:tc>
        <w:tc>
          <w:tcPr>
            <w:tcW w:type="dxa" w:w="7160"/>
            <w:tcMar>
              <w:top w:w="80" w:type="dxa"/>
              <w:start w:w="120" w:type="dxa"/>
              <w:bottom w:w="80" w:type="dxa"/>
              <w:end w:w="120" w:type="dxa"/>
            </w:tcMar>
            <w:vAlign w:val="center"/>
          </w:tcPr>
          <w:p>
            <w:pPr>
              <w:spacing w:after="20" w:line="240" w:lineRule="auto"/>
            </w:pPr>
            <w:r>
              <w:rPr>
                <w:sz w:val="16"/>
              </w:rPr>
              <w:t>Evidence-based hypotheses, occurrence/escape causes, actions, effectiveness checks, projects and verified solutions.</w:t>
            </w:r>
          </w:p>
        </w:tc>
      </w:tr>
      <w:tr>
        <w:trPr>
          <w:cantSplit w:val="true"/>
        </w:trPr>
        <w:tc>
          <w:tcPr>
            <w:tcW w:type="dxa" w:w="2200"/>
            <w:shd w:fill="F2F4F7"/>
            <w:tcMar>
              <w:top w:w="80" w:type="dxa"/>
              <w:start w:w="120" w:type="dxa"/>
              <w:bottom w:w="80" w:type="dxa"/>
              <w:end w:w="120" w:type="dxa"/>
            </w:tcMar>
            <w:vAlign w:val="center"/>
          </w:tcPr>
          <w:p>
            <w:pPr>
              <w:spacing w:after="20" w:line="240" w:lineRule="auto"/>
            </w:pPr>
            <w:r>
              <w:rPr>
                <w:sz w:val="16"/>
              </w:rPr>
              <w:t>Meeting intelligence / AI</w:t>
            </w:r>
          </w:p>
        </w:tc>
        <w:tc>
          <w:tcPr>
            <w:tcW w:type="dxa" w:w="7160"/>
            <w:shd w:fill="F2F4F7"/>
            <w:tcMar>
              <w:top w:w="80" w:type="dxa"/>
              <w:start w:w="120" w:type="dxa"/>
              <w:bottom w:w="80" w:type="dxa"/>
              <w:end w:w="120" w:type="dxa"/>
            </w:tcMar>
            <w:vAlign w:val="center"/>
          </w:tcPr>
          <w:p>
            <w:pPr>
              <w:spacing w:after="20" w:line="240" w:lineRule="auto"/>
            </w:pPr>
            <w:r>
              <w:rPr>
                <w:sz w:val="16"/>
              </w:rPr>
              <w:t>Transcription, issue/entity linking, action extraction, evidence summaries and governed recommendations.</w:t>
            </w:r>
          </w:p>
        </w:tc>
      </w:tr>
      <w:tr>
        <w:trPr>
          <w:cantSplit w:val="true"/>
        </w:trPr>
        <w:tc>
          <w:tcPr>
            <w:tcW w:type="dxa" w:w="2200"/>
            <w:tcMar>
              <w:top w:w="80" w:type="dxa"/>
              <w:start w:w="120" w:type="dxa"/>
              <w:bottom w:w="80" w:type="dxa"/>
              <w:end w:w="120" w:type="dxa"/>
            </w:tcMar>
            <w:vAlign w:val="center"/>
          </w:tcPr>
          <w:p>
            <w:pPr>
              <w:spacing w:after="20" w:line="240" w:lineRule="auto"/>
            </w:pPr>
            <w:r>
              <w:rPr>
                <w:sz w:val="16"/>
              </w:rPr>
              <w:t>Costing / executive</w:t>
            </w:r>
          </w:p>
        </w:tc>
        <w:tc>
          <w:tcPr>
            <w:tcW w:type="dxa" w:w="7160"/>
            <w:tcMar>
              <w:top w:w="80" w:type="dxa"/>
              <w:start w:w="120" w:type="dxa"/>
              <w:bottom w:w="80" w:type="dxa"/>
              <w:end w:w="120" w:type="dxa"/>
            </w:tcMar>
            <w:vAlign w:val="center"/>
          </w:tcPr>
          <w:p>
            <w:pPr>
              <w:spacing w:after="20" w:line="240" w:lineRule="auto"/>
            </w:pPr>
            <w:r>
              <w:rPr>
                <w:sz w:val="16"/>
              </w:rPr>
              <w:t>Material, packaging, labour, downtime, yield, maintenance cost, opportunity value and multi-plant dashboards.</w:t>
            </w:r>
          </w:p>
        </w:tc>
      </w:tr>
      <w:tr>
        <w:trPr>
          <w:cantSplit w:val="true"/>
        </w:trPr>
        <w:tc>
          <w:tcPr>
            <w:tcW w:type="dxa" w:w="2200"/>
            <w:shd w:fill="F2F4F7"/>
            <w:tcMar>
              <w:top w:w="80" w:type="dxa"/>
              <w:start w:w="120" w:type="dxa"/>
              <w:bottom w:w="80" w:type="dxa"/>
              <w:end w:w="120" w:type="dxa"/>
            </w:tcMar>
            <w:vAlign w:val="center"/>
          </w:tcPr>
          <w:p>
            <w:pPr>
              <w:spacing w:after="20" w:line="240" w:lineRule="auto"/>
            </w:pPr>
            <w:r>
              <w:rPr>
                <w:sz w:val="16"/>
              </w:rPr>
              <w:t>SOP / training / sanitation</w:t>
            </w:r>
          </w:p>
        </w:tc>
        <w:tc>
          <w:tcPr>
            <w:tcW w:type="dxa" w:w="7160"/>
            <w:shd w:fill="F2F4F7"/>
            <w:tcMar>
              <w:top w:w="80" w:type="dxa"/>
              <w:start w:w="120" w:type="dxa"/>
              <w:bottom w:w="80" w:type="dxa"/>
              <w:end w:w="120" w:type="dxa"/>
            </w:tcMar>
            <w:vAlign w:val="center"/>
          </w:tcPr>
          <w:p>
            <w:pPr>
              <w:spacing w:after="20" w:line="240" w:lineRule="auto"/>
            </w:pPr>
            <w:r>
              <w:rPr>
                <w:sz w:val="16"/>
              </w:rPr>
              <w:t>Controlled documents, revisions, acknowledgements, qualifications, sanitation schedules, ATP and pre-op release.</w:t>
            </w:r>
          </w:p>
        </w:tc>
      </w:tr>
    </w:tbl>
    <w:p>
      <w:pPr>
        <w:spacing w:after="40"/>
      </w:pPr>
    </w:p>
    <w:p>
      <w:pPr>
        <w:pStyle w:val="Heading1"/>
      </w:pPr>
      <w:r>
        <w:t>5. Application and Deployment Architecture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Mar>
              <w:top w:w="80" w:type="dxa"/>
              <w:start w:w="120" w:type="dxa"/>
              <w:bottom w:w="80" w:type="dxa"/>
              <w:end w:w="120" w:type="dxa"/>
            </w:tcMar>
            <w:vAlign w:val="center"/>
          </w:tcPr>
          <w:p>
            <w:r>
              <w:rPr>
                <w:b/>
                <w:color w:val="FFFFFF"/>
                <w:sz w:val="16"/>
              </w:rPr>
              <w:t>Layer</w:t>
            </w:r>
          </w:p>
        </w:tc>
        <w:tc>
          <w:tcPr>
            <w:tcW w:type="dxa" w:w="7460"/>
            <w:shd w:fill="17365D"/>
            <w:tcMar>
              <w:top w:w="80" w:type="dxa"/>
              <w:start w:w="120" w:type="dxa"/>
              <w:bottom w:w="80" w:type="dxa"/>
              <w:end w:w="120" w:type="dxa"/>
            </w:tcMar>
            <w:vAlign w:val="center"/>
          </w:tcPr>
          <w:p>
            <w:r>
              <w:rPr>
                <w:b/>
                <w:color w:val="FFFFFF"/>
                <w:sz w:val="16"/>
              </w:rPr>
              <w:t>Required design</w:t>
            </w:r>
          </w:p>
        </w:tc>
      </w:tr>
      <w:tr>
        <w:trPr>
          <w:cantSplit w:val="true"/>
        </w:trPr>
        <w:tc>
          <w:tcPr>
            <w:tcW w:type="dxa" w:w="1900"/>
            <w:tcMar>
              <w:top w:w="80" w:type="dxa"/>
              <w:start w:w="120" w:type="dxa"/>
              <w:bottom w:w="80" w:type="dxa"/>
              <w:end w:w="120" w:type="dxa"/>
            </w:tcMar>
            <w:vAlign w:val="center"/>
          </w:tcPr>
          <w:p>
            <w:pPr>
              <w:spacing w:after="20" w:line="240" w:lineRule="auto"/>
            </w:pPr>
            <w:r>
              <w:rPr>
                <w:sz w:val="16"/>
              </w:rPr>
              <w:t>User experience</w:t>
            </w:r>
          </w:p>
        </w:tc>
        <w:tc>
          <w:tcPr>
            <w:tcW w:type="dxa" w:w="7460"/>
            <w:tcMar>
              <w:top w:w="80" w:type="dxa"/>
              <w:start w:w="120" w:type="dxa"/>
              <w:bottom w:w="80" w:type="dxa"/>
              <w:end w:w="120" w:type="dxa"/>
            </w:tcMar>
            <w:vAlign w:val="center"/>
          </w:tcPr>
          <w:p>
            <w:pPr>
              <w:spacing w:after="20" w:line="240" w:lineRule="auto"/>
            </w:pPr>
            <w:r>
              <w:rPr>
                <w:sz w:val="16"/>
              </w:rPr>
              <w:t>Responsive browser application for desktop, tablet and mobile; role-specific home screens; large touch targets; barcode/QR and photo capture.</w:t>
            </w:r>
          </w:p>
        </w:tc>
      </w:tr>
      <w:tr>
        <w:trPr>
          <w:cantSplit w:val="true"/>
        </w:trPr>
        <w:tc>
          <w:tcPr>
            <w:tcW w:type="dxa" w:w="1900"/>
            <w:shd w:fill="F2F4F7"/>
            <w:tcMar>
              <w:top w:w="80" w:type="dxa"/>
              <w:start w:w="120" w:type="dxa"/>
              <w:bottom w:w="80" w:type="dxa"/>
              <w:end w:w="120" w:type="dxa"/>
            </w:tcMar>
            <w:vAlign w:val="center"/>
          </w:tcPr>
          <w:p>
            <w:pPr>
              <w:spacing w:after="20" w:line="240" w:lineRule="auto"/>
            </w:pPr>
            <w:r>
              <w:rPr>
                <w:sz w:val="16"/>
              </w:rPr>
              <w:t>Application/API</w:t>
            </w:r>
          </w:p>
        </w:tc>
        <w:tc>
          <w:tcPr>
            <w:tcW w:type="dxa" w:w="7460"/>
            <w:shd w:fill="F2F4F7"/>
            <w:tcMar>
              <w:top w:w="80" w:type="dxa"/>
              <w:start w:w="120" w:type="dxa"/>
              <w:bottom w:w="80" w:type="dxa"/>
              <w:end w:w="120" w:type="dxa"/>
            </w:tcMar>
            <w:vAlign w:val="center"/>
          </w:tcPr>
          <w:p>
            <w:pPr>
              <w:spacing w:after="20" w:line="240" w:lineRule="auto"/>
            </w:pPr>
            <w:r>
              <w:rPr>
                <w:sz w:val="16"/>
              </w:rPr>
              <w:t>Versioned REST or GraphQL APIs for transactions; WebSocket/subscription channel for live status; server-side validation and authorization.</w:t>
            </w:r>
          </w:p>
        </w:tc>
      </w:tr>
      <w:tr>
        <w:trPr>
          <w:cantSplit w:val="true"/>
        </w:trPr>
        <w:tc>
          <w:tcPr>
            <w:tcW w:type="dxa" w:w="1900"/>
            <w:tcMar>
              <w:top w:w="80" w:type="dxa"/>
              <w:start w:w="120" w:type="dxa"/>
              <w:bottom w:w="80" w:type="dxa"/>
              <w:end w:w="120" w:type="dxa"/>
            </w:tcMar>
            <w:vAlign w:val="center"/>
          </w:tcPr>
          <w:p>
            <w:pPr>
              <w:spacing w:after="20" w:line="240" w:lineRule="auto"/>
            </w:pPr>
            <w:r>
              <w:rPr>
                <w:sz w:val="16"/>
              </w:rPr>
              <w:t>Domain services</w:t>
            </w:r>
          </w:p>
        </w:tc>
        <w:tc>
          <w:tcPr>
            <w:tcW w:type="dxa" w:w="7460"/>
            <w:tcMar>
              <w:top w:w="80" w:type="dxa"/>
              <w:start w:w="120" w:type="dxa"/>
              <w:bottom w:w="80" w:type="dxa"/>
              <w:end w:w="120" w:type="dxa"/>
            </w:tcMar>
            <w:vAlign w:val="center"/>
          </w:tcPr>
          <w:p>
            <w:pPr>
              <w:spacing w:after="20" w:line="240" w:lineRule="auto"/>
            </w:pPr>
            <w:r>
              <w:rPr>
                <w:sz w:val="16"/>
              </w:rPr>
              <w:t>Planning, production, quality, inventory, traceability, maintenance, labour, documents, notifications, reporting and AI orchestration.</w:t>
            </w:r>
          </w:p>
        </w:tc>
      </w:tr>
      <w:tr>
        <w:trPr>
          <w:cantSplit w:val="true"/>
        </w:trPr>
        <w:tc>
          <w:tcPr>
            <w:tcW w:type="dxa" w:w="1900"/>
            <w:shd w:fill="F2F4F7"/>
            <w:tcMar>
              <w:top w:w="80" w:type="dxa"/>
              <w:start w:w="120" w:type="dxa"/>
              <w:bottom w:w="80" w:type="dxa"/>
              <w:end w:w="120" w:type="dxa"/>
            </w:tcMar>
            <w:vAlign w:val="center"/>
          </w:tcPr>
          <w:p>
            <w:pPr>
              <w:spacing w:after="20" w:line="240" w:lineRule="auto"/>
            </w:pPr>
            <w:r>
              <w:rPr>
                <w:sz w:val="16"/>
              </w:rPr>
              <w:t>Transactional data</w:t>
            </w:r>
          </w:p>
        </w:tc>
        <w:tc>
          <w:tcPr>
            <w:tcW w:type="dxa" w:w="7460"/>
            <w:shd w:fill="F2F4F7"/>
            <w:tcMar>
              <w:top w:w="80" w:type="dxa"/>
              <w:start w:w="120" w:type="dxa"/>
              <w:bottom w:w="80" w:type="dxa"/>
              <w:end w:w="120" w:type="dxa"/>
            </w:tcMar>
            <w:vAlign w:val="center"/>
          </w:tcPr>
          <w:p>
            <w:pPr>
              <w:spacing w:after="20" w:line="240" w:lineRule="auto"/>
            </w:pPr>
            <w:r>
              <w:rPr>
                <w:sz w:val="16"/>
              </w:rPr>
              <w:t>Production-grade relational database with migrations, constraints, revisioning, immutable audit events and tenant-scoped keys.</w:t>
            </w:r>
          </w:p>
        </w:tc>
      </w:tr>
      <w:tr>
        <w:trPr>
          <w:cantSplit w:val="true"/>
        </w:trPr>
        <w:tc>
          <w:tcPr>
            <w:tcW w:type="dxa" w:w="1900"/>
            <w:tcMar>
              <w:top w:w="80" w:type="dxa"/>
              <w:start w:w="120" w:type="dxa"/>
              <w:bottom w:w="80" w:type="dxa"/>
              <w:end w:w="120" w:type="dxa"/>
            </w:tcMar>
            <w:vAlign w:val="center"/>
          </w:tcPr>
          <w:p>
            <w:pPr>
              <w:spacing w:after="20" w:line="240" w:lineRule="auto"/>
            </w:pPr>
            <w:r>
              <w:rPr>
                <w:sz w:val="16"/>
              </w:rPr>
              <w:t>Files and evidence</w:t>
            </w:r>
          </w:p>
        </w:tc>
        <w:tc>
          <w:tcPr>
            <w:tcW w:type="dxa" w:w="7460"/>
            <w:tcMar>
              <w:top w:w="80" w:type="dxa"/>
              <w:start w:w="120" w:type="dxa"/>
              <w:bottom w:w="80" w:type="dxa"/>
              <w:end w:w="120" w:type="dxa"/>
            </w:tcMar>
            <w:vAlign w:val="center"/>
          </w:tcPr>
          <w:p>
            <w:pPr>
              <w:spacing w:after="20" w:line="240" w:lineRule="auto"/>
            </w:pPr>
            <w:r>
              <w:rPr>
                <w:sz w:val="16"/>
              </w:rPr>
              <w:t>Object storage for photos, certificates, manuals, recordings and documents; metadata stored in the relational database.</w:t>
            </w:r>
          </w:p>
        </w:tc>
      </w:tr>
      <w:tr>
        <w:trPr>
          <w:cantSplit w:val="true"/>
        </w:trPr>
        <w:tc>
          <w:tcPr>
            <w:tcW w:type="dxa" w:w="1900"/>
            <w:shd w:fill="F2F4F7"/>
            <w:tcMar>
              <w:top w:w="80" w:type="dxa"/>
              <w:start w:w="120" w:type="dxa"/>
              <w:bottom w:w="80" w:type="dxa"/>
              <w:end w:w="120" w:type="dxa"/>
            </w:tcMar>
            <w:vAlign w:val="center"/>
          </w:tcPr>
          <w:p>
            <w:pPr>
              <w:spacing w:after="20" w:line="240" w:lineRule="auto"/>
            </w:pPr>
            <w:r>
              <w:rPr>
                <w:sz w:val="16"/>
              </w:rPr>
              <w:t>Integration/event layer</w:t>
            </w:r>
          </w:p>
        </w:tc>
        <w:tc>
          <w:tcPr>
            <w:tcW w:type="dxa" w:w="7460"/>
            <w:shd w:fill="F2F4F7"/>
            <w:tcMar>
              <w:top w:w="80" w:type="dxa"/>
              <w:start w:w="120" w:type="dxa"/>
              <w:bottom w:w="80" w:type="dxa"/>
              <w:end w:w="120" w:type="dxa"/>
            </w:tcMar>
            <w:vAlign w:val="center"/>
          </w:tcPr>
          <w:p>
            <w:pPr>
              <w:spacing w:after="20" w:line="240" w:lineRule="auto"/>
            </w:pPr>
            <w:r>
              <w:rPr>
                <w:sz w:val="16"/>
              </w:rPr>
              <w:t>Webhook/event bus, job queue, retries, dead-letter/error queue, connector health and replay controls.</w:t>
            </w:r>
          </w:p>
        </w:tc>
      </w:tr>
      <w:tr>
        <w:trPr>
          <w:cantSplit w:val="true"/>
        </w:trPr>
        <w:tc>
          <w:tcPr>
            <w:tcW w:type="dxa" w:w="1900"/>
            <w:tcMar>
              <w:top w:w="80" w:type="dxa"/>
              <w:start w:w="120" w:type="dxa"/>
              <w:bottom w:w="80" w:type="dxa"/>
              <w:end w:w="120" w:type="dxa"/>
            </w:tcMar>
            <w:vAlign w:val="center"/>
          </w:tcPr>
          <w:p>
            <w:pPr>
              <w:spacing w:after="20" w:line="240" w:lineRule="auto"/>
            </w:pPr>
            <w:r>
              <w:rPr>
                <w:sz w:val="16"/>
              </w:rPr>
              <w:t>Machine/edge layer</w:t>
            </w:r>
          </w:p>
        </w:tc>
        <w:tc>
          <w:tcPr>
            <w:tcW w:type="dxa" w:w="7460"/>
            <w:tcMar>
              <w:top w:w="80" w:type="dxa"/>
              <w:start w:w="120" w:type="dxa"/>
              <w:bottom w:w="80" w:type="dxa"/>
              <w:end w:w="120" w:type="dxa"/>
            </w:tcMar>
            <w:vAlign w:val="center"/>
          </w:tcPr>
          <w:p>
            <w:pPr>
              <w:spacing w:after="20" w:line="240" w:lineRule="auto"/>
            </w:pPr>
            <w:r>
              <w:rPr>
                <w:sz w:val="16"/>
              </w:rPr>
              <w:t>Read-only-by-default industrial gateway or edge PC; protocol adapters; local buffering; secure outbound connection to cloud/API.</w:t>
            </w:r>
          </w:p>
        </w:tc>
      </w:tr>
      <w:tr>
        <w:trPr>
          <w:cantSplit w:val="true"/>
        </w:trPr>
        <w:tc>
          <w:tcPr>
            <w:tcW w:type="dxa" w:w="1900"/>
            <w:shd w:fill="F2F4F7"/>
            <w:tcMar>
              <w:top w:w="80" w:type="dxa"/>
              <w:start w:w="120" w:type="dxa"/>
              <w:bottom w:w="80" w:type="dxa"/>
              <w:end w:w="120" w:type="dxa"/>
            </w:tcMar>
            <w:vAlign w:val="center"/>
          </w:tcPr>
          <w:p>
            <w:pPr>
              <w:spacing w:after="20" w:line="240" w:lineRule="auto"/>
            </w:pPr>
            <w:r>
              <w:rPr>
                <w:sz w:val="16"/>
              </w:rPr>
              <w:t>Analytics/AI</w:t>
            </w:r>
          </w:p>
        </w:tc>
        <w:tc>
          <w:tcPr>
            <w:tcW w:type="dxa" w:w="7460"/>
            <w:shd w:fill="F2F4F7"/>
            <w:tcMar>
              <w:top w:w="80" w:type="dxa"/>
              <w:start w:w="120" w:type="dxa"/>
              <w:bottom w:w="80" w:type="dxa"/>
              <w:end w:w="120" w:type="dxa"/>
            </w:tcMar>
            <w:vAlign w:val="center"/>
          </w:tcPr>
          <w:p>
            <w:pPr>
              <w:spacing w:after="20" w:line="240" w:lineRule="auto"/>
            </w:pPr>
            <w:r>
              <w:rPr>
                <w:sz w:val="16"/>
              </w:rPr>
              <w:t>Governed reporting models and read-only AI retrieval with source lineage; no direct uncontrolled writes by AI.</w:t>
            </w:r>
          </w:p>
        </w:tc>
      </w:tr>
      <w:tr>
        <w:trPr>
          <w:cantSplit w:val="true"/>
        </w:trPr>
        <w:tc>
          <w:tcPr>
            <w:tcW w:type="dxa" w:w="1900"/>
            <w:tcMar>
              <w:top w:w="80" w:type="dxa"/>
              <w:start w:w="120" w:type="dxa"/>
              <w:bottom w:w="80" w:type="dxa"/>
              <w:end w:w="120" w:type="dxa"/>
            </w:tcMar>
            <w:vAlign w:val="center"/>
          </w:tcPr>
          <w:p>
            <w:pPr>
              <w:spacing w:after="20" w:line="240" w:lineRule="auto"/>
            </w:pPr>
            <w:r>
              <w:rPr>
                <w:sz w:val="16"/>
              </w:rPr>
              <w:t>Operations</w:t>
            </w:r>
          </w:p>
        </w:tc>
        <w:tc>
          <w:tcPr>
            <w:tcW w:type="dxa" w:w="7460"/>
            <w:tcMar>
              <w:top w:w="80" w:type="dxa"/>
              <w:start w:w="120" w:type="dxa"/>
              <w:bottom w:w="80" w:type="dxa"/>
              <w:end w:w="120" w:type="dxa"/>
            </w:tcMar>
            <w:vAlign w:val="center"/>
          </w:tcPr>
          <w:p>
            <w:pPr>
              <w:spacing w:after="20" w:line="240" w:lineRule="auto"/>
            </w:pPr>
            <w:r>
              <w:rPr>
                <w:sz w:val="16"/>
              </w:rPr>
              <w:t>Development, staging and production environments; CI/CD, monitoring, logs, traces, backup, restore, rollback and secrets management.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20"/>
            </w:pPr>
            <w:r/>
            <w:r>
              <w:rPr>
                <w:b/>
                <w:color w:val="9B1C1C"/>
              </w:rPr>
              <w:t xml:space="preserve">ARCHITECTURE RULE: </w:t>
            </w:r>
            <w:r>
              <w:t>The software must never connect a cloud service directly to an unsegmented machine-control network. Machine data should pass through a controlled OT/IT boundary and approved edge gateway. Initial connections should be read-only unless a separate safety and change-control review approves writing commands.</w:t>
            </w:r>
          </w:p>
        </w:tc>
      </w:tr>
    </w:tbl>
    <w:p>
      <w:pPr>
        <w:spacing w:after="0"/>
      </w:pPr>
    </w:p>
    <w:p>
      <w:pPr>
        <w:pStyle w:val="Heading1"/>
      </w:pPr>
      <w:r>
        <w:t>6. API Requirements</w:t>
      </w:r>
    </w:p>
    <w:p>
      <w:r>
        <w:t>Kiaan Tech must provide an OpenAPI 3.x specification or equivalent contract for every externally or internally consumed API. The examples below define required API families, not final URL naming.</w:t>
      </w:r>
    </w:p>
    <w:tbl>
      <w:tblPr>
        <w:tblStyle w:val="TableGrid"/>
        <w:tblW w:type="dxa" w:w="9360"/>
        <w:jc w:val="left"/>
        <w:tblLayout w:type="fixed"/>
        <w:tblLook w:firstColumn="1" w:firstRow="1" w:lastColumn="0" w:lastRow="0" w:noHBand="0" w:noVBand="1" w:val="04A0"/>
        <w:tblInd w:w="120" w:type="dxa"/>
      </w:tblPr>
      <w:tblGrid>
        <w:gridCol w:w="1750"/>
        <w:gridCol w:w="3300"/>
        <w:gridCol w:w="4310"/>
      </w:tblGrid>
      <w:tr>
        <w:trPr>
          <w:tblHeader w:val="true"/>
        </w:trPr>
        <w:tc>
          <w:tcPr>
            <w:tcW w:type="dxa" w:w="1750"/>
            <w:shd w:fill="17365D"/>
            <w:tcMar>
              <w:top w:w="80" w:type="dxa"/>
              <w:start w:w="120" w:type="dxa"/>
              <w:bottom w:w="80" w:type="dxa"/>
              <w:end w:w="120" w:type="dxa"/>
            </w:tcMar>
            <w:vAlign w:val="center"/>
          </w:tcPr>
          <w:p>
            <w:r>
              <w:rPr>
                <w:b/>
                <w:color w:val="FFFFFF"/>
                <w:sz w:val="15"/>
              </w:rPr>
              <w:t>API family</w:t>
            </w:r>
          </w:p>
        </w:tc>
        <w:tc>
          <w:tcPr>
            <w:tcW w:type="dxa" w:w="3300"/>
            <w:shd w:fill="17365D"/>
            <w:tcMar>
              <w:top w:w="80" w:type="dxa"/>
              <w:start w:w="120" w:type="dxa"/>
              <w:bottom w:w="80" w:type="dxa"/>
              <w:end w:w="120" w:type="dxa"/>
            </w:tcMar>
            <w:vAlign w:val="center"/>
          </w:tcPr>
          <w:p>
            <w:r>
              <w:rPr>
                <w:b/>
                <w:color w:val="FFFFFF"/>
                <w:sz w:val="15"/>
              </w:rPr>
              <w:t>Example resources</w:t>
            </w:r>
          </w:p>
        </w:tc>
        <w:tc>
          <w:tcPr>
            <w:tcW w:type="dxa" w:w="4310"/>
            <w:shd w:fill="17365D"/>
            <w:tcMar>
              <w:top w:w="80" w:type="dxa"/>
              <w:start w:w="120" w:type="dxa"/>
              <w:bottom w:w="80" w:type="dxa"/>
              <w:end w:w="120" w:type="dxa"/>
            </w:tcMar>
            <w:vAlign w:val="center"/>
          </w:tcPr>
          <w:p>
            <w:r>
              <w:rPr>
                <w:b/>
                <w:color w:val="FFFFFF"/>
                <w:sz w:val="15"/>
              </w:rPr>
              <w:t>Purpose</w:t>
            </w:r>
          </w:p>
        </w:tc>
      </w:tr>
      <w:tr>
        <w:trPr>
          <w:cantSplit w:val="true"/>
        </w:trPr>
        <w:tc>
          <w:tcPr>
            <w:tcW w:type="dxa" w:w="1750"/>
            <w:tcMar>
              <w:top w:w="80" w:type="dxa"/>
              <w:start w:w="120" w:type="dxa"/>
              <w:bottom w:w="80" w:type="dxa"/>
              <w:end w:w="120" w:type="dxa"/>
            </w:tcMar>
            <w:vAlign w:val="center"/>
          </w:tcPr>
          <w:p>
            <w:pPr>
              <w:spacing w:after="20" w:line="240" w:lineRule="auto"/>
            </w:pPr>
            <w:r>
              <w:rPr>
                <w:sz w:val="15"/>
              </w:rPr>
              <w:t>Identity / tenant</w:t>
            </w:r>
          </w:p>
        </w:tc>
        <w:tc>
          <w:tcPr>
            <w:tcW w:type="dxa" w:w="3300"/>
            <w:tcMar>
              <w:top w:w="80" w:type="dxa"/>
              <w:start w:w="120" w:type="dxa"/>
              <w:bottom w:w="80" w:type="dxa"/>
              <w:end w:w="120" w:type="dxa"/>
            </w:tcMar>
            <w:vAlign w:val="center"/>
          </w:tcPr>
          <w:p>
            <w:pPr>
              <w:spacing w:after="20" w:line="240" w:lineRule="auto"/>
            </w:pPr>
            <w:r>
              <w:rPr>
                <w:sz w:val="15"/>
              </w:rPr>
              <w:t>/auth, /companies, /plants, /users, /roles, /permissions</w:t>
            </w:r>
          </w:p>
        </w:tc>
        <w:tc>
          <w:tcPr>
            <w:tcW w:type="dxa" w:w="4310"/>
            <w:tcMar>
              <w:top w:w="80" w:type="dxa"/>
              <w:start w:w="120" w:type="dxa"/>
              <w:bottom w:w="80" w:type="dxa"/>
              <w:end w:w="120" w:type="dxa"/>
            </w:tcMar>
            <w:vAlign w:val="center"/>
          </w:tcPr>
          <w:p>
            <w:pPr>
              <w:spacing w:after="20" w:line="240" w:lineRule="auto"/>
            </w:pPr>
            <w:r>
              <w:rPr>
                <w:sz w:val="15"/>
              </w:rPr>
              <w:t>Login, MFA, tenancy, authorization and access review.</w:t>
            </w:r>
          </w:p>
        </w:tc>
      </w:tr>
      <w:tr>
        <w:trPr>
          <w:cantSplit w:val="true"/>
        </w:trPr>
        <w:tc>
          <w:tcPr>
            <w:tcW w:type="dxa" w:w="1750"/>
            <w:shd w:fill="F2F4F7"/>
            <w:tcMar>
              <w:top w:w="80" w:type="dxa"/>
              <w:start w:w="120" w:type="dxa"/>
              <w:bottom w:w="80" w:type="dxa"/>
              <w:end w:w="120" w:type="dxa"/>
            </w:tcMar>
            <w:vAlign w:val="center"/>
          </w:tcPr>
          <w:p>
            <w:pPr>
              <w:spacing w:after="20" w:line="240" w:lineRule="auto"/>
            </w:pPr>
            <w:r>
              <w:rPr>
                <w:sz w:val="15"/>
              </w:rPr>
              <w:t>Master data</w:t>
            </w:r>
          </w:p>
        </w:tc>
        <w:tc>
          <w:tcPr>
            <w:tcW w:type="dxa" w:w="3300"/>
            <w:shd w:fill="F2F4F7"/>
            <w:tcMar>
              <w:top w:w="80" w:type="dxa"/>
              <w:start w:w="120" w:type="dxa"/>
              <w:bottom w:w="80" w:type="dxa"/>
              <w:end w:w="120" w:type="dxa"/>
            </w:tcMar>
            <w:vAlign w:val="center"/>
          </w:tcPr>
          <w:p>
            <w:pPr>
              <w:spacing w:after="20" w:line="240" w:lineRule="auto"/>
            </w:pPr>
            <w:r>
              <w:rPr>
                <w:sz w:val="15"/>
              </w:rPr>
              <w:t>/items, /boms, /routings, /work-centres, /specifications</w:t>
            </w:r>
          </w:p>
        </w:tc>
        <w:tc>
          <w:tcPr>
            <w:tcW w:type="dxa" w:w="4310"/>
            <w:shd w:fill="F2F4F7"/>
            <w:tcMar>
              <w:top w:w="80" w:type="dxa"/>
              <w:start w:w="120" w:type="dxa"/>
              <w:bottom w:w="80" w:type="dxa"/>
              <w:end w:w="120" w:type="dxa"/>
            </w:tcMar>
            <w:vAlign w:val="center"/>
          </w:tcPr>
          <w:p>
            <w:pPr>
              <w:spacing w:after="20" w:line="240" w:lineRule="auto"/>
            </w:pPr>
            <w:r>
              <w:rPr>
                <w:sz w:val="15"/>
              </w:rPr>
              <w:t>Versioned product, process, capacity and quality definitions.</w:t>
            </w:r>
          </w:p>
        </w:tc>
      </w:tr>
      <w:tr>
        <w:trPr>
          <w:cantSplit w:val="true"/>
        </w:trPr>
        <w:tc>
          <w:tcPr>
            <w:tcW w:type="dxa" w:w="1750"/>
            <w:tcMar>
              <w:top w:w="80" w:type="dxa"/>
              <w:start w:w="120" w:type="dxa"/>
              <w:bottom w:w="80" w:type="dxa"/>
              <w:end w:w="120" w:type="dxa"/>
            </w:tcMar>
            <w:vAlign w:val="center"/>
          </w:tcPr>
          <w:p>
            <w:pPr>
              <w:spacing w:after="20" w:line="240" w:lineRule="auto"/>
            </w:pPr>
            <w:r>
              <w:rPr>
                <w:sz w:val="15"/>
              </w:rPr>
              <w:t>Planning</w:t>
            </w:r>
          </w:p>
        </w:tc>
        <w:tc>
          <w:tcPr>
            <w:tcW w:type="dxa" w:w="3300"/>
            <w:tcMar>
              <w:top w:w="80" w:type="dxa"/>
              <w:start w:w="120" w:type="dxa"/>
              <w:bottom w:w="80" w:type="dxa"/>
              <w:end w:w="120" w:type="dxa"/>
            </w:tcMar>
            <w:vAlign w:val="center"/>
          </w:tcPr>
          <w:p>
            <w:pPr>
              <w:spacing w:after="20" w:line="240" w:lineRule="auto"/>
            </w:pPr>
            <w:r>
              <w:rPr>
                <w:sz w:val="15"/>
              </w:rPr>
              <w:t>/demand, /forecasts, /schedules, /production-orders, /material-requirements</w:t>
            </w:r>
          </w:p>
        </w:tc>
        <w:tc>
          <w:tcPr>
            <w:tcW w:type="dxa" w:w="4310"/>
            <w:tcMar>
              <w:top w:w="80" w:type="dxa"/>
              <w:start w:w="120" w:type="dxa"/>
              <w:bottom w:w="80" w:type="dxa"/>
              <w:end w:w="120" w:type="dxa"/>
            </w:tcMar>
            <w:vAlign w:val="center"/>
          </w:tcPr>
          <w:p>
            <w:pPr>
              <w:spacing w:after="20" w:line="240" w:lineRule="auto"/>
            </w:pPr>
            <w:r>
              <w:rPr>
                <w:sz w:val="15"/>
              </w:rPr>
              <w:t>Plan, validate, approve, publish and explain feasibility.</w:t>
            </w:r>
          </w:p>
        </w:tc>
      </w:tr>
      <w:tr>
        <w:trPr>
          <w:cantSplit w:val="true"/>
        </w:trPr>
        <w:tc>
          <w:tcPr>
            <w:tcW w:type="dxa" w:w="1750"/>
            <w:shd w:fill="F2F4F7"/>
            <w:tcMar>
              <w:top w:w="80" w:type="dxa"/>
              <w:start w:w="120" w:type="dxa"/>
              <w:bottom w:w="80" w:type="dxa"/>
              <w:end w:w="120" w:type="dxa"/>
            </w:tcMar>
            <w:vAlign w:val="center"/>
          </w:tcPr>
          <w:p>
            <w:pPr>
              <w:spacing w:after="20" w:line="240" w:lineRule="auto"/>
            </w:pPr>
            <w:r>
              <w:rPr>
                <w:sz w:val="15"/>
              </w:rPr>
              <w:t>Execution</w:t>
            </w:r>
          </w:p>
        </w:tc>
        <w:tc>
          <w:tcPr>
            <w:tcW w:type="dxa" w:w="3300"/>
            <w:shd w:fill="F2F4F7"/>
            <w:tcMar>
              <w:top w:w="80" w:type="dxa"/>
              <w:start w:w="120" w:type="dxa"/>
              <w:bottom w:w="80" w:type="dxa"/>
              <w:end w:w="120" w:type="dxa"/>
            </w:tcMar>
            <w:vAlign w:val="center"/>
          </w:tcPr>
          <w:p>
            <w:pPr>
              <w:spacing w:after="20" w:line="240" w:lineRule="auto"/>
            </w:pPr>
            <w:r>
              <w:rPr>
                <w:sz w:val="15"/>
              </w:rPr>
              <w:t>/jobs, /batches, /outputs, /downtime, /labour-events</w:t>
            </w:r>
          </w:p>
        </w:tc>
        <w:tc>
          <w:tcPr>
            <w:tcW w:type="dxa" w:w="4310"/>
            <w:shd w:fill="F2F4F7"/>
            <w:tcMar>
              <w:top w:w="80" w:type="dxa"/>
              <w:start w:w="120" w:type="dxa"/>
              <w:bottom w:w="80" w:type="dxa"/>
              <w:end w:w="120" w:type="dxa"/>
            </w:tcMar>
            <w:vAlign w:val="center"/>
          </w:tcPr>
          <w:p>
            <w:pPr>
              <w:spacing w:after="20" w:line="240" w:lineRule="auto"/>
            </w:pPr>
            <w:r>
              <w:rPr>
                <w:sz w:val="15"/>
              </w:rPr>
              <w:t>Start/pause/resume/complete, record actuals and enforce gates.</w:t>
            </w:r>
          </w:p>
        </w:tc>
      </w:tr>
      <w:tr>
        <w:trPr>
          <w:cantSplit w:val="true"/>
        </w:trPr>
        <w:tc>
          <w:tcPr>
            <w:tcW w:type="dxa" w:w="1750"/>
            <w:tcMar>
              <w:top w:w="80" w:type="dxa"/>
              <w:start w:w="120" w:type="dxa"/>
              <w:bottom w:w="80" w:type="dxa"/>
              <w:end w:w="120" w:type="dxa"/>
            </w:tcMar>
            <w:vAlign w:val="center"/>
          </w:tcPr>
          <w:p>
            <w:pPr>
              <w:spacing w:after="20" w:line="240" w:lineRule="auto"/>
            </w:pPr>
            <w:r>
              <w:rPr>
                <w:sz w:val="15"/>
              </w:rPr>
              <w:t>Quality</w:t>
            </w:r>
          </w:p>
        </w:tc>
        <w:tc>
          <w:tcPr>
            <w:tcW w:type="dxa" w:w="3300"/>
            <w:tcMar>
              <w:top w:w="80" w:type="dxa"/>
              <w:start w:w="120" w:type="dxa"/>
              <w:bottom w:w="80" w:type="dxa"/>
              <w:end w:w="120" w:type="dxa"/>
            </w:tcMar>
            <w:vAlign w:val="center"/>
          </w:tcPr>
          <w:p>
            <w:pPr>
              <w:spacing w:after="20" w:line="240" w:lineRule="auto"/>
            </w:pPr>
            <w:r>
              <w:rPr>
                <w:sz w:val="15"/>
              </w:rPr>
              <w:t>/quality-checks, /holds, /deviations, /releases, /complaints</w:t>
            </w:r>
          </w:p>
        </w:tc>
        <w:tc>
          <w:tcPr>
            <w:tcW w:type="dxa" w:w="4310"/>
            <w:tcMar>
              <w:top w:w="80" w:type="dxa"/>
              <w:start w:w="120" w:type="dxa"/>
              <w:bottom w:w="80" w:type="dxa"/>
              <w:end w:w="120" w:type="dxa"/>
            </w:tcMar>
            <w:vAlign w:val="center"/>
          </w:tcPr>
          <w:p>
            <w:pPr>
              <w:spacing w:after="20" w:line="240" w:lineRule="auto"/>
            </w:pPr>
            <w:r>
              <w:rPr>
                <w:sz w:val="15"/>
              </w:rPr>
              <w:t>Record results, auto-hold failures and authorize disposition/release.</w:t>
            </w:r>
          </w:p>
        </w:tc>
      </w:tr>
      <w:tr>
        <w:trPr>
          <w:cantSplit w:val="true"/>
        </w:trPr>
        <w:tc>
          <w:tcPr>
            <w:tcW w:type="dxa" w:w="1750"/>
            <w:shd w:fill="F2F4F7"/>
            <w:tcMar>
              <w:top w:w="80" w:type="dxa"/>
              <w:start w:w="120" w:type="dxa"/>
              <w:bottom w:w="80" w:type="dxa"/>
              <w:end w:w="120" w:type="dxa"/>
            </w:tcMar>
            <w:vAlign w:val="center"/>
          </w:tcPr>
          <w:p>
            <w:pPr>
              <w:spacing w:after="20" w:line="240" w:lineRule="auto"/>
            </w:pPr>
            <w:r>
              <w:rPr>
                <w:sz w:val="15"/>
              </w:rPr>
              <w:t>Inventory / trace</w:t>
            </w:r>
          </w:p>
        </w:tc>
        <w:tc>
          <w:tcPr>
            <w:tcW w:type="dxa" w:w="3300"/>
            <w:shd w:fill="F2F4F7"/>
            <w:tcMar>
              <w:top w:w="80" w:type="dxa"/>
              <w:start w:w="120" w:type="dxa"/>
              <w:bottom w:w="80" w:type="dxa"/>
              <w:end w:w="120" w:type="dxa"/>
            </w:tcMar>
            <w:vAlign w:val="center"/>
          </w:tcPr>
          <w:p>
            <w:pPr>
              <w:spacing w:after="20" w:line="240" w:lineRule="auto"/>
            </w:pPr>
            <w:r>
              <w:rPr>
                <w:sz w:val="15"/>
              </w:rPr>
              <w:t>/lots, /inventory-transactions, /pallets, /shipments, /trace</w:t>
            </w:r>
          </w:p>
        </w:tc>
        <w:tc>
          <w:tcPr>
            <w:tcW w:type="dxa" w:w="4310"/>
            <w:shd w:fill="F2F4F7"/>
            <w:tcMar>
              <w:top w:w="80" w:type="dxa"/>
              <w:start w:w="120" w:type="dxa"/>
              <w:bottom w:w="80" w:type="dxa"/>
              <w:end w:w="120" w:type="dxa"/>
            </w:tcMar>
            <w:vAlign w:val="center"/>
          </w:tcPr>
          <w:p>
            <w:pPr>
              <w:spacing w:after="20" w:line="240" w:lineRule="auto"/>
            </w:pPr>
            <w:r>
              <w:rPr>
                <w:sz w:val="15"/>
              </w:rPr>
              <w:t>Immutable ledger, FEFO, genealogy and recall queries.</w:t>
            </w:r>
          </w:p>
        </w:tc>
      </w:tr>
      <w:tr>
        <w:trPr>
          <w:cantSplit w:val="true"/>
        </w:trPr>
        <w:tc>
          <w:tcPr>
            <w:tcW w:type="dxa" w:w="1750"/>
            <w:tcMar>
              <w:top w:w="80" w:type="dxa"/>
              <w:start w:w="120" w:type="dxa"/>
              <w:bottom w:w="80" w:type="dxa"/>
              <w:end w:w="120" w:type="dxa"/>
            </w:tcMar>
            <w:vAlign w:val="center"/>
          </w:tcPr>
          <w:p>
            <w:pPr>
              <w:spacing w:after="20" w:line="240" w:lineRule="auto"/>
            </w:pPr>
            <w:r>
              <w:rPr>
                <w:sz w:val="15"/>
              </w:rPr>
              <w:t>Maintenance</w:t>
            </w:r>
          </w:p>
        </w:tc>
        <w:tc>
          <w:tcPr>
            <w:tcW w:type="dxa" w:w="3300"/>
            <w:tcMar>
              <w:top w:w="80" w:type="dxa"/>
              <w:start w:w="120" w:type="dxa"/>
              <w:bottom w:w="80" w:type="dxa"/>
              <w:end w:w="120" w:type="dxa"/>
            </w:tcMar>
            <w:vAlign w:val="center"/>
          </w:tcPr>
          <w:p>
            <w:pPr>
              <w:spacing w:after="20" w:line="240" w:lineRule="auto"/>
            </w:pPr>
            <w:r>
              <w:rPr>
                <w:sz w:val="15"/>
              </w:rPr>
              <w:t>/assets, /work-orders, /pm-plans, /failures, /calibrations</w:t>
            </w:r>
          </w:p>
        </w:tc>
        <w:tc>
          <w:tcPr>
            <w:tcW w:type="dxa" w:w="4310"/>
            <w:tcMar>
              <w:top w:w="80" w:type="dxa"/>
              <w:start w:w="120" w:type="dxa"/>
              <w:bottom w:w="80" w:type="dxa"/>
              <w:end w:w="120" w:type="dxa"/>
            </w:tcMar>
            <w:vAlign w:val="center"/>
          </w:tcPr>
          <w:p>
            <w:pPr>
              <w:spacing w:after="20" w:line="240" w:lineRule="auto"/>
            </w:pPr>
            <w:r>
              <w:rPr>
                <w:sz w:val="15"/>
              </w:rPr>
              <w:t>Lifecycle, history, parts, downtime and reliability.</w:t>
            </w:r>
          </w:p>
        </w:tc>
      </w:tr>
      <w:tr>
        <w:trPr>
          <w:cantSplit w:val="true"/>
        </w:trPr>
        <w:tc>
          <w:tcPr>
            <w:tcW w:type="dxa" w:w="1750"/>
            <w:shd w:fill="F2F4F7"/>
            <w:tcMar>
              <w:top w:w="80" w:type="dxa"/>
              <w:start w:w="120" w:type="dxa"/>
              <w:bottom w:w="80" w:type="dxa"/>
              <w:end w:w="120" w:type="dxa"/>
            </w:tcMar>
            <w:vAlign w:val="center"/>
          </w:tcPr>
          <w:p>
            <w:pPr>
              <w:spacing w:after="20" w:line="240" w:lineRule="auto"/>
            </w:pPr>
            <w:r>
              <w:rPr>
                <w:sz w:val="15"/>
              </w:rPr>
              <w:t>Integration</w:t>
            </w:r>
          </w:p>
        </w:tc>
        <w:tc>
          <w:tcPr>
            <w:tcW w:type="dxa" w:w="3300"/>
            <w:shd w:fill="F2F4F7"/>
            <w:tcMar>
              <w:top w:w="80" w:type="dxa"/>
              <w:start w:w="120" w:type="dxa"/>
              <w:bottom w:w="80" w:type="dxa"/>
              <w:end w:w="120" w:type="dxa"/>
            </w:tcMar>
            <w:vAlign w:val="center"/>
          </w:tcPr>
          <w:p>
            <w:pPr>
              <w:spacing w:after="20" w:line="240" w:lineRule="auto"/>
            </w:pPr>
            <w:r>
              <w:rPr>
                <w:sz w:val="15"/>
              </w:rPr>
              <w:t>/integration-events, /webhooks, /connectors, /machine-readings</w:t>
            </w:r>
          </w:p>
        </w:tc>
        <w:tc>
          <w:tcPr>
            <w:tcW w:type="dxa" w:w="4310"/>
            <w:shd w:fill="F2F4F7"/>
            <w:tcMar>
              <w:top w:w="80" w:type="dxa"/>
              <w:start w:w="120" w:type="dxa"/>
              <w:bottom w:w="80" w:type="dxa"/>
              <w:end w:w="120" w:type="dxa"/>
            </w:tcMar>
            <w:vAlign w:val="center"/>
          </w:tcPr>
          <w:p>
            <w:pPr>
              <w:spacing w:after="20" w:line="240" w:lineRule="auto"/>
            </w:pPr>
            <w:r>
              <w:rPr>
                <w:sz w:val="15"/>
              </w:rPr>
              <w:t>Ingestion, idempotency, health, retry and audit.</w:t>
            </w:r>
          </w:p>
        </w:tc>
      </w:tr>
      <w:tr>
        <w:trPr>
          <w:cantSplit w:val="true"/>
        </w:trPr>
        <w:tc>
          <w:tcPr>
            <w:tcW w:type="dxa" w:w="1750"/>
            <w:tcMar>
              <w:top w:w="80" w:type="dxa"/>
              <w:start w:w="120" w:type="dxa"/>
              <w:bottom w:w="80" w:type="dxa"/>
              <w:end w:w="120" w:type="dxa"/>
            </w:tcMar>
            <w:vAlign w:val="center"/>
          </w:tcPr>
          <w:p>
            <w:pPr>
              <w:spacing w:after="20" w:line="240" w:lineRule="auto"/>
            </w:pPr>
            <w:r>
              <w:rPr>
                <w:sz w:val="15"/>
              </w:rPr>
              <w:t>Reporting / AI</w:t>
            </w:r>
          </w:p>
        </w:tc>
        <w:tc>
          <w:tcPr>
            <w:tcW w:type="dxa" w:w="3300"/>
            <w:tcMar>
              <w:top w:w="80" w:type="dxa"/>
              <w:start w:w="120" w:type="dxa"/>
              <w:bottom w:w="80" w:type="dxa"/>
              <w:end w:w="120" w:type="dxa"/>
            </w:tcMar>
            <w:vAlign w:val="center"/>
          </w:tcPr>
          <w:p>
            <w:pPr>
              <w:spacing w:after="20" w:line="240" w:lineRule="auto"/>
            </w:pPr>
            <w:r>
              <w:rPr>
                <w:sz w:val="15"/>
              </w:rPr>
              <w:t>/kpis, /reports, /meetings, /ai-assistance</w:t>
            </w:r>
          </w:p>
        </w:tc>
        <w:tc>
          <w:tcPr>
            <w:tcW w:type="dxa" w:w="4310"/>
            <w:tcMar>
              <w:top w:w="80" w:type="dxa"/>
              <w:start w:w="120" w:type="dxa"/>
              <w:bottom w:w="80" w:type="dxa"/>
              <w:end w:w="120" w:type="dxa"/>
            </w:tcMar>
            <w:vAlign w:val="center"/>
          </w:tcPr>
          <w:p>
            <w:pPr>
              <w:spacing w:after="20" w:line="240" w:lineRule="auto"/>
            </w:pPr>
            <w:r>
              <w:rPr>
                <w:sz w:val="15"/>
              </w:rPr>
              <w:t>Governed calculations, source lineage and human-approved actions.</w:t>
            </w:r>
          </w:p>
        </w:tc>
      </w:tr>
    </w:tbl>
    <w:p>
      <w:pPr>
        <w:spacing w:after="40"/>
      </w:pPr>
    </w:p>
    <w:p>
      <w:pPr>
        <w:pStyle w:val="Heading2"/>
      </w:pPr>
      <w:r>
        <w:t>6.1 API control requirements</w:t>
      </w:r>
    </w:p>
    <w:p>
      <w:pPr>
        <w:pStyle w:val="ListBullet"/>
      </w:pPr>
      <w:r>
        <w:t>OAuth 2.0/OIDC or equally strong scoped authentication; short-lived access tokens and secure service credentials.</w:t>
      </w:r>
    </w:p>
    <w:p>
      <w:pPr>
        <w:pStyle w:val="ListBullet"/>
      </w:pPr>
      <w:r>
        <w:t>Tenant and plant authorization enforced server-side on every request.</w:t>
      </w:r>
    </w:p>
    <w:p>
      <w:pPr>
        <w:pStyle w:val="ListBullet"/>
      </w:pPr>
      <w:r>
        <w:t>Idempotency protection for create, release, inventory and machine-event operations.</w:t>
      </w:r>
    </w:p>
    <w:p>
      <w:pPr>
        <w:pStyle w:val="ListBullet"/>
      </w:pPr>
      <w:r>
        <w:t>Pagination, filtering, versioning, validation errors, rate limits and correlation IDs.</w:t>
      </w:r>
    </w:p>
    <w:p>
      <w:pPr>
        <w:pStyle w:val="ListBullet"/>
      </w:pPr>
      <w:r>
        <w:t>Webhook signatures, retry policy, dead-letter handling and replay protection.</w:t>
      </w:r>
    </w:p>
    <w:p>
      <w:pPr>
        <w:pStyle w:val="ListBullet"/>
      </w:pPr>
      <w:r>
        <w:t>Audit history for critical API calls and field-level correction history where regulated records are involved.</w:t>
      </w:r>
    </w:p>
    <w:p>
      <w:pPr>
        <w:pStyle w:val="ListBullet"/>
      </w:pPr>
      <w:r>
        <w:t>Automated contract, security and end-to-end tests included in delivery.</w:t>
      </w:r>
    </w:p>
    <w:p>
      <w:r>
        <w:br w:type="page"/>
      </w:r>
    </w:p>
    <w:p>
      <w:pPr>
        <w:pStyle w:val="Heading1"/>
      </w:pPr>
      <w:r>
        <w:t>7. Hardware and Shop-Floor Integration</w:t>
      </w:r>
    </w:p>
    <w:p>
      <w:pPr>
        <w:pStyle w:val="Heading2"/>
      </w:pPr>
      <w:r>
        <w:t>7.1 Confirmed equipment evidence</w:t>
      </w:r>
    </w:p>
    <w:tbl>
      <w:tblPr>
        <w:tblStyle w:val="TableGrid"/>
        <w:tblW w:type="dxa" w:w="9360"/>
        <w:jc w:val="left"/>
        <w:tblLayout w:type="fixed"/>
        <w:tblLook w:firstColumn="1" w:firstRow="1" w:lastColumn="0" w:lastRow="0" w:noHBand="0" w:noVBand="1" w:val="04A0"/>
        <w:tblInd w:w="120" w:type="dxa"/>
      </w:tblPr>
      <w:tblGrid>
        <w:gridCol w:w="1700"/>
        <w:gridCol w:w="3740"/>
        <w:gridCol w:w="3920"/>
      </w:tblGrid>
      <w:tr>
        <w:trPr>
          <w:tblHeader w:val="true"/>
        </w:trPr>
        <w:tc>
          <w:tcPr>
            <w:tcW w:type="dxa" w:w="1700"/>
            <w:shd w:fill="17365D"/>
            <w:tcMar>
              <w:top w:w="80" w:type="dxa"/>
              <w:start w:w="120" w:type="dxa"/>
              <w:bottom w:w="80" w:type="dxa"/>
              <w:end w:w="120" w:type="dxa"/>
            </w:tcMar>
            <w:vAlign w:val="center"/>
          </w:tcPr>
          <w:p>
            <w:r>
              <w:rPr>
                <w:b/>
                <w:color w:val="FFFFFF"/>
                <w:sz w:val="15"/>
              </w:rPr>
              <w:t>Item</w:t>
            </w:r>
          </w:p>
        </w:tc>
        <w:tc>
          <w:tcPr>
            <w:tcW w:type="dxa" w:w="3740"/>
            <w:shd w:fill="17365D"/>
            <w:tcMar>
              <w:top w:w="80" w:type="dxa"/>
              <w:start w:w="120" w:type="dxa"/>
              <w:bottom w:w="80" w:type="dxa"/>
              <w:end w:w="120" w:type="dxa"/>
            </w:tcMar>
            <w:vAlign w:val="center"/>
          </w:tcPr>
          <w:p>
            <w:r>
              <w:rPr>
                <w:b/>
                <w:color w:val="FFFFFF"/>
                <w:sz w:val="15"/>
              </w:rPr>
              <w:t>Confirmed information</w:t>
            </w:r>
          </w:p>
        </w:tc>
        <w:tc>
          <w:tcPr>
            <w:tcW w:type="dxa" w:w="3920"/>
            <w:shd w:fill="17365D"/>
            <w:tcMar>
              <w:top w:w="80" w:type="dxa"/>
              <w:start w:w="120" w:type="dxa"/>
              <w:bottom w:w="80" w:type="dxa"/>
              <w:end w:w="120" w:type="dxa"/>
            </w:tcMar>
            <w:vAlign w:val="center"/>
          </w:tcPr>
          <w:p>
            <w:r>
              <w:rPr>
                <w:b/>
                <w:color w:val="FFFFFF"/>
                <w:sz w:val="15"/>
              </w:rPr>
              <w:t>Not yet confirmed</w:t>
            </w:r>
          </w:p>
        </w:tc>
      </w:tr>
      <w:tr>
        <w:trPr>
          <w:cantSplit w:val="true"/>
        </w:trPr>
        <w:tc>
          <w:tcPr>
            <w:tcW w:type="dxa" w:w="1700"/>
            <w:tcMar>
              <w:top w:w="80" w:type="dxa"/>
              <w:start w:w="120" w:type="dxa"/>
              <w:bottom w:w="80" w:type="dxa"/>
              <w:end w:w="120" w:type="dxa"/>
            </w:tcMar>
            <w:vAlign w:val="center"/>
          </w:tcPr>
          <w:p>
            <w:pPr>
              <w:spacing w:after="20" w:line="240" w:lineRule="auto"/>
            </w:pPr>
            <w:r>
              <w:rPr>
                <w:sz w:val="15"/>
              </w:rPr>
              <w:t>Packaging machine</w:t>
            </w:r>
          </w:p>
        </w:tc>
        <w:tc>
          <w:tcPr>
            <w:tcW w:type="dxa" w:w="3740"/>
            <w:tcMar>
              <w:top w:w="80" w:type="dxa"/>
              <w:start w:w="120" w:type="dxa"/>
              <w:bottom w:w="80" w:type="dxa"/>
              <w:end w:w="120" w:type="dxa"/>
            </w:tcMar>
            <w:vAlign w:val="center"/>
          </w:tcPr>
          <w:p>
            <w:pPr>
              <w:spacing w:after="20" w:line="240" w:lineRule="auto"/>
            </w:pPr>
            <w:r>
              <w:rPr>
                <w:sz w:val="15"/>
              </w:rPr>
              <w:t>Plan It Packaging Systems Neptune RotoBagger. Visible screen shows S/N 20230 and Ref. 20082158.</w:t>
            </w:r>
          </w:p>
        </w:tc>
        <w:tc>
          <w:tcPr>
            <w:tcW w:type="dxa" w:w="3920"/>
            <w:tcMar>
              <w:top w:w="80" w:type="dxa"/>
              <w:start w:w="120" w:type="dxa"/>
              <w:bottom w:w="80" w:type="dxa"/>
              <w:end w:w="120" w:type="dxa"/>
            </w:tcMar>
            <w:vAlign w:val="center"/>
          </w:tcPr>
          <w:p>
            <w:pPr>
              <w:spacing w:after="20" w:line="240" w:lineRule="auto"/>
            </w:pPr>
            <w:r>
              <w:rPr>
                <w:sz w:val="15"/>
              </w:rPr>
              <w:t>Exact machine configuration and installed options.</w:t>
            </w:r>
          </w:p>
        </w:tc>
      </w:tr>
      <w:tr>
        <w:trPr>
          <w:cantSplit w:val="true"/>
        </w:trPr>
        <w:tc>
          <w:tcPr>
            <w:tcW w:type="dxa" w:w="1700"/>
            <w:shd w:fill="F2F4F7"/>
            <w:tcMar>
              <w:top w:w="80" w:type="dxa"/>
              <w:start w:w="120" w:type="dxa"/>
              <w:bottom w:w="80" w:type="dxa"/>
              <w:end w:w="120" w:type="dxa"/>
            </w:tcMar>
            <w:vAlign w:val="center"/>
          </w:tcPr>
          <w:p>
            <w:pPr>
              <w:spacing w:after="20" w:line="240" w:lineRule="auto"/>
            </w:pPr>
            <w:r>
              <w:rPr>
                <w:sz w:val="15"/>
              </w:rPr>
              <w:t>Operator interface</w:t>
            </w:r>
          </w:p>
        </w:tc>
        <w:tc>
          <w:tcPr>
            <w:tcW w:type="dxa" w:w="3740"/>
            <w:shd w:fill="F2F4F7"/>
            <w:tcMar>
              <w:top w:w="80" w:type="dxa"/>
              <w:start w:w="120" w:type="dxa"/>
              <w:bottom w:w="80" w:type="dxa"/>
              <w:end w:w="120" w:type="dxa"/>
            </w:tcMar>
            <w:vAlign w:val="center"/>
          </w:tcPr>
          <w:p>
            <w:pPr>
              <w:spacing w:after="20" w:line="240" w:lineRule="auto"/>
            </w:pPr>
            <w:r>
              <w:rPr>
                <w:sz w:val="15"/>
              </w:rPr>
              <w:t>Omron-branded HMI is visible.</w:t>
            </w:r>
          </w:p>
        </w:tc>
        <w:tc>
          <w:tcPr>
            <w:tcW w:type="dxa" w:w="3920"/>
            <w:shd w:fill="F2F4F7"/>
            <w:tcMar>
              <w:top w:w="80" w:type="dxa"/>
              <w:start w:w="120" w:type="dxa"/>
              <w:bottom w:w="80" w:type="dxa"/>
              <w:end w:w="120" w:type="dxa"/>
            </w:tcMar>
            <w:vAlign w:val="center"/>
          </w:tcPr>
          <w:p>
            <w:pPr>
              <w:spacing w:after="20" w:line="240" w:lineRule="auto"/>
            </w:pPr>
            <w:r>
              <w:rPr>
                <w:sz w:val="15"/>
              </w:rPr>
              <w:t>HMI model, firmware, Ethernet port, runtime project access and supported communication drivers.</w:t>
            </w:r>
          </w:p>
        </w:tc>
      </w:tr>
      <w:tr>
        <w:trPr>
          <w:cantSplit w:val="true"/>
        </w:trPr>
        <w:tc>
          <w:tcPr>
            <w:tcW w:type="dxa" w:w="1700"/>
            <w:tcMar>
              <w:top w:w="80" w:type="dxa"/>
              <w:start w:w="120" w:type="dxa"/>
              <w:bottom w:w="80" w:type="dxa"/>
              <w:end w:w="120" w:type="dxa"/>
            </w:tcMar>
            <w:vAlign w:val="center"/>
          </w:tcPr>
          <w:p>
            <w:pPr>
              <w:spacing w:after="20" w:line="240" w:lineRule="auto"/>
            </w:pPr>
            <w:r>
              <w:rPr>
                <w:sz w:val="15"/>
              </w:rPr>
              <w:t>Main controller</w:t>
            </w:r>
          </w:p>
        </w:tc>
        <w:tc>
          <w:tcPr>
            <w:tcW w:type="dxa" w:w="3740"/>
            <w:tcMar>
              <w:top w:w="80" w:type="dxa"/>
              <w:start w:w="120" w:type="dxa"/>
              <w:bottom w:w="80" w:type="dxa"/>
              <w:end w:w="120" w:type="dxa"/>
            </w:tcMar>
            <w:vAlign w:val="center"/>
          </w:tcPr>
          <w:p>
            <w:pPr>
              <w:spacing w:after="20" w:line="240" w:lineRule="auto"/>
            </w:pPr>
            <w:r>
              <w:rPr>
                <w:sz w:val="15"/>
              </w:rPr>
              <w:t>Omron CP2E PLC confirmed. It has built-in Ethernet ports 1A/1B and serial communications terminals.</w:t>
            </w:r>
          </w:p>
        </w:tc>
        <w:tc>
          <w:tcPr>
            <w:tcW w:type="dxa" w:w="3920"/>
            <w:tcMar>
              <w:top w:w="80" w:type="dxa"/>
              <w:start w:w="120" w:type="dxa"/>
              <w:bottom w:w="80" w:type="dxa"/>
              <w:end w:w="120" w:type="dxa"/>
            </w:tcMar>
            <w:vAlign w:val="center"/>
          </w:tcPr>
          <w:p>
            <w:pPr>
              <w:spacing w:after="20" w:line="240" w:lineRule="auto"/>
            </w:pPr>
            <w:r>
              <w:rPr>
                <w:sz w:val="15"/>
              </w:rPr>
              <w:t>Complete CP2E order code, firmware, IP addresses, memory/tag map, program ownership and enabled protocols.</w:t>
            </w:r>
          </w:p>
        </w:tc>
      </w:tr>
      <w:tr>
        <w:trPr>
          <w:cantSplit w:val="true"/>
        </w:trPr>
        <w:tc>
          <w:tcPr>
            <w:tcW w:type="dxa" w:w="1700"/>
            <w:shd w:fill="F2F4F7"/>
            <w:tcMar>
              <w:top w:w="80" w:type="dxa"/>
              <w:start w:w="120" w:type="dxa"/>
              <w:bottom w:w="80" w:type="dxa"/>
              <w:end w:w="120" w:type="dxa"/>
            </w:tcMar>
            <w:vAlign w:val="center"/>
          </w:tcPr>
          <w:p>
            <w:pPr>
              <w:spacing w:after="20" w:line="240" w:lineRule="auto"/>
            </w:pPr>
            <w:r>
              <w:rPr>
                <w:sz w:val="15"/>
              </w:rPr>
              <w:t>Ethernet switch</w:t>
            </w:r>
          </w:p>
        </w:tc>
        <w:tc>
          <w:tcPr>
            <w:tcW w:type="dxa" w:w="3740"/>
            <w:shd w:fill="F2F4F7"/>
            <w:tcMar>
              <w:top w:w="80" w:type="dxa"/>
              <w:start w:w="120" w:type="dxa"/>
              <w:bottom w:w="80" w:type="dxa"/>
              <w:end w:w="120" w:type="dxa"/>
            </w:tcMar>
            <w:vAlign w:val="center"/>
          </w:tcPr>
          <w:p>
            <w:pPr>
              <w:spacing w:after="20" w:line="240" w:lineRule="auto"/>
            </w:pPr>
            <w:r>
              <w:rPr>
                <w:sz w:val="15"/>
              </w:rPr>
              <w:t>Omron W4S1-05B five-port industrial Ethernet switching hub is installed beside the CP2E; two ports are visibly connected.</w:t>
            </w:r>
          </w:p>
        </w:tc>
        <w:tc>
          <w:tcPr>
            <w:tcW w:type="dxa" w:w="3920"/>
            <w:shd w:fill="F2F4F7"/>
            <w:tcMar>
              <w:top w:w="80" w:type="dxa"/>
              <w:start w:w="120" w:type="dxa"/>
              <w:bottom w:w="80" w:type="dxa"/>
              <w:end w:w="120" w:type="dxa"/>
            </w:tcMar>
            <w:vAlign w:val="center"/>
          </w:tcPr>
          <w:p>
            <w:pPr>
              <w:spacing w:after="20" w:line="240" w:lineRule="auto"/>
            </w:pPr>
            <w:r>
              <w:rPr>
                <w:sz w:val="15"/>
              </w:rPr>
              <w:t>Cable destinations, network addressing, unused-port approval and OT-security design.</w:t>
            </w:r>
          </w:p>
        </w:tc>
      </w:tr>
      <w:tr>
        <w:trPr>
          <w:cantSplit w:val="true"/>
        </w:trPr>
        <w:tc>
          <w:tcPr>
            <w:tcW w:type="dxa" w:w="1700"/>
            <w:tcMar>
              <w:top w:w="80" w:type="dxa"/>
              <w:start w:w="120" w:type="dxa"/>
              <w:bottom w:w="80" w:type="dxa"/>
              <w:end w:w="120" w:type="dxa"/>
            </w:tcMar>
            <w:vAlign w:val="center"/>
          </w:tcPr>
          <w:p>
            <w:pPr>
              <w:spacing w:after="20" w:line="240" w:lineRule="auto"/>
            </w:pPr>
            <w:r>
              <w:rPr>
                <w:sz w:val="15"/>
              </w:rPr>
              <w:t>Installed gateway</w:t>
            </w:r>
          </w:p>
        </w:tc>
        <w:tc>
          <w:tcPr>
            <w:tcW w:type="dxa" w:w="3740"/>
            <w:tcMar>
              <w:top w:w="80" w:type="dxa"/>
              <w:start w:w="120" w:type="dxa"/>
              <w:bottom w:w="80" w:type="dxa"/>
              <w:end w:w="120" w:type="dxa"/>
            </w:tcMar>
            <w:vAlign w:val="center"/>
          </w:tcPr>
          <w:p>
            <w:pPr>
              <w:spacing w:after="20" w:line="240" w:lineRule="auto"/>
            </w:pPr>
            <w:r>
              <w:rPr>
                <w:sz w:val="15"/>
              </w:rPr>
              <w:t>A device labelled TN-630-W4 / TQN6-211EW4-00 is installed with WAN, LAN, Wi-Fi/GPS indicators and RS-232/RS-485 terminals. A LAN cable is connected.</w:t>
            </w:r>
          </w:p>
        </w:tc>
        <w:tc>
          <w:tcPr>
            <w:tcW w:type="dxa" w:w="3920"/>
            <w:tcMar>
              <w:top w:w="80" w:type="dxa"/>
              <w:start w:w="120" w:type="dxa"/>
              <w:bottom w:w="80" w:type="dxa"/>
              <w:end w:w="120" w:type="dxa"/>
            </w:tcMar>
            <w:vAlign w:val="center"/>
          </w:tcPr>
          <w:p>
            <w:pPr>
              <w:spacing w:after="20" w:line="240" w:lineRule="auto"/>
            </w:pPr>
            <w:r>
              <w:rPr>
                <w:sz w:val="15"/>
              </w:rPr>
              <w:t>Manufacturer documentation, current purpose, SIM/cloud account, IP settings, credentials, firmware, security status and whether it can safely be reused.</w:t>
            </w:r>
          </w:p>
        </w:tc>
      </w:tr>
      <w:tr>
        <w:trPr>
          <w:cantSplit w:val="true"/>
        </w:trPr>
        <w:tc>
          <w:tcPr>
            <w:tcW w:type="dxa" w:w="1700"/>
            <w:shd w:fill="F2F4F7"/>
            <w:tcMar>
              <w:top w:w="80" w:type="dxa"/>
              <w:start w:w="120" w:type="dxa"/>
              <w:bottom w:w="80" w:type="dxa"/>
              <w:end w:w="120" w:type="dxa"/>
            </w:tcMar>
            <w:vAlign w:val="center"/>
          </w:tcPr>
          <w:p>
            <w:pPr>
              <w:spacing w:after="20" w:line="240" w:lineRule="auto"/>
            </w:pPr>
            <w:r>
              <w:rPr>
                <w:sz w:val="15"/>
              </w:rPr>
              <w:t>Motor drive</w:t>
            </w:r>
          </w:p>
        </w:tc>
        <w:tc>
          <w:tcPr>
            <w:tcW w:type="dxa" w:w="3740"/>
            <w:shd w:fill="F2F4F7"/>
            <w:tcMar>
              <w:top w:w="80" w:type="dxa"/>
              <w:start w:w="120" w:type="dxa"/>
              <w:bottom w:w="80" w:type="dxa"/>
              <w:end w:w="120" w:type="dxa"/>
            </w:tcMar>
            <w:vAlign w:val="center"/>
          </w:tcPr>
          <w:p>
            <w:pPr>
              <w:spacing w:after="20" w:line="240" w:lineRule="auto"/>
            </w:pPr>
            <w:r>
              <w:rPr>
                <w:sz w:val="15"/>
              </w:rPr>
              <w:t>Danfoss VLT Micro Drive; P/N 132F0010; S/N 850225A250; 0.75 kW / 1.0 HP; 3 x 200-240 V input.</w:t>
            </w:r>
          </w:p>
        </w:tc>
        <w:tc>
          <w:tcPr>
            <w:tcW w:type="dxa" w:w="3920"/>
            <w:shd w:fill="F2F4F7"/>
            <w:tcMar>
              <w:top w:w="80" w:type="dxa"/>
              <w:start w:w="120" w:type="dxa"/>
              <w:bottom w:w="80" w:type="dxa"/>
              <w:end w:w="120" w:type="dxa"/>
            </w:tcMar>
            <w:vAlign w:val="center"/>
          </w:tcPr>
          <w:p>
            <w:pPr>
              <w:spacing w:after="20" w:line="240" w:lineRule="auto"/>
            </w:pPr>
            <w:r>
              <w:rPr>
                <w:sz w:val="15"/>
              </w:rPr>
              <w:t>Exact drive model/configuration, communications option and readable operating/fault parameters.</w:t>
            </w:r>
          </w:p>
        </w:tc>
      </w:tr>
      <w:tr>
        <w:trPr>
          <w:cantSplit w:val="true"/>
        </w:trPr>
        <w:tc>
          <w:tcPr>
            <w:tcW w:type="dxa" w:w="1700"/>
            <w:tcMar>
              <w:top w:w="80" w:type="dxa"/>
              <w:start w:w="120" w:type="dxa"/>
              <w:bottom w:w="80" w:type="dxa"/>
              <w:end w:w="120" w:type="dxa"/>
            </w:tcMar>
            <w:vAlign w:val="center"/>
          </w:tcPr>
          <w:p>
            <w:pPr>
              <w:spacing w:after="20" w:line="240" w:lineRule="auto"/>
            </w:pPr>
            <w:r>
              <w:rPr>
                <w:sz w:val="15"/>
              </w:rPr>
              <w:t>Safety controller</w:t>
            </w:r>
          </w:p>
        </w:tc>
        <w:tc>
          <w:tcPr>
            <w:tcW w:type="dxa" w:w="3740"/>
            <w:tcMar>
              <w:top w:w="80" w:type="dxa"/>
              <w:start w:w="120" w:type="dxa"/>
              <w:bottom w:w="80" w:type="dxa"/>
              <w:end w:w="120" w:type="dxa"/>
            </w:tcMar>
            <w:vAlign w:val="center"/>
          </w:tcPr>
          <w:p>
            <w:pPr>
              <w:spacing w:after="20" w:line="240" w:lineRule="auto"/>
            </w:pPr>
            <w:r>
              <w:rPr>
                <w:sz w:val="15"/>
              </w:rPr>
              <w:t>Omron G9SX-NSA222-T03, 24 VDC safety controller is present.</w:t>
            </w:r>
          </w:p>
        </w:tc>
        <w:tc>
          <w:tcPr>
            <w:tcW w:type="dxa" w:w="3920"/>
            <w:tcMar>
              <w:top w:w="80" w:type="dxa"/>
              <w:start w:w="120" w:type="dxa"/>
              <w:bottom w:w="80" w:type="dxa"/>
              <w:end w:w="120" w:type="dxa"/>
            </w:tcMar>
            <w:vAlign w:val="center"/>
          </w:tcPr>
          <w:p>
            <w:pPr>
              <w:spacing w:after="20" w:line="240" w:lineRule="auto"/>
            </w:pPr>
            <w:r>
              <w:rPr>
                <w:sz w:val="15"/>
              </w:rPr>
              <w:t>Safety-system drawings and OEM-approved boundaries. It must not be used as a normal production-data interface.</w:t>
            </w:r>
          </w:p>
        </w:tc>
      </w:tr>
      <w:tr>
        <w:trPr>
          <w:cantSplit w:val="true"/>
        </w:trPr>
        <w:tc>
          <w:tcPr>
            <w:tcW w:type="dxa" w:w="1700"/>
            <w:shd w:fill="F2F4F7"/>
            <w:tcMar>
              <w:top w:w="80" w:type="dxa"/>
              <w:start w:w="120" w:type="dxa"/>
              <w:bottom w:w="80" w:type="dxa"/>
              <w:end w:w="120" w:type="dxa"/>
            </w:tcMar>
            <w:vAlign w:val="center"/>
          </w:tcPr>
          <w:p>
            <w:pPr>
              <w:spacing w:after="20" w:line="240" w:lineRule="auto"/>
            </w:pPr>
            <w:r>
              <w:rPr>
                <w:sz w:val="15"/>
              </w:rPr>
              <w:t>Power supply</w:t>
            </w:r>
          </w:p>
        </w:tc>
        <w:tc>
          <w:tcPr>
            <w:tcW w:type="dxa" w:w="3740"/>
            <w:shd w:fill="F2F4F7"/>
            <w:tcMar>
              <w:top w:w="80" w:type="dxa"/>
              <w:start w:w="120" w:type="dxa"/>
              <w:bottom w:w="80" w:type="dxa"/>
              <w:end w:w="120" w:type="dxa"/>
            </w:tcMar>
            <w:vAlign w:val="center"/>
          </w:tcPr>
          <w:p>
            <w:pPr>
              <w:spacing w:after="20" w:line="240" w:lineRule="auto"/>
            </w:pPr>
            <w:r>
              <w:rPr>
                <w:sz w:val="15"/>
              </w:rPr>
              <w:t>COSEL PJA150F-24, 24 VDC output, approximately 6.4 A, labelled PS1.</w:t>
            </w:r>
          </w:p>
        </w:tc>
        <w:tc>
          <w:tcPr>
            <w:tcW w:type="dxa" w:w="3920"/>
            <w:shd w:fill="F2F4F7"/>
            <w:tcMar>
              <w:top w:w="80" w:type="dxa"/>
              <w:start w:w="120" w:type="dxa"/>
              <w:bottom w:w="80" w:type="dxa"/>
              <w:end w:w="120" w:type="dxa"/>
            </w:tcMar>
            <w:vAlign w:val="center"/>
          </w:tcPr>
          <w:p>
            <w:pPr>
              <w:spacing w:after="20" w:line="240" w:lineRule="auto"/>
            </w:pPr>
            <w:r>
              <w:rPr>
                <w:sz w:val="15"/>
              </w:rPr>
              <w:t>Available spare capacity; not itself a data source.</w:t>
            </w:r>
          </w:p>
        </w:tc>
      </w:tr>
      <w:tr>
        <w:trPr>
          <w:cantSplit w:val="true"/>
        </w:trPr>
        <w:tc>
          <w:tcPr>
            <w:tcW w:type="dxa" w:w="1700"/>
            <w:tcMar>
              <w:top w:w="80" w:type="dxa"/>
              <w:start w:w="120" w:type="dxa"/>
              <w:bottom w:w="80" w:type="dxa"/>
              <w:end w:w="120" w:type="dxa"/>
            </w:tcMar>
            <w:vAlign w:val="center"/>
          </w:tcPr>
          <w:p>
            <w:pPr>
              <w:spacing w:after="20" w:line="240" w:lineRule="auto"/>
            </w:pPr>
            <w:r>
              <w:rPr>
                <w:sz w:val="15"/>
              </w:rPr>
              <w:t>I/O expansion</w:t>
            </w:r>
          </w:p>
        </w:tc>
        <w:tc>
          <w:tcPr>
            <w:tcW w:type="dxa" w:w="3740"/>
            <w:tcMar>
              <w:top w:w="80" w:type="dxa"/>
              <w:start w:w="120" w:type="dxa"/>
              <w:bottom w:w="80" w:type="dxa"/>
              <w:end w:w="120" w:type="dxa"/>
            </w:tcMar>
            <w:vAlign w:val="center"/>
          </w:tcPr>
          <w:p>
            <w:pPr>
              <w:spacing w:after="20" w:line="240" w:lineRule="auto"/>
            </w:pPr>
            <w:r>
              <w:rPr>
                <w:sz w:val="15"/>
              </w:rPr>
              <w:t>A black module marked 16ER / FXP is visible with output terminals and active channel LEDs.</w:t>
            </w:r>
          </w:p>
        </w:tc>
        <w:tc>
          <w:tcPr>
            <w:tcW w:type="dxa" w:w="3920"/>
            <w:tcMar>
              <w:top w:w="80" w:type="dxa"/>
              <w:start w:w="120" w:type="dxa"/>
              <w:bottom w:w="80" w:type="dxa"/>
              <w:end w:w="120" w:type="dxa"/>
            </w:tcMar>
            <w:vAlign w:val="center"/>
          </w:tcPr>
          <w:p>
            <w:pPr>
              <w:spacing w:after="20" w:line="240" w:lineRule="auto"/>
            </w:pPr>
            <w:r>
              <w:rPr>
                <w:sz w:val="15"/>
              </w:rPr>
              <w:t>Manufacturer, full model, relationship to the main PLC and supported communications.</w:t>
            </w:r>
          </w:p>
        </w:tc>
      </w:tr>
      <w:tr>
        <w:trPr>
          <w:cantSplit w:val="true"/>
        </w:trPr>
        <w:tc>
          <w:tcPr>
            <w:tcW w:type="dxa" w:w="1700"/>
            <w:shd w:fill="F2F4F7"/>
            <w:tcMar>
              <w:top w:w="80" w:type="dxa"/>
              <w:start w:w="120" w:type="dxa"/>
              <w:bottom w:w="80" w:type="dxa"/>
              <w:end w:w="120" w:type="dxa"/>
            </w:tcMar>
            <w:vAlign w:val="center"/>
          </w:tcPr>
          <w:p>
            <w:pPr>
              <w:spacing w:after="20" w:line="240" w:lineRule="auto"/>
            </w:pPr>
            <w:r>
              <w:rPr>
                <w:sz w:val="15"/>
              </w:rPr>
              <w:t>Machine identifier</w:t>
            </w:r>
          </w:p>
        </w:tc>
        <w:tc>
          <w:tcPr>
            <w:tcW w:type="dxa" w:w="3740"/>
            <w:shd w:fill="F2F4F7"/>
            <w:tcMar>
              <w:top w:w="80" w:type="dxa"/>
              <w:start w:w="120" w:type="dxa"/>
              <w:bottom w:w="80" w:type="dxa"/>
              <w:end w:w="120" w:type="dxa"/>
            </w:tcMar>
            <w:vAlign w:val="center"/>
          </w:tcPr>
          <w:p>
            <w:pPr>
              <w:spacing w:after="20" w:line="240" w:lineRule="auto"/>
            </w:pPr>
            <w:r>
              <w:rPr>
                <w:sz w:val="15"/>
              </w:rPr>
              <w:t>Photo shows identifier C2008198250009.</w:t>
            </w:r>
          </w:p>
        </w:tc>
        <w:tc>
          <w:tcPr>
            <w:tcW w:type="dxa" w:w="3920"/>
            <w:shd w:fill="F2F4F7"/>
            <w:tcMar>
              <w:top w:w="80" w:type="dxa"/>
              <w:start w:w="120" w:type="dxa"/>
              <w:bottom w:w="80" w:type="dxa"/>
              <w:end w:w="120" w:type="dxa"/>
            </w:tcMar>
            <w:vAlign w:val="center"/>
          </w:tcPr>
          <w:p>
            <w:pPr>
              <w:spacing w:after="20" w:line="240" w:lineRule="auto"/>
            </w:pPr>
            <w:r>
              <w:rPr>
                <w:sz w:val="15"/>
              </w:rPr>
              <w:t>Whether this is a serial, assembly, enclosure or internal asset number.</w:t>
            </w:r>
          </w:p>
        </w:tc>
      </w:tr>
    </w:tbl>
    <w:p>
      <w:pPr>
        <w:spacing w:after="40"/>
      </w:pPr>
    </w:p>
    <w:p>
      <w:pPr>
        <w:jc w:val="center"/>
      </w:pPr>
      <w:r>
        <w:drawing>
          <wp:inline xmlns:a="http://schemas.openxmlformats.org/drawingml/2006/main" xmlns:pic="http://schemas.openxmlformats.org/drawingml/2006/picture">
            <wp:extent cx="3931920" cy="5242560"/>
            <wp:docPr id="1" name="Picture 1" descr="Plan It Packaging Systems Neptune RotoBagger operator interface with Omron HMI" title="Neptune RotoBagger Omron HMI"/>
            <wp:cNvGraphicFramePr>
              <a:graphicFrameLocks noChangeAspect="1"/>
            </wp:cNvGraphicFramePr>
            <a:graphic>
              <a:graphicData uri="http://schemas.openxmlformats.org/drawingml/2006/picture">
                <pic:pic>
                  <pic:nvPicPr>
                    <pic:cNvPr id="0" name="IMG_3388.jpeg"/>
                    <pic:cNvPicPr/>
                  </pic:nvPicPr>
                  <pic:blipFill>
                    <a:blip r:embed="rId11"/>
                    <a:stretch>
                      <a:fillRect/>
                    </a:stretch>
                  </pic:blipFill>
                  <pic:spPr>
                    <a:xfrm>
                      <a:off x="0" y="0"/>
                      <a:ext cx="3931920" cy="5242560"/>
                    </a:xfrm>
                    <a:prstGeom prst="rect"/>
                  </pic:spPr>
                </pic:pic>
              </a:graphicData>
            </a:graphic>
          </wp:inline>
        </w:drawing>
      </w:r>
    </w:p>
    <w:p>
      <w:pPr>
        <w:pStyle w:val="SmallNote"/>
        <w:jc w:val="center"/>
      </w:pPr>
      <w:r>
        <w:t>Figure 1. Neptune RotoBagger operator interface; Omron HMI confirmed from supplied photo.</w:t>
      </w:r>
    </w:p>
    <w:p>
      <w:pPr>
        <w:pStyle w:val="Heading3"/>
      </w:pPr>
      <w:r>
        <w:t>7.1.1 Cabinet evidence added September 7, 2026</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tcBorders/>
          </w:tcPr>
          <w:p>
            <w:pPr>
              <w:jc w:val="center"/>
            </w:pPr>
            <w:r>
              <w:drawing>
                <wp:inline xmlns:a="http://schemas.openxmlformats.org/drawingml/2006/main" xmlns:pic="http://schemas.openxmlformats.org/drawingml/2006/picture">
                  <wp:extent cx="2331720" cy="3108960"/>
                  <wp:docPr id="2" name="Picture 2" descr="Installed TN-630-W4 gateway showing WAN, LAN and serial connection labels"/>
                  <wp:cNvGraphicFramePr>
                    <a:graphicFrameLocks noChangeAspect="1"/>
                  </wp:cNvGraphicFramePr>
                  <a:graphic>
                    <a:graphicData uri="http://schemas.openxmlformats.org/drawingml/2006/picture">
                      <pic:pic>
                        <pic:nvPicPr>
                          <pic:cNvPr id="0" name="IMG_3392.jpeg"/>
                          <pic:cNvPicPr/>
                        </pic:nvPicPr>
                        <pic:blipFill>
                          <a:blip r:embed="rId12"/>
                          <a:stretch>
                            <a:fillRect/>
                          </a:stretch>
                        </pic:blipFill>
                        <pic:spPr>
                          <a:xfrm>
                            <a:off x="0" y="0"/>
                            <a:ext cx="2331720" cy="3108960"/>
                          </a:xfrm>
                          <a:prstGeom prst="rect"/>
                        </pic:spPr>
                      </pic:pic>
                    </a:graphicData>
                  </a:graphic>
                </wp:inline>
              </w:drawing>
            </w:r>
          </w:p>
        </w:tc>
        <w:tc>
          <w:tcPr>
            <w:tcW w:type="dxa" w:w="4680"/>
            <w:tcMar>
              <w:top w:w="80" w:type="dxa"/>
              <w:start w:w="120" w:type="dxa"/>
              <w:bottom w:w="80" w:type="dxa"/>
              <w:end w:w="120" w:type="dxa"/>
            </w:tcMar>
            <w:vAlign w:val="center"/>
            <w:tcBorders/>
          </w:tcPr>
          <w:p>
            <w:pPr>
              <w:jc w:val="center"/>
            </w:pPr>
            <w:r>
              <w:drawing>
                <wp:inline xmlns:a="http://schemas.openxmlformats.org/drawingml/2006/main" xmlns:pic="http://schemas.openxmlformats.org/drawingml/2006/picture">
                  <wp:extent cx="2331720" cy="3108960"/>
                  <wp:docPr id="3" name="Picture 3" descr="Danfoss VLT Micro Drive nameplate inside Neptune RotoBagger cabinet"/>
                  <wp:cNvGraphicFramePr>
                    <a:graphicFrameLocks noChangeAspect="1"/>
                  </wp:cNvGraphicFramePr>
                  <a:graphic>
                    <a:graphicData uri="http://schemas.openxmlformats.org/drawingml/2006/picture">
                      <pic:pic>
                        <pic:nvPicPr>
                          <pic:cNvPr id="0" name="IMG_3395.jpeg"/>
                          <pic:cNvPicPr/>
                        </pic:nvPicPr>
                        <pic:blipFill>
                          <a:blip r:embed="rId13"/>
                          <a:stretch>
                            <a:fillRect/>
                          </a:stretch>
                        </pic:blipFill>
                        <pic:spPr>
                          <a:xfrm>
                            <a:off x="0" y="0"/>
                            <a:ext cx="2331720" cy="3108960"/>
                          </a:xfrm>
                          <a:prstGeom prst="rect"/>
                        </pic:spPr>
                      </pic:pic>
                    </a:graphicData>
                  </a:graphic>
                </wp:inline>
              </w:drawing>
            </w:r>
          </w:p>
        </w:tc>
      </w:tr>
      <w:tr>
        <w:tc>
          <w:tcPr>
            <w:tcW w:type="dxa" w:w="4680"/>
            <w:tcMar>
              <w:top w:w="80" w:type="dxa"/>
              <w:start w:w="120" w:type="dxa"/>
              <w:bottom w:w="80" w:type="dxa"/>
              <w:end w:w="120" w:type="dxa"/>
            </w:tcMar>
            <w:vAlign w:val="center"/>
            <w:tcBorders/>
          </w:tcPr>
          <w:p>
            <w:pPr>
              <w:jc w:val="center"/>
            </w:pPr>
            <w:r>
              <w:rPr>
                <w:color w:val="5B6573"/>
                <w:sz w:val="16"/>
              </w:rPr>
              <w:t>Figure 2. Installed TN-630-W4 gateway; connected LAN and serial-capable terminals are visible.</w:t>
            </w:r>
          </w:p>
        </w:tc>
        <w:tc>
          <w:tcPr>
            <w:tcW w:type="dxa" w:w="4680"/>
            <w:tcMar>
              <w:top w:w="80" w:type="dxa"/>
              <w:start w:w="120" w:type="dxa"/>
              <w:bottom w:w="80" w:type="dxa"/>
              <w:end w:w="120" w:type="dxa"/>
            </w:tcMar>
            <w:vAlign w:val="center"/>
            <w:tcBorders/>
          </w:tcPr>
          <w:p>
            <w:pPr>
              <w:jc w:val="center"/>
            </w:pPr>
            <w:r>
              <w:rPr>
                <w:color w:val="5B6573"/>
                <w:sz w:val="16"/>
              </w:rPr>
              <w:t>Figure 3. Danfoss VLT Micro Drive, 0.75 kW / 1.0 HP, P/N 132F0010.</w:t>
            </w:r>
          </w:p>
        </w:tc>
      </w:tr>
    </w:tbl>
    <w:p>
      <w:pPr>
        <w:jc w:val="center"/>
      </w:pPr>
      <w:r>
        <w:drawing>
          <wp:inline xmlns:a="http://schemas.openxmlformats.org/drawingml/2006/main" xmlns:pic="http://schemas.openxmlformats.org/drawingml/2006/picture">
            <wp:extent cx="2103120" cy="2804160"/>
            <wp:docPr id="4" name="Picture 4" descr="Omron G9SX-NSA222-T03 safety controller inside machine cabinet"/>
            <wp:cNvGraphicFramePr>
              <a:graphicFrameLocks noChangeAspect="1"/>
            </wp:cNvGraphicFramePr>
            <a:graphic>
              <a:graphicData uri="http://schemas.openxmlformats.org/drawingml/2006/picture">
                <pic:pic>
                  <pic:nvPicPr>
                    <pic:cNvPr id="0" name="IMG_3400.jpeg"/>
                    <pic:cNvPicPr/>
                  </pic:nvPicPr>
                  <pic:blipFill>
                    <a:blip r:embed="rId14"/>
                    <a:stretch>
                      <a:fillRect/>
                    </a:stretch>
                  </pic:blipFill>
                  <pic:spPr>
                    <a:xfrm>
                      <a:off x="0" y="0"/>
                      <a:ext cx="2103120" cy="2804160"/>
                    </a:xfrm>
                    <a:prstGeom prst="rect"/>
                  </pic:spPr>
                </pic:pic>
              </a:graphicData>
            </a:graphic>
          </wp:inline>
        </w:drawing>
      </w:r>
    </w:p>
    <w:p>
      <w:pPr>
        <w:pStyle w:val="SmallNote"/>
        <w:jc w:val="center"/>
      </w:pPr>
      <w:r>
        <w:t>Figure 4. Omron G9SX-NSA222-T03 safety controller. Safety functions remain outside normal FlowState control/write scope.</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tcPr>
          <w:p>
            <w:pPr>
              <w:jc w:val="center"/>
            </w:pPr>
            <w:r>
              <w:drawing>
                <wp:inline xmlns:a="http://schemas.openxmlformats.org/drawingml/2006/main" xmlns:pic="http://schemas.openxmlformats.org/drawingml/2006/picture">
                  <wp:extent cx="2514600" cy="1885950"/>
                  <wp:docPr id="5" name="Picture 5" descr="Omron CP2E PLC inside the Plan It RotoBagger cabinet"/>
                  <wp:cNvGraphicFramePr>
                    <a:graphicFrameLocks noChangeAspect="1"/>
                  </wp:cNvGraphicFramePr>
                  <a:graphic>
                    <a:graphicData uri="http://schemas.openxmlformats.org/drawingml/2006/picture">
                      <pic:pic>
                        <pic:nvPicPr>
                          <pic:cNvPr id="0" name="IMG_B0D13837-AF52-4AFF-B63C-2C41A0376C84.jpeg"/>
                          <pic:cNvPicPr/>
                        </pic:nvPicPr>
                        <pic:blipFill>
                          <a:blip r:embed="rId15"/>
                          <a:stretch>
                            <a:fillRect/>
                          </a:stretch>
                        </pic:blipFill>
                        <pic:spPr>
                          <a:xfrm>
                            <a:off x="0" y="0"/>
                            <a:ext cx="2514600" cy="1885950"/>
                          </a:xfrm>
                          <a:prstGeom prst="rect"/>
                        </pic:spPr>
                      </pic:pic>
                    </a:graphicData>
                  </a:graphic>
                </wp:inline>
              </w:drawing>
            </w:r>
          </w:p>
        </w:tc>
        <w:tc>
          <w:tcPr>
            <w:tcW w:type="dxa" w:w="4680"/>
            <w:tcMar>
              <w:top w:w="80" w:type="dxa"/>
              <w:start w:w="120" w:type="dxa"/>
              <w:bottom w:w="80" w:type="dxa"/>
              <w:end w:w="120" w:type="dxa"/>
            </w:tcMar>
            <w:vAlign w:val="center"/>
          </w:tcPr>
          <w:p>
            <w:pPr>
              <w:jc w:val="center"/>
            </w:pPr>
            <w:r>
              <w:drawing>
                <wp:inline xmlns:a="http://schemas.openxmlformats.org/drawingml/2006/main" xmlns:pic="http://schemas.openxmlformats.org/drawingml/2006/picture">
                  <wp:extent cx="2148840" cy="2865120"/>
                  <wp:docPr id="6" name="Picture 6" descr="Omron W4S1-05B industrial Ethernet switch beside the CP2E PLC"/>
                  <wp:cNvGraphicFramePr>
                    <a:graphicFrameLocks noChangeAspect="1"/>
                  </wp:cNvGraphicFramePr>
                  <a:graphic>
                    <a:graphicData uri="http://schemas.openxmlformats.org/drawingml/2006/picture">
                      <pic:pic>
                        <pic:nvPicPr>
                          <pic:cNvPr id="0" name="IMG_3FD23199-00B9-481E-A5A6-6597CEA0DABE.jpeg"/>
                          <pic:cNvPicPr/>
                        </pic:nvPicPr>
                        <pic:blipFill>
                          <a:blip r:embed="rId16"/>
                          <a:stretch>
                            <a:fillRect/>
                          </a:stretch>
                        </pic:blipFill>
                        <pic:spPr>
                          <a:xfrm>
                            <a:off x="0" y="0"/>
                            <a:ext cx="2148840" cy="2865120"/>
                          </a:xfrm>
                          <a:prstGeom prst="rect"/>
                        </pic:spPr>
                      </pic:pic>
                    </a:graphicData>
                  </a:graphic>
                </wp:inline>
              </w:drawing>
            </w:r>
          </w:p>
        </w:tc>
      </w:tr>
      <w:tr>
        <w:tc>
          <w:tcPr>
            <w:tcW w:type="dxa" w:w="4680"/>
            <w:tcMar>
              <w:top w:w="80" w:type="dxa"/>
              <w:start w:w="120" w:type="dxa"/>
              <w:bottom w:w="80" w:type="dxa"/>
              <w:end w:w="120" w:type="dxa"/>
            </w:tcMar>
            <w:vAlign w:val="center"/>
          </w:tcPr>
          <w:p>
            <w:pPr>
              <w:jc w:val="center"/>
            </w:pPr>
            <w:r>
              <w:rPr>
                <w:color w:val="5B6573"/>
                <w:sz w:val="16"/>
              </w:rPr>
              <w:t>Figure 5. Omron CP2E PLC with Ethernet and serial communications.</w:t>
            </w:r>
          </w:p>
        </w:tc>
        <w:tc>
          <w:tcPr>
            <w:tcW w:type="dxa" w:w="4680"/>
            <w:tcMar>
              <w:top w:w="80" w:type="dxa"/>
              <w:start w:w="120" w:type="dxa"/>
              <w:bottom w:w="80" w:type="dxa"/>
              <w:end w:w="120" w:type="dxa"/>
            </w:tcMar>
            <w:vAlign w:val="center"/>
          </w:tcPr>
          <w:p>
            <w:pPr>
              <w:jc w:val="center"/>
            </w:pPr>
            <w:r>
              <w:rPr>
                <w:color w:val="5B6573"/>
                <w:sz w:val="16"/>
              </w:rPr>
              <w:t>Figure 6. Omron W4S1-05B five-port Ethernet switching hub.</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20"/>
            </w:pPr>
            <w:r/>
            <w:r>
              <w:rPr>
                <w:b/>
                <w:color w:val="B07C12"/>
              </w:rPr>
              <w:t xml:space="preserve">PLAN IT INTEGRATION CONCLUSION: </w:t>
            </w:r>
            <w:r>
              <w:t>The RotoBagger now has a confirmed Omron CP2E PLC, an Omron W4S1-05B Ethernet switch and a separate TN-630-W4 gateway. Kiaan must map the existing cables and addresses, verify the exact CP2E order code and supported read protocol, and obtain OEM/plant-IT approval before adding a read-only connection.</w:t>
            </w:r>
          </w:p>
        </w:tc>
      </w:tr>
    </w:tbl>
    <w:p>
      <w:pPr>
        <w:spacing w:after="0"/>
      </w:pPr>
    </w:p>
    <w:p>
      <w:pPr>
        <w:pStyle w:val="Heading3"/>
      </w:pPr>
      <w:r>
        <w:t>7.1.2 Variovac VAC machine evidence</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shd w:fill="17365D"/>
            <w:tcMar>
              <w:top w:w="80" w:type="dxa"/>
              <w:start w:w="120" w:type="dxa"/>
              <w:bottom w:w="80" w:type="dxa"/>
              <w:end w:w="120" w:type="dxa"/>
            </w:tcMar>
            <w:vAlign w:val="center"/>
          </w:tcPr>
          <w:p>
            <w:r>
              <w:rPr>
                <w:b/>
                <w:color w:val="FFFFFF"/>
                <w:sz w:val="15"/>
              </w:rPr>
              <w:t>Item</w:t>
            </w:r>
          </w:p>
        </w:tc>
        <w:tc>
          <w:tcPr>
            <w:tcW w:type="dxa" w:w="3780"/>
            <w:shd w:fill="17365D"/>
            <w:tcMar>
              <w:top w:w="80" w:type="dxa"/>
              <w:start w:w="120" w:type="dxa"/>
              <w:bottom w:w="80" w:type="dxa"/>
              <w:end w:w="120" w:type="dxa"/>
            </w:tcMar>
            <w:vAlign w:val="center"/>
          </w:tcPr>
          <w:p>
            <w:r>
              <w:rPr>
                <w:b/>
                <w:color w:val="FFFFFF"/>
                <w:sz w:val="15"/>
              </w:rPr>
              <w:t>Confirmed information</w:t>
            </w:r>
          </w:p>
        </w:tc>
        <w:tc>
          <w:tcPr>
            <w:tcW w:type="dxa" w:w="3780"/>
            <w:shd w:fill="17365D"/>
            <w:tcMar>
              <w:top w:w="80" w:type="dxa"/>
              <w:start w:w="120" w:type="dxa"/>
              <w:bottom w:w="80" w:type="dxa"/>
              <w:end w:w="120" w:type="dxa"/>
            </w:tcMar>
            <w:vAlign w:val="center"/>
          </w:tcPr>
          <w:p>
            <w:r>
              <w:rPr>
                <w:b/>
                <w:color w:val="FFFFFF"/>
                <w:sz w:val="15"/>
              </w:rPr>
              <w:t>Required confirmation</w:t>
            </w:r>
          </w:p>
        </w:tc>
      </w:tr>
      <w:tr>
        <w:trPr>
          <w:cantSplit w:val="true"/>
        </w:trPr>
        <w:tc>
          <w:tcPr>
            <w:tcW w:type="dxa" w:w="1800"/>
            <w:tcMar>
              <w:top w:w="80" w:type="dxa"/>
              <w:start w:w="120" w:type="dxa"/>
              <w:bottom w:w="80" w:type="dxa"/>
              <w:end w:w="120" w:type="dxa"/>
            </w:tcMar>
            <w:vAlign w:val="center"/>
          </w:tcPr>
          <w:p>
            <w:pPr>
              <w:spacing w:after="20" w:line="240" w:lineRule="auto"/>
            </w:pPr>
            <w:r>
              <w:rPr>
                <w:sz w:val="15"/>
              </w:rPr>
              <w:t>Machine</w:t>
            </w:r>
          </w:p>
        </w:tc>
        <w:tc>
          <w:tcPr>
            <w:tcW w:type="dxa" w:w="3780"/>
            <w:tcMar>
              <w:top w:w="80" w:type="dxa"/>
              <w:start w:w="120" w:type="dxa"/>
              <w:bottom w:w="80" w:type="dxa"/>
              <w:end w:w="120" w:type="dxa"/>
            </w:tcMar>
            <w:vAlign w:val="center"/>
          </w:tcPr>
          <w:p>
            <w:pPr>
              <w:spacing w:after="20" w:line="240" w:lineRule="auto"/>
            </w:pPr>
            <w:r>
              <w:rPr>
                <w:sz w:val="15"/>
              </w:rPr>
              <w:t>Variovac vacuum-packaging machine; HMI shows Variovac/Reiser support information and B&amp;R Automation Studio 4.2.</w:t>
            </w:r>
          </w:p>
        </w:tc>
        <w:tc>
          <w:tcPr>
            <w:tcW w:type="dxa" w:w="3780"/>
            <w:tcMar>
              <w:top w:w="80" w:type="dxa"/>
              <w:start w:w="120" w:type="dxa"/>
              <w:bottom w:w="80" w:type="dxa"/>
              <w:end w:w="120" w:type="dxa"/>
            </w:tcMar>
            <w:vAlign w:val="center"/>
          </w:tcPr>
          <w:p>
            <w:pPr>
              <w:spacing w:after="20" w:line="240" w:lineRule="auto"/>
            </w:pPr>
            <w:r>
              <w:rPr>
                <w:sz w:val="15"/>
              </w:rPr>
              <w:t>Machine model, serial number, OEM support entitlement and current backup status.</w:t>
            </w:r>
          </w:p>
        </w:tc>
      </w:tr>
      <w:tr>
        <w:trPr>
          <w:cantSplit w:val="true"/>
        </w:trPr>
        <w:tc>
          <w:tcPr>
            <w:tcW w:type="dxa" w:w="1800"/>
            <w:shd w:fill="F2F4F7"/>
            <w:tcMar>
              <w:top w:w="80" w:type="dxa"/>
              <w:start w:w="120" w:type="dxa"/>
              <w:bottom w:w="80" w:type="dxa"/>
              <w:end w:w="120" w:type="dxa"/>
            </w:tcMar>
            <w:vAlign w:val="center"/>
          </w:tcPr>
          <w:p>
            <w:pPr>
              <w:spacing w:after="20" w:line="240" w:lineRule="auto"/>
            </w:pPr>
            <w:r>
              <w:rPr>
                <w:sz w:val="15"/>
              </w:rPr>
              <w:t>Operator panel</w:t>
            </w:r>
          </w:p>
        </w:tc>
        <w:tc>
          <w:tcPr>
            <w:tcW w:type="dxa" w:w="3780"/>
            <w:shd w:fill="F2F4F7"/>
            <w:tcMar>
              <w:top w:w="80" w:type="dxa"/>
              <w:start w:w="120" w:type="dxa"/>
              <w:bottom w:w="80" w:type="dxa"/>
              <w:end w:w="120" w:type="dxa"/>
            </w:tcMar>
            <w:vAlign w:val="center"/>
          </w:tcPr>
          <w:p>
            <w:pPr>
              <w:spacing w:after="20" w:line="240" w:lineRule="auto"/>
            </w:pPr>
            <w:r>
              <w:rPr>
                <w:sz w:val="15"/>
              </w:rPr>
              <w:t>B&amp;R Automation Panel 1000, label 5AP1120.101E-F05, 10.1-inch family.</w:t>
            </w:r>
          </w:p>
        </w:tc>
        <w:tc>
          <w:tcPr>
            <w:tcW w:type="dxa" w:w="3780"/>
            <w:shd w:fill="F2F4F7"/>
            <w:tcMar>
              <w:top w:w="80" w:type="dxa"/>
              <w:start w:w="120" w:type="dxa"/>
              <w:bottom w:w="80" w:type="dxa"/>
              <w:end w:w="120" w:type="dxa"/>
            </w:tcMar>
            <w:vAlign w:val="center"/>
          </w:tcPr>
          <w:p>
            <w:pPr>
              <w:spacing w:after="20" w:line="240" w:lineRule="auto"/>
            </w:pPr>
            <w:r>
              <w:rPr>
                <w:sz w:val="15"/>
              </w:rPr>
              <w:t>Firmware, connection module and whether panel is display-only or paired with a Panel PC.</w:t>
            </w:r>
          </w:p>
        </w:tc>
      </w:tr>
      <w:tr>
        <w:trPr>
          <w:cantSplit w:val="true"/>
        </w:trPr>
        <w:tc>
          <w:tcPr>
            <w:tcW w:type="dxa" w:w="1800"/>
            <w:tcMar>
              <w:top w:w="80" w:type="dxa"/>
              <w:start w:w="120" w:type="dxa"/>
              <w:bottom w:w="80" w:type="dxa"/>
              <w:end w:w="120" w:type="dxa"/>
            </w:tcMar>
            <w:vAlign w:val="center"/>
          </w:tcPr>
          <w:p>
            <w:pPr>
              <w:spacing w:after="20" w:line="240" w:lineRule="auto"/>
            </w:pPr>
            <w:r>
              <w:rPr>
                <w:sz w:val="15"/>
              </w:rPr>
              <w:t>Industrial computer/controller</w:t>
            </w:r>
          </w:p>
        </w:tc>
        <w:tc>
          <w:tcPr>
            <w:tcW w:type="dxa" w:w="3780"/>
            <w:tcMar>
              <w:top w:w="80" w:type="dxa"/>
              <w:start w:w="120" w:type="dxa"/>
              <w:bottom w:w="80" w:type="dxa"/>
              <w:end w:w="120" w:type="dxa"/>
            </w:tcMar>
            <w:vAlign w:val="center"/>
          </w:tcPr>
          <w:p>
            <w:pPr>
              <w:spacing w:after="20" w:line="240" w:lineRule="auto"/>
            </w:pPr>
            <w:r>
              <w:rPr>
                <w:sz w:val="15"/>
              </w:rPr>
              <w:t>A B&amp;R Panel PC/PPC-family computing unit is mounted behind the panel; label image is partially blurred.</w:t>
            </w:r>
          </w:p>
        </w:tc>
        <w:tc>
          <w:tcPr>
            <w:tcW w:type="dxa" w:w="3780"/>
            <w:tcMar>
              <w:top w:w="80" w:type="dxa"/>
              <w:start w:w="120" w:type="dxa"/>
              <w:bottom w:w="80" w:type="dxa"/>
              <w:end w:w="120" w:type="dxa"/>
            </w:tcMar>
            <w:vAlign w:val="center"/>
          </w:tcPr>
          <w:p>
            <w:pPr>
              <w:spacing w:after="20" w:line="240" w:lineRule="auto"/>
            </w:pPr>
            <w:r>
              <w:rPr>
                <w:sz w:val="15"/>
              </w:rPr>
              <w:t>Exact complete order code, CPU/runtime, Ethernet ports, IP address, licenses and whether PLC runtime executes here.</w:t>
            </w:r>
          </w:p>
        </w:tc>
      </w:tr>
      <w:tr>
        <w:trPr>
          <w:cantSplit w:val="true"/>
        </w:trPr>
        <w:tc>
          <w:tcPr>
            <w:tcW w:type="dxa" w:w="1800"/>
            <w:shd w:fill="F2F4F7"/>
            <w:tcMar>
              <w:top w:w="80" w:type="dxa"/>
              <w:start w:w="120" w:type="dxa"/>
              <w:bottom w:w="80" w:type="dxa"/>
              <w:end w:w="120" w:type="dxa"/>
            </w:tcMar>
            <w:vAlign w:val="center"/>
          </w:tcPr>
          <w:p>
            <w:pPr>
              <w:spacing w:after="20" w:line="240" w:lineRule="auto"/>
            </w:pPr>
            <w:r>
              <w:rPr>
                <w:sz w:val="15"/>
              </w:rPr>
              <w:t>Drive</w:t>
            </w:r>
          </w:p>
        </w:tc>
        <w:tc>
          <w:tcPr>
            <w:tcW w:type="dxa" w:w="3780"/>
            <w:shd w:fill="F2F4F7"/>
            <w:tcMar>
              <w:top w:w="80" w:type="dxa"/>
              <w:start w:w="120" w:type="dxa"/>
              <w:bottom w:w="80" w:type="dxa"/>
              <w:end w:w="120" w:type="dxa"/>
            </w:tcMar>
            <w:vAlign w:val="center"/>
          </w:tcPr>
          <w:p>
            <w:pPr>
              <w:spacing w:after="20" w:line="240" w:lineRule="auto"/>
            </w:pPr>
            <w:r>
              <w:rPr>
                <w:sz w:val="15"/>
              </w:rPr>
              <w:t>B&amp;R ACOPOSinverter P74 with CAN indicators and a Modbus VPOS port.</w:t>
            </w:r>
          </w:p>
        </w:tc>
        <w:tc>
          <w:tcPr>
            <w:tcW w:type="dxa" w:w="3780"/>
            <w:shd w:fill="F2F4F7"/>
            <w:tcMar>
              <w:top w:w="80" w:type="dxa"/>
              <w:start w:w="120" w:type="dxa"/>
              <w:bottom w:w="80" w:type="dxa"/>
              <w:end w:w="120" w:type="dxa"/>
            </w:tcMar>
            <w:vAlign w:val="center"/>
          </w:tcPr>
          <w:p>
            <w:pPr>
              <w:spacing w:after="20" w:line="240" w:lineRule="auto"/>
            </w:pPr>
            <w:r>
              <w:rPr>
                <w:sz w:val="15"/>
              </w:rPr>
              <w:t>Exact drive order code and whether any diagnostic data should be read through the main controller.</w:t>
            </w:r>
          </w:p>
        </w:tc>
      </w:tr>
      <w:tr>
        <w:trPr>
          <w:cantSplit w:val="true"/>
        </w:trPr>
        <w:tc>
          <w:tcPr>
            <w:tcW w:type="dxa" w:w="1800"/>
            <w:tcMar>
              <w:top w:w="80" w:type="dxa"/>
              <w:start w:w="120" w:type="dxa"/>
              <w:bottom w:w="80" w:type="dxa"/>
              <w:end w:w="120" w:type="dxa"/>
            </w:tcMar>
            <w:vAlign w:val="center"/>
          </w:tcPr>
          <w:p>
            <w:pPr>
              <w:spacing w:after="20" w:line="240" w:lineRule="auto"/>
            </w:pPr>
            <w:r>
              <w:rPr>
                <w:sz w:val="15"/>
              </w:rPr>
              <w:t>Power supply</w:t>
            </w:r>
          </w:p>
        </w:tc>
        <w:tc>
          <w:tcPr>
            <w:tcW w:type="dxa" w:w="3780"/>
            <w:tcMar>
              <w:top w:w="80" w:type="dxa"/>
              <w:start w:w="120" w:type="dxa"/>
              <w:bottom w:w="80" w:type="dxa"/>
              <w:end w:w="120" w:type="dxa"/>
            </w:tcMar>
            <w:vAlign w:val="center"/>
          </w:tcPr>
          <w:p>
            <w:pPr>
              <w:spacing w:after="20" w:line="240" w:lineRule="auto"/>
            </w:pPr>
            <w:r>
              <w:rPr>
                <w:sz w:val="15"/>
              </w:rPr>
              <w:t>Siemens SITOP PSU100S, 24 VDC/10 A, 6EP1334-2BA20.</w:t>
            </w:r>
          </w:p>
        </w:tc>
        <w:tc>
          <w:tcPr>
            <w:tcW w:type="dxa" w:w="3780"/>
            <w:tcMar>
              <w:top w:w="80" w:type="dxa"/>
              <w:start w:w="120" w:type="dxa"/>
              <w:bottom w:w="80" w:type="dxa"/>
              <w:end w:w="120" w:type="dxa"/>
            </w:tcMar>
            <w:vAlign w:val="center"/>
          </w:tcPr>
          <w:p>
            <w:pPr>
              <w:spacing w:after="20" w:line="240" w:lineRule="auto"/>
            </w:pPr>
            <w:r>
              <w:rPr>
                <w:sz w:val="15"/>
              </w:rPr>
              <w:t>Available capacity only; not a data source.</w:t>
            </w:r>
          </w:p>
        </w:tc>
      </w:tr>
      <w:tr>
        <w:trPr>
          <w:cantSplit w:val="true"/>
        </w:trPr>
        <w:tc>
          <w:tcPr>
            <w:tcW w:type="dxa" w:w="1800"/>
            <w:shd w:fill="F2F4F7"/>
            <w:tcMar>
              <w:top w:w="80" w:type="dxa"/>
              <w:start w:w="120" w:type="dxa"/>
              <w:bottom w:w="80" w:type="dxa"/>
              <w:end w:w="120" w:type="dxa"/>
            </w:tcMar>
            <w:vAlign w:val="center"/>
          </w:tcPr>
          <w:p>
            <w:pPr>
              <w:spacing w:after="20" w:line="240" w:lineRule="auto"/>
            </w:pPr>
            <w:r>
              <w:rPr>
                <w:sz w:val="15"/>
              </w:rPr>
              <w:t>Control platform</w:t>
            </w:r>
          </w:p>
        </w:tc>
        <w:tc>
          <w:tcPr>
            <w:tcW w:type="dxa" w:w="3780"/>
            <w:shd w:fill="F2F4F7"/>
            <w:tcMar>
              <w:top w:w="80" w:type="dxa"/>
              <w:start w:w="120" w:type="dxa"/>
              <w:bottom w:w="80" w:type="dxa"/>
              <w:end w:w="120" w:type="dxa"/>
            </w:tcMar>
            <w:vAlign w:val="center"/>
          </w:tcPr>
          <w:p>
            <w:pPr>
              <w:spacing w:after="20" w:line="240" w:lineRule="auto"/>
            </w:pPr>
            <w:r>
              <w:rPr>
                <w:sz w:val="15"/>
              </w:rPr>
              <w:t>B&amp;R-based control environment is strongly indicated by the HMI, software and drive.</w:t>
            </w:r>
          </w:p>
        </w:tc>
        <w:tc>
          <w:tcPr>
            <w:tcW w:type="dxa" w:w="3780"/>
            <w:shd w:fill="F2F4F7"/>
            <w:tcMar>
              <w:top w:w="80" w:type="dxa"/>
              <w:start w:w="120" w:type="dxa"/>
              <w:bottom w:w="80" w:type="dxa"/>
              <w:end w:w="120" w:type="dxa"/>
            </w:tcMar>
            <w:vAlign w:val="center"/>
          </w:tcPr>
          <w:p>
            <w:pPr>
              <w:spacing w:after="20" w:line="240" w:lineRule="auto"/>
            </w:pPr>
            <w:r>
              <w:rPr>
                <w:sz w:val="15"/>
              </w:rPr>
              <w:t>PLC/I/O hardware inventory, program ownership, protocol licenses and OEM-approved external interface.</w:t>
            </w:r>
          </w:p>
        </w:tc>
      </w:tr>
    </w:tbl>
    <w:p>
      <w:pPr>
        <w:spacing w:after="40"/>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tcPr>
          <w:p>
            <w:pPr>
              <w:jc w:val="center"/>
            </w:pPr>
            <w:r>
              <w:drawing>
                <wp:inline xmlns:a="http://schemas.openxmlformats.org/drawingml/2006/main" xmlns:pic="http://schemas.openxmlformats.org/drawingml/2006/picture">
                  <wp:extent cx="2423160" cy="3230880"/>
                  <wp:docPr id="7" name="Picture 7" descr="Variovac HMI information screen showing software version and operating data"/>
                  <wp:cNvGraphicFramePr>
                    <a:graphicFrameLocks noChangeAspect="1"/>
                  </wp:cNvGraphicFramePr>
                  <a:graphic>
                    <a:graphicData uri="http://schemas.openxmlformats.org/drawingml/2006/picture">
                      <pic:pic>
                        <pic:nvPicPr>
                          <pic:cNvPr id="0" name="IMG_3414.jpeg"/>
                          <pic:cNvPicPr/>
                        </pic:nvPicPr>
                        <pic:blipFill>
                          <a:blip r:embed="rId17"/>
                          <a:stretch>
                            <a:fillRect/>
                          </a:stretch>
                        </pic:blipFill>
                        <pic:spPr>
                          <a:xfrm>
                            <a:off x="0" y="0"/>
                            <a:ext cx="2423160" cy="3230880"/>
                          </a:xfrm>
                          <a:prstGeom prst="rect"/>
                        </pic:spPr>
                      </pic:pic>
                    </a:graphicData>
                  </a:graphic>
                </wp:inline>
              </w:drawing>
            </w:r>
          </w:p>
        </w:tc>
        <w:tc>
          <w:tcPr>
            <w:tcW w:type="dxa" w:w="4680"/>
            <w:tcMar>
              <w:top w:w="80" w:type="dxa"/>
              <w:start w:w="120" w:type="dxa"/>
              <w:bottom w:w="80" w:type="dxa"/>
              <w:end w:w="120" w:type="dxa"/>
            </w:tcMar>
            <w:vAlign w:val="center"/>
          </w:tcPr>
          <w:p>
            <w:pPr>
              <w:jc w:val="center"/>
            </w:pPr>
            <w:r>
              <w:drawing>
                <wp:inline xmlns:a="http://schemas.openxmlformats.org/drawingml/2006/main" xmlns:pic="http://schemas.openxmlformats.org/drawingml/2006/picture">
                  <wp:extent cx="2423160" cy="3230880"/>
                  <wp:docPr id="8" name="Picture 8" descr="B&amp;R Automation Panel label 5AP1120.101E-F05"/>
                  <wp:cNvGraphicFramePr>
                    <a:graphicFrameLocks noChangeAspect="1"/>
                  </wp:cNvGraphicFramePr>
                  <a:graphic>
                    <a:graphicData uri="http://schemas.openxmlformats.org/drawingml/2006/picture">
                      <pic:pic>
                        <pic:nvPicPr>
                          <pic:cNvPr id="0" name="IMG_3404.jpeg"/>
                          <pic:cNvPicPr/>
                        </pic:nvPicPr>
                        <pic:blipFill>
                          <a:blip r:embed="rId18"/>
                          <a:stretch>
                            <a:fillRect/>
                          </a:stretch>
                        </pic:blipFill>
                        <pic:spPr>
                          <a:xfrm>
                            <a:off x="0" y="0"/>
                            <a:ext cx="2423160" cy="3230880"/>
                          </a:xfrm>
                          <a:prstGeom prst="rect"/>
                        </pic:spPr>
                      </pic:pic>
                    </a:graphicData>
                  </a:graphic>
                </wp:inline>
              </w:drawing>
            </w:r>
          </w:p>
        </w:tc>
      </w:tr>
      <w:tr>
        <w:tc>
          <w:tcPr>
            <w:tcW w:type="dxa" w:w="4680"/>
            <w:tcMar>
              <w:top w:w="80" w:type="dxa"/>
              <w:start w:w="120" w:type="dxa"/>
              <w:bottom w:w="80" w:type="dxa"/>
              <w:end w:w="120" w:type="dxa"/>
            </w:tcMar>
            <w:vAlign w:val="center"/>
          </w:tcPr>
          <w:p>
            <w:pPr>
              <w:jc w:val="center"/>
            </w:pPr>
            <w:r>
              <w:rPr>
                <w:color w:val="5B6573"/>
                <w:sz w:val="16"/>
              </w:rPr>
              <w:t>Figure 7. Variovac operating interface; B&amp;R Automation Studio 4.2 is indicated.</w:t>
            </w:r>
          </w:p>
        </w:tc>
        <w:tc>
          <w:tcPr>
            <w:tcW w:type="dxa" w:w="4680"/>
            <w:tcMar>
              <w:top w:w="80" w:type="dxa"/>
              <w:start w:w="120" w:type="dxa"/>
              <w:bottom w:w="80" w:type="dxa"/>
              <w:end w:w="120" w:type="dxa"/>
            </w:tcMar>
            <w:vAlign w:val="center"/>
          </w:tcPr>
          <w:p>
            <w:pPr>
              <w:jc w:val="center"/>
            </w:pPr>
            <w:r>
              <w:rPr>
                <w:color w:val="5B6573"/>
                <w:sz w:val="16"/>
              </w:rPr>
              <w:t>Figure 8. B&amp;R Automation Panel label 5AP1120.101E-F05.</w:t>
            </w:r>
          </w:p>
        </w:tc>
      </w:tr>
    </w:tbl>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tcPr>
          <w:p>
            <w:pPr>
              <w:jc w:val="center"/>
            </w:pPr>
            <w:r>
              <w:drawing>
                <wp:inline xmlns:a="http://schemas.openxmlformats.org/drawingml/2006/main" xmlns:pic="http://schemas.openxmlformats.org/drawingml/2006/picture">
                  <wp:extent cx="2377440" cy="3169920"/>
                  <wp:docPr id="9" name="Picture 9" descr="B&amp;R Panel PC or PPC-family industrial computing unit label behind Variovac display"/>
                  <wp:cNvGraphicFramePr>
                    <a:graphicFrameLocks noChangeAspect="1"/>
                  </wp:cNvGraphicFramePr>
                  <a:graphic>
                    <a:graphicData uri="http://schemas.openxmlformats.org/drawingml/2006/picture">
                      <pic:pic>
                        <pic:nvPicPr>
                          <pic:cNvPr id="0" name="IMG_3402.jpeg"/>
                          <pic:cNvPicPr/>
                        </pic:nvPicPr>
                        <pic:blipFill>
                          <a:blip r:embed="rId19"/>
                          <a:stretch>
                            <a:fillRect/>
                          </a:stretch>
                        </pic:blipFill>
                        <pic:spPr>
                          <a:xfrm>
                            <a:off x="0" y="0"/>
                            <a:ext cx="2377440" cy="3169920"/>
                          </a:xfrm>
                          <a:prstGeom prst="rect"/>
                        </pic:spPr>
                      </pic:pic>
                    </a:graphicData>
                  </a:graphic>
                </wp:inline>
              </w:drawing>
            </w:r>
          </w:p>
        </w:tc>
        <w:tc>
          <w:tcPr>
            <w:tcW w:type="dxa" w:w="4680"/>
            <w:tcMar>
              <w:top w:w="80" w:type="dxa"/>
              <w:start w:w="120" w:type="dxa"/>
              <w:bottom w:w="80" w:type="dxa"/>
              <w:end w:w="120" w:type="dxa"/>
            </w:tcMar>
            <w:vAlign w:val="center"/>
          </w:tcPr>
          <w:p>
            <w:pPr>
              <w:jc w:val="center"/>
            </w:pPr>
            <w:r>
              <w:drawing>
                <wp:inline xmlns:a="http://schemas.openxmlformats.org/drawingml/2006/main" xmlns:pic="http://schemas.openxmlformats.org/drawingml/2006/picture">
                  <wp:extent cx="2103120" cy="2804160"/>
                  <wp:docPr id="10" name="Picture 10" descr="B&amp;R ACOPOSinverter P74 drive with CAN and Modbus VPOS interfaces"/>
                  <wp:cNvGraphicFramePr>
                    <a:graphicFrameLocks noChangeAspect="1"/>
                  </wp:cNvGraphicFramePr>
                  <a:graphic>
                    <a:graphicData uri="http://schemas.openxmlformats.org/drawingml/2006/picture">
                      <pic:pic>
                        <pic:nvPicPr>
                          <pic:cNvPr id="0" name="IMG_3408.jpeg"/>
                          <pic:cNvPicPr/>
                        </pic:nvPicPr>
                        <pic:blipFill>
                          <a:blip r:embed="rId20"/>
                          <a:stretch>
                            <a:fillRect/>
                          </a:stretch>
                        </pic:blipFill>
                        <pic:spPr>
                          <a:xfrm>
                            <a:off x="0" y="0"/>
                            <a:ext cx="2103120" cy="2804160"/>
                          </a:xfrm>
                          <a:prstGeom prst="rect"/>
                        </pic:spPr>
                      </pic:pic>
                    </a:graphicData>
                  </a:graphic>
                </wp:inline>
              </w:drawing>
            </w:r>
          </w:p>
        </w:tc>
      </w:tr>
      <w:tr>
        <w:tc>
          <w:tcPr>
            <w:tcW w:type="dxa" w:w="4680"/>
            <w:tcMar>
              <w:top w:w="80" w:type="dxa"/>
              <w:start w:w="120" w:type="dxa"/>
              <w:bottom w:w="80" w:type="dxa"/>
              <w:end w:w="120" w:type="dxa"/>
            </w:tcMar>
            <w:vAlign w:val="center"/>
          </w:tcPr>
          <w:p>
            <w:pPr>
              <w:jc w:val="center"/>
            </w:pPr>
            <w:r>
              <w:rPr>
                <w:color w:val="5B6573"/>
                <w:sz w:val="16"/>
              </w:rPr>
              <w:t>Figure 9. B&amp;R industrial computer/controller; exact order code requires a clearer image.</w:t>
            </w:r>
          </w:p>
        </w:tc>
        <w:tc>
          <w:tcPr>
            <w:tcW w:type="dxa" w:w="4680"/>
            <w:tcMar>
              <w:top w:w="80" w:type="dxa"/>
              <w:start w:w="120" w:type="dxa"/>
              <w:bottom w:w="80" w:type="dxa"/>
              <w:end w:w="120" w:type="dxa"/>
            </w:tcMar>
            <w:vAlign w:val="center"/>
          </w:tcPr>
          <w:p>
            <w:pPr>
              <w:jc w:val="center"/>
            </w:pPr>
            <w:r>
              <w:rPr>
                <w:color w:val="5B6573"/>
                <w:sz w:val="16"/>
              </w:rPr>
              <w:t>Figure 10. B&amp;R ACOPOSinverter P74 drive.</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20"/>
            </w:pPr>
            <w:r/>
            <w:r>
              <w:rPr>
                <w:b/>
                <w:color w:val="B07C12"/>
              </w:rPr>
              <w:t xml:space="preserve">VAC INTEGRATION CONCLUSION: </w:t>
            </w:r>
            <w:r>
              <w:t>Treat the B&amp;R controller/Panel PC as the primary integration candidate. Kiaan must confirm whether Variovac exposes an OEM-supported OPC UA, Modbus TCP, B&amp;R PVI or other read-only interface. The ACOPOS drive and safety circuits are not the primary FlowState connection points.</w:t>
            </w:r>
          </w:p>
        </w:tc>
      </w:tr>
    </w:tbl>
    <w:p>
      <w:pPr>
        <w:spacing w:after="0"/>
      </w:pPr>
    </w:p>
    <w:p>
      <w:pPr>
        <w:pStyle w:val="Heading2"/>
      </w:pPr>
      <w:r>
        <w:t>7.2 Recommended connectivity pattern</w:t>
      </w:r>
    </w:p>
    <w:p>
      <w:pPr>
        <w:spacing w:after="80" w:line="264" w:lineRule="auto"/>
        <w:numPr>
          <w:ilvl w:val="0"/>
          <w:numId w:val="10"/>
        </w:numPr>
      </w:pPr>
      <w:r>
        <w:t>Machine PLC/controller exposes approved read-only tags using its native industrial protocol.</w:t>
      </w:r>
    </w:p>
    <w:p>
      <w:pPr>
        <w:spacing w:after="80" w:line="264" w:lineRule="auto"/>
        <w:numPr>
          <w:ilvl w:val="0"/>
          <w:numId w:val="10"/>
        </w:numPr>
      </w:pPr>
      <w:r>
        <w:t>A protocol adapter or industrial edge gateway reads the machine on the local OT network.</w:t>
      </w:r>
    </w:p>
    <w:p>
      <w:pPr>
        <w:spacing w:after="80" w:line="264" w:lineRule="auto"/>
        <w:numPr>
          <w:ilvl w:val="0"/>
          <w:numId w:val="10"/>
        </w:numPr>
      </w:pPr>
      <w:r>
        <w:t>The gateway timestamps, normalizes and temporarily buffers data if the internet or application is unavailable.</w:t>
      </w:r>
    </w:p>
    <w:p>
      <w:pPr>
        <w:spacing w:after="80" w:line="264" w:lineRule="auto"/>
        <w:numPr>
          <w:ilvl w:val="0"/>
          <w:numId w:val="10"/>
        </w:numPr>
      </w:pPr>
      <w:r>
        <w:t>The gateway publishes events securely to the FlowState integration API or MQTT broker using outbound TLS.</w:t>
      </w:r>
    </w:p>
    <w:p>
      <w:pPr>
        <w:spacing w:after="80" w:line="264" w:lineRule="auto"/>
        <w:numPr>
          <w:ilvl w:val="0"/>
          <w:numId w:val="10"/>
        </w:numPr>
      </w:pPr>
      <w:r>
        <w:t>FlowState maps the machine event to tenant, plant, line, asset, production order, SKU, batch, shift and operator context.</w:t>
      </w:r>
    </w:p>
    <w:p>
      <w:pPr>
        <w:spacing w:after="80" w:line="264" w:lineRule="auto"/>
        <w:numPr>
          <w:ilvl w:val="0"/>
          <w:numId w:val="10"/>
        </w:numPr>
      </w:pPr>
      <w:r>
        <w:t>Validated events update live production, downtime, OEE, H/B, maintenance history and alerts.</w:t>
      </w:r>
    </w:p>
    <w:p>
      <w:pPr>
        <w:spacing w:after="80" w:line="264" w:lineRule="auto"/>
        <w:numPr>
          <w:ilvl w:val="0"/>
          <w:numId w:val="10"/>
        </w:numPr>
      </w:pPr>
      <w:r>
        <w:t>Operators classify unrecognized stops or correct context through an audited workflow; raw events remain unchanged.</w:t>
      </w:r>
    </w:p>
    <w:p>
      <w:pPr>
        <w:pStyle w:val="Heading2"/>
      </w:pPr>
      <w:r>
        <w:t>7.3 Supported connection methods</w:t>
      </w:r>
    </w:p>
    <w:tbl>
      <w:tblPr>
        <w:tblStyle w:val="TableGrid"/>
        <w:tblW w:type="dxa" w:w="9360"/>
        <w:jc w:val="left"/>
        <w:tblLayout w:type="fixed"/>
        <w:tblLook w:firstColumn="1" w:firstRow="1" w:lastColumn="0" w:lastRow="0" w:noHBand="0" w:noVBand="1" w:val="04A0"/>
        <w:tblInd w:w="120" w:type="dxa"/>
      </w:tblPr>
      <w:tblGrid>
        <w:gridCol w:w="1650"/>
        <w:gridCol w:w="4550"/>
        <w:gridCol w:w="3160"/>
      </w:tblGrid>
      <w:tr>
        <w:trPr>
          <w:tblHeader w:val="true"/>
        </w:trPr>
        <w:tc>
          <w:tcPr>
            <w:tcW w:type="dxa" w:w="1650"/>
            <w:shd w:fill="17365D"/>
            <w:tcMar>
              <w:top w:w="80" w:type="dxa"/>
              <w:start w:w="120" w:type="dxa"/>
              <w:bottom w:w="80" w:type="dxa"/>
              <w:end w:w="120" w:type="dxa"/>
            </w:tcMar>
            <w:vAlign w:val="center"/>
          </w:tcPr>
          <w:p>
            <w:r>
              <w:rPr>
                <w:b/>
                <w:color w:val="FFFFFF"/>
                <w:sz w:val="16"/>
              </w:rPr>
              <w:t>Method</w:t>
            </w:r>
          </w:p>
        </w:tc>
        <w:tc>
          <w:tcPr>
            <w:tcW w:type="dxa" w:w="4550"/>
            <w:shd w:fill="17365D"/>
            <w:tcMar>
              <w:top w:w="80" w:type="dxa"/>
              <w:start w:w="120" w:type="dxa"/>
              <w:bottom w:w="80" w:type="dxa"/>
              <w:end w:w="120" w:type="dxa"/>
            </w:tcMar>
            <w:vAlign w:val="center"/>
          </w:tcPr>
          <w:p>
            <w:r>
              <w:rPr>
                <w:b/>
                <w:color w:val="FFFFFF"/>
                <w:sz w:val="16"/>
              </w:rPr>
              <w:t>When to use</w:t>
            </w:r>
          </w:p>
        </w:tc>
        <w:tc>
          <w:tcPr>
            <w:tcW w:type="dxa" w:w="3160"/>
            <w:shd w:fill="17365D"/>
            <w:tcMar>
              <w:top w:w="80" w:type="dxa"/>
              <w:start w:w="120" w:type="dxa"/>
              <w:bottom w:w="80" w:type="dxa"/>
              <w:end w:w="120" w:type="dxa"/>
            </w:tcMar>
            <w:vAlign w:val="center"/>
          </w:tcPr>
          <w:p>
            <w:r>
              <w:rPr>
                <w:b/>
                <w:color w:val="FFFFFF"/>
                <w:sz w:val="16"/>
              </w:rPr>
              <w:t>Status for this machine</w:t>
            </w:r>
          </w:p>
        </w:tc>
      </w:tr>
      <w:tr>
        <w:trPr>
          <w:cantSplit w:val="true"/>
        </w:trPr>
        <w:tc>
          <w:tcPr>
            <w:tcW w:type="dxa" w:w="1650"/>
            <w:tcMar>
              <w:top w:w="80" w:type="dxa"/>
              <w:start w:w="120" w:type="dxa"/>
              <w:bottom w:w="80" w:type="dxa"/>
              <w:end w:w="120" w:type="dxa"/>
            </w:tcMar>
            <w:vAlign w:val="center"/>
          </w:tcPr>
          <w:p>
            <w:pPr>
              <w:spacing w:after="20" w:line="240" w:lineRule="auto"/>
            </w:pPr>
            <w:r>
              <w:rPr>
                <w:sz w:val="16"/>
              </w:rPr>
              <w:t>OPC UA</w:t>
            </w:r>
          </w:p>
        </w:tc>
        <w:tc>
          <w:tcPr>
            <w:tcW w:type="dxa" w:w="4550"/>
            <w:tcMar>
              <w:top w:w="80" w:type="dxa"/>
              <w:start w:w="120" w:type="dxa"/>
              <w:bottom w:w="80" w:type="dxa"/>
              <w:end w:w="120" w:type="dxa"/>
            </w:tcMar>
            <w:vAlign w:val="center"/>
          </w:tcPr>
          <w:p>
            <w:pPr>
              <w:spacing w:after="20" w:line="240" w:lineRule="auto"/>
            </w:pPr>
            <w:r>
              <w:rPr>
                <w:sz w:val="16"/>
              </w:rPr>
              <w:t>Preferred when PLC/HMI/OEM exposes a secure tag server.</w:t>
            </w:r>
          </w:p>
        </w:tc>
        <w:tc>
          <w:tcPr>
            <w:tcW w:type="dxa" w:w="3160"/>
            <w:tcMar>
              <w:top w:w="80" w:type="dxa"/>
              <w:start w:w="120" w:type="dxa"/>
              <w:bottom w:w="80" w:type="dxa"/>
              <w:end w:w="120" w:type="dxa"/>
            </w:tcMar>
            <w:vAlign w:val="center"/>
          </w:tcPr>
          <w:p>
            <w:pPr>
              <w:spacing w:after="20" w:line="240" w:lineRule="auto"/>
            </w:pPr>
            <w:r>
              <w:rPr>
                <w:sz w:val="16"/>
              </w:rPr>
              <w:t>To verify.</w:t>
            </w:r>
          </w:p>
        </w:tc>
      </w:tr>
      <w:tr>
        <w:trPr>
          <w:cantSplit w:val="true"/>
        </w:trPr>
        <w:tc>
          <w:tcPr>
            <w:tcW w:type="dxa" w:w="1650"/>
            <w:shd w:fill="F2F4F7"/>
            <w:tcMar>
              <w:top w:w="80" w:type="dxa"/>
              <w:start w:w="120" w:type="dxa"/>
              <w:bottom w:w="80" w:type="dxa"/>
              <w:end w:w="120" w:type="dxa"/>
            </w:tcMar>
            <w:vAlign w:val="center"/>
          </w:tcPr>
          <w:p>
            <w:pPr>
              <w:spacing w:after="20" w:line="240" w:lineRule="auto"/>
            </w:pPr>
            <w:r>
              <w:rPr>
                <w:sz w:val="16"/>
              </w:rPr>
              <w:t>EtherNet/IP</w:t>
            </w:r>
          </w:p>
        </w:tc>
        <w:tc>
          <w:tcPr>
            <w:tcW w:type="dxa" w:w="4550"/>
            <w:shd w:fill="F2F4F7"/>
            <w:tcMar>
              <w:top w:w="80" w:type="dxa"/>
              <w:start w:w="120" w:type="dxa"/>
              <w:bottom w:w="80" w:type="dxa"/>
              <w:end w:w="120" w:type="dxa"/>
            </w:tcMar>
            <w:vAlign w:val="center"/>
          </w:tcPr>
          <w:p>
            <w:pPr>
              <w:spacing w:after="20" w:line="240" w:lineRule="auto"/>
            </w:pPr>
            <w:r>
              <w:rPr>
                <w:sz w:val="16"/>
              </w:rPr>
              <w:t>Common for Rockwell-based controllers and gateways.</w:t>
            </w:r>
          </w:p>
        </w:tc>
        <w:tc>
          <w:tcPr>
            <w:tcW w:type="dxa" w:w="3160"/>
            <w:shd w:fill="F2F4F7"/>
            <w:tcMar>
              <w:top w:w="80" w:type="dxa"/>
              <w:start w:w="120" w:type="dxa"/>
              <w:bottom w:w="80" w:type="dxa"/>
              <w:end w:w="120" w:type="dxa"/>
            </w:tcMar>
            <w:vAlign w:val="center"/>
          </w:tcPr>
          <w:p>
            <w:pPr>
              <w:spacing w:after="20" w:line="240" w:lineRule="auto"/>
            </w:pPr>
            <w:r>
              <w:rPr>
                <w:sz w:val="16"/>
              </w:rPr>
              <w:t>To verify; Omron HMI does not prove Rockwell PLC.</w:t>
            </w:r>
          </w:p>
        </w:tc>
      </w:tr>
      <w:tr>
        <w:trPr>
          <w:cantSplit w:val="true"/>
        </w:trPr>
        <w:tc>
          <w:tcPr>
            <w:tcW w:type="dxa" w:w="1650"/>
            <w:tcMar>
              <w:top w:w="80" w:type="dxa"/>
              <w:start w:w="120" w:type="dxa"/>
              <w:bottom w:w="80" w:type="dxa"/>
              <w:end w:w="120" w:type="dxa"/>
            </w:tcMar>
            <w:vAlign w:val="center"/>
          </w:tcPr>
          <w:p>
            <w:pPr>
              <w:spacing w:after="20" w:line="240" w:lineRule="auto"/>
            </w:pPr>
            <w:r>
              <w:rPr>
                <w:sz w:val="16"/>
              </w:rPr>
              <w:t>FINS / EtherNet/IP / OPC UA</w:t>
            </w:r>
          </w:p>
        </w:tc>
        <w:tc>
          <w:tcPr>
            <w:tcW w:type="dxa" w:w="4550"/>
            <w:tcMar>
              <w:top w:w="80" w:type="dxa"/>
              <w:start w:w="120" w:type="dxa"/>
              <w:bottom w:w="80" w:type="dxa"/>
              <w:end w:w="120" w:type="dxa"/>
            </w:tcMar>
            <w:vAlign w:val="center"/>
          </w:tcPr>
          <w:p>
            <w:pPr>
              <w:spacing w:after="20" w:line="240" w:lineRule="auto"/>
            </w:pPr>
            <w:r>
              <w:rPr>
                <w:sz w:val="16"/>
              </w:rPr>
              <w:t>Possible for certain Omron controller families depending on exact model.</w:t>
            </w:r>
          </w:p>
        </w:tc>
        <w:tc>
          <w:tcPr>
            <w:tcW w:type="dxa" w:w="3160"/>
            <w:tcMar>
              <w:top w:w="80" w:type="dxa"/>
              <w:start w:w="120" w:type="dxa"/>
              <w:bottom w:w="80" w:type="dxa"/>
              <w:end w:w="120" w:type="dxa"/>
            </w:tcMar>
            <w:vAlign w:val="center"/>
          </w:tcPr>
          <w:p>
            <w:pPr>
              <w:spacing w:after="20" w:line="240" w:lineRule="auto"/>
            </w:pPr>
            <w:r>
              <w:rPr>
                <w:sz w:val="16"/>
              </w:rPr>
              <w:t>To verify after cabinet inspection.</w:t>
            </w:r>
          </w:p>
        </w:tc>
      </w:tr>
      <w:tr>
        <w:trPr>
          <w:cantSplit w:val="true"/>
        </w:trPr>
        <w:tc>
          <w:tcPr>
            <w:tcW w:type="dxa" w:w="1650"/>
            <w:shd w:fill="F2F4F7"/>
            <w:tcMar>
              <w:top w:w="80" w:type="dxa"/>
              <w:start w:w="120" w:type="dxa"/>
              <w:bottom w:w="80" w:type="dxa"/>
              <w:end w:w="120" w:type="dxa"/>
            </w:tcMar>
            <w:vAlign w:val="center"/>
          </w:tcPr>
          <w:p>
            <w:pPr>
              <w:spacing w:after="20" w:line="240" w:lineRule="auto"/>
            </w:pPr>
            <w:r>
              <w:rPr>
                <w:sz w:val="16"/>
              </w:rPr>
              <w:t>Modbus TCP</w:t>
            </w:r>
          </w:p>
        </w:tc>
        <w:tc>
          <w:tcPr>
            <w:tcW w:type="dxa" w:w="4550"/>
            <w:shd w:fill="F2F4F7"/>
            <w:tcMar>
              <w:top w:w="80" w:type="dxa"/>
              <w:start w:w="120" w:type="dxa"/>
              <w:bottom w:w="80" w:type="dxa"/>
              <w:end w:w="120" w:type="dxa"/>
            </w:tcMar>
            <w:vAlign w:val="center"/>
          </w:tcPr>
          <w:p>
            <w:pPr>
              <w:spacing w:after="20" w:line="240" w:lineRule="auto"/>
            </w:pPr>
            <w:r>
              <w:rPr>
                <w:sz w:val="16"/>
              </w:rPr>
              <w:t>Useful when supported by controller, meter or gateway.</w:t>
            </w:r>
          </w:p>
        </w:tc>
        <w:tc>
          <w:tcPr>
            <w:tcW w:type="dxa" w:w="3160"/>
            <w:shd w:fill="F2F4F7"/>
            <w:tcMar>
              <w:top w:w="80" w:type="dxa"/>
              <w:start w:w="120" w:type="dxa"/>
              <w:bottom w:w="80" w:type="dxa"/>
              <w:end w:w="120" w:type="dxa"/>
            </w:tcMar>
            <w:vAlign w:val="center"/>
          </w:tcPr>
          <w:p>
            <w:pPr>
              <w:spacing w:after="20" w:line="240" w:lineRule="auto"/>
            </w:pPr>
            <w:r>
              <w:rPr>
                <w:sz w:val="16"/>
              </w:rPr>
              <w:t>To verify.</w:t>
            </w:r>
          </w:p>
        </w:tc>
      </w:tr>
      <w:tr>
        <w:trPr>
          <w:cantSplit w:val="true"/>
        </w:trPr>
        <w:tc>
          <w:tcPr>
            <w:tcW w:type="dxa" w:w="1650"/>
            <w:tcMar>
              <w:top w:w="80" w:type="dxa"/>
              <w:start w:w="120" w:type="dxa"/>
              <w:bottom w:w="80" w:type="dxa"/>
              <w:end w:w="120" w:type="dxa"/>
            </w:tcMar>
            <w:vAlign w:val="center"/>
          </w:tcPr>
          <w:p>
            <w:pPr>
              <w:spacing w:after="20" w:line="240" w:lineRule="auto"/>
            </w:pPr>
            <w:r>
              <w:rPr>
                <w:sz w:val="16"/>
              </w:rPr>
              <w:t>MQTT</w:t>
            </w:r>
          </w:p>
        </w:tc>
        <w:tc>
          <w:tcPr>
            <w:tcW w:type="dxa" w:w="4550"/>
            <w:tcMar>
              <w:top w:w="80" w:type="dxa"/>
              <w:start w:w="120" w:type="dxa"/>
              <w:bottom w:w="80" w:type="dxa"/>
              <w:end w:w="120" w:type="dxa"/>
            </w:tcMar>
            <w:vAlign w:val="center"/>
          </w:tcPr>
          <w:p>
            <w:pPr>
              <w:spacing w:after="20" w:line="240" w:lineRule="auto"/>
            </w:pPr>
            <w:r>
              <w:rPr>
                <w:sz w:val="16"/>
              </w:rPr>
              <w:t>Recommended gateway-to-platform event transport; not usually the native machine protocol.</w:t>
            </w:r>
          </w:p>
        </w:tc>
        <w:tc>
          <w:tcPr>
            <w:tcW w:type="dxa" w:w="3160"/>
            <w:tcMar>
              <w:top w:w="80" w:type="dxa"/>
              <w:start w:w="120" w:type="dxa"/>
              <w:bottom w:w="80" w:type="dxa"/>
              <w:end w:w="120" w:type="dxa"/>
            </w:tcMar>
            <w:vAlign w:val="center"/>
          </w:tcPr>
          <w:p>
            <w:pPr>
              <w:spacing w:after="20" w:line="240" w:lineRule="auto"/>
            </w:pPr>
            <w:r>
              <w:rPr>
                <w:sz w:val="16"/>
              </w:rPr>
              <w:t>Proposed.</w:t>
            </w:r>
          </w:p>
        </w:tc>
      </w:tr>
      <w:tr>
        <w:trPr>
          <w:cantSplit w:val="true"/>
        </w:trPr>
        <w:tc>
          <w:tcPr>
            <w:tcW w:type="dxa" w:w="1650"/>
            <w:shd w:fill="F2F4F7"/>
            <w:tcMar>
              <w:top w:w="80" w:type="dxa"/>
              <w:start w:w="120" w:type="dxa"/>
              <w:bottom w:w="80" w:type="dxa"/>
              <w:end w:w="120" w:type="dxa"/>
            </w:tcMar>
            <w:vAlign w:val="center"/>
          </w:tcPr>
          <w:p>
            <w:pPr>
              <w:spacing w:after="20" w:line="240" w:lineRule="auto"/>
            </w:pPr>
            <w:r>
              <w:rPr>
                <w:sz w:val="16"/>
              </w:rPr>
              <w:t>REST / webhook</w:t>
            </w:r>
          </w:p>
        </w:tc>
        <w:tc>
          <w:tcPr>
            <w:tcW w:type="dxa" w:w="4550"/>
            <w:shd w:fill="F2F4F7"/>
            <w:tcMar>
              <w:top w:w="80" w:type="dxa"/>
              <w:start w:w="120" w:type="dxa"/>
              <w:bottom w:w="80" w:type="dxa"/>
              <w:end w:w="120" w:type="dxa"/>
            </w:tcMar>
            <w:vAlign w:val="center"/>
          </w:tcPr>
          <w:p>
            <w:pPr>
              <w:spacing w:after="20" w:line="240" w:lineRule="auto"/>
            </w:pPr>
            <w:r>
              <w:rPr>
                <w:sz w:val="16"/>
              </w:rPr>
              <w:t>For smart devices, middleware and software systems.</w:t>
            </w:r>
          </w:p>
        </w:tc>
        <w:tc>
          <w:tcPr>
            <w:tcW w:type="dxa" w:w="3160"/>
            <w:shd w:fill="F2F4F7"/>
            <w:tcMar>
              <w:top w:w="80" w:type="dxa"/>
              <w:start w:w="120" w:type="dxa"/>
              <w:bottom w:w="80" w:type="dxa"/>
              <w:end w:w="120" w:type="dxa"/>
            </w:tcMar>
            <w:vAlign w:val="center"/>
          </w:tcPr>
          <w:p>
            <w:pPr>
              <w:spacing w:after="20" w:line="240" w:lineRule="auto"/>
            </w:pPr>
            <w:r>
              <w:rPr>
                <w:sz w:val="16"/>
              </w:rPr>
              <w:t>Proposed where available.</w:t>
            </w:r>
          </w:p>
        </w:tc>
      </w:tr>
      <w:tr>
        <w:trPr>
          <w:cantSplit w:val="true"/>
        </w:trPr>
        <w:tc>
          <w:tcPr>
            <w:tcW w:type="dxa" w:w="1650"/>
            <w:tcMar>
              <w:top w:w="80" w:type="dxa"/>
              <w:start w:w="120" w:type="dxa"/>
              <w:bottom w:w="80" w:type="dxa"/>
              <w:end w:w="120" w:type="dxa"/>
            </w:tcMar>
            <w:vAlign w:val="center"/>
          </w:tcPr>
          <w:p>
            <w:pPr>
              <w:spacing w:after="20" w:line="240" w:lineRule="auto"/>
            </w:pPr>
            <w:r>
              <w:rPr>
                <w:sz w:val="16"/>
              </w:rPr>
              <w:t>Digital I/O / pulse counter</w:t>
            </w:r>
          </w:p>
        </w:tc>
        <w:tc>
          <w:tcPr>
            <w:tcW w:type="dxa" w:w="4550"/>
            <w:tcMar>
              <w:top w:w="80" w:type="dxa"/>
              <w:start w:w="120" w:type="dxa"/>
              <w:bottom w:w="80" w:type="dxa"/>
              <w:end w:w="120" w:type="dxa"/>
            </w:tcMar>
            <w:vAlign w:val="center"/>
          </w:tcPr>
          <w:p>
            <w:pPr>
              <w:spacing w:after="20" w:line="240" w:lineRule="auto"/>
            </w:pPr>
            <w:r>
              <w:rPr>
                <w:sz w:val="16"/>
              </w:rPr>
              <w:t>Fallback for run/stop/count when no accessible data protocol exists.</w:t>
            </w:r>
          </w:p>
        </w:tc>
        <w:tc>
          <w:tcPr>
            <w:tcW w:type="dxa" w:w="3160"/>
            <w:tcMar>
              <w:top w:w="80" w:type="dxa"/>
              <w:start w:w="120" w:type="dxa"/>
              <w:bottom w:w="80" w:type="dxa"/>
              <w:end w:w="120" w:type="dxa"/>
            </w:tcMar>
            <w:vAlign w:val="center"/>
          </w:tcPr>
          <w:p>
            <w:pPr>
              <w:spacing w:after="20" w:line="240" w:lineRule="auto"/>
            </w:pPr>
            <w:r>
              <w:rPr>
                <w:sz w:val="16"/>
              </w:rPr>
              <w:t>Optional fallback.</w:t>
            </w:r>
          </w:p>
        </w:tc>
      </w:tr>
      <w:tr>
        <w:trPr>
          <w:cantSplit w:val="true"/>
        </w:trPr>
        <w:tc>
          <w:tcPr>
            <w:tcW w:type="dxa" w:w="1650"/>
            <w:shd w:fill="F2F4F7"/>
            <w:tcMar>
              <w:top w:w="80" w:type="dxa"/>
              <w:start w:w="120" w:type="dxa"/>
              <w:bottom w:w="80" w:type="dxa"/>
              <w:end w:w="120" w:type="dxa"/>
            </w:tcMar>
            <w:vAlign w:val="center"/>
          </w:tcPr>
          <w:p>
            <w:pPr>
              <w:spacing w:after="20" w:line="240" w:lineRule="auto"/>
            </w:pPr>
            <w:r>
              <w:rPr>
                <w:sz w:val="16"/>
              </w:rPr>
              <w:t>Manual tablet entry</w:t>
            </w:r>
          </w:p>
        </w:tc>
        <w:tc>
          <w:tcPr>
            <w:tcW w:type="dxa" w:w="4550"/>
            <w:shd w:fill="F2F4F7"/>
            <w:tcMar>
              <w:top w:w="80" w:type="dxa"/>
              <w:start w:w="120" w:type="dxa"/>
              <w:bottom w:w="80" w:type="dxa"/>
              <w:end w:w="120" w:type="dxa"/>
            </w:tcMar>
            <w:vAlign w:val="center"/>
          </w:tcPr>
          <w:p>
            <w:pPr>
              <w:spacing w:after="20" w:line="240" w:lineRule="auto"/>
            </w:pPr>
            <w:r>
              <w:rPr>
                <w:sz w:val="16"/>
              </w:rPr>
              <w:t>Temporary fallback for reason codes, QA checks and machines not yet connected.</w:t>
            </w:r>
          </w:p>
        </w:tc>
        <w:tc>
          <w:tcPr>
            <w:tcW w:type="dxa" w:w="3160"/>
            <w:shd w:fill="F2F4F7"/>
            <w:tcMar>
              <w:top w:w="80" w:type="dxa"/>
              <w:start w:w="120" w:type="dxa"/>
              <w:bottom w:w="80" w:type="dxa"/>
              <w:end w:w="120" w:type="dxa"/>
            </w:tcMar>
            <w:vAlign w:val="center"/>
          </w:tcPr>
          <w:p>
            <w:pPr>
              <w:spacing w:after="20" w:line="240" w:lineRule="auto"/>
            </w:pPr>
            <w:r>
              <w:rPr>
                <w:sz w:val="16"/>
              </w:rPr>
              <w:t>Required from launch.</w:t>
            </w:r>
          </w:p>
        </w:tc>
      </w:tr>
    </w:tbl>
    <w:p>
      <w:pPr>
        <w:spacing w:after="40"/>
      </w:pPr>
    </w:p>
    <w:p>
      <w:r>
        <w:br w:type="page"/>
      </w:r>
    </w:p>
    <w:p>
      <w:pPr>
        <w:pStyle w:val="Heading1"/>
      </w:pPr>
      <w:r>
        <w:t>8. Hardware Assumptions and Required Components</w:t>
      </w:r>
    </w:p>
    <w:tbl>
      <w:tblPr>
        <w:tblStyle w:val="TableGrid"/>
        <w:tblW w:type="dxa" w:w="9360"/>
        <w:jc w:val="left"/>
        <w:tblLayout w:type="fixed"/>
        <w:tblLook w:firstColumn="1" w:firstRow="1" w:lastColumn="0" w:lastRow="0" w:noHBand="0" w:noVBand="1" w:val="04A0"/>
        <w:tblInd w:w="120" w:type="dxa"/>
      </w:tblPr>
      <w:tblGrid>
        <w:gridCol w:w="1750"/>
        <w:gridCol w:w="5010"/>
        <w:gridCol w:w="2600"/>
      </w:tblGrid>
      <w:tr>
        <w:trPr>
          <w:tblHeader w:val="true"/>
        </w:trPr>
        <w:tc>
          <w:tcPr>
            <w:tcW w:type="dxa" w:w="1750"/>
            <w:shd w:fill="17365D"/>
            <w:tcMar>
              <w:top w:w="80" w:type="dxa"/>
              <w:start w:w="120" w:type="dxa"/>
              <w:bottom w:w="80" w:type="dxa"/>
              <w:end w:w="120" w:type="dxa"/>
            </w:tcMar>
            <w:vAlign w:val="center"/>
          </w:tcPr>
          <w:p>
            <w:r>
              <w:rPr>
                <w:b/>
                <w:color w:val="FFFFFF"/>
                <w:sz w:val="15"/>
              </w:rPr>
              <w:t>Component</w:t>
            </w:r>
          </w:p>
        </w:tc>
        <w:tc>
          <w:tcPr>
            <w:tcW w:type="dxa" w:w="5010"/>
            <w:shd w:fill="17365D"/>
            <w:tcMar>
              <w:top w:w="80" w:type="dxa"/>
              <w:start w:w="120" w:type="dxa"/>
              <w:bottom w:w="80" w:type="dxa"/>
              <w:end w:w="120" w:type="dxa"/>
            </w:tcMar>
            <w:vAlign w:val="center"/>
          </w:tcPr>
          <w:p>
            <w:r>
              <w:rPr>
                <w:b/>
                <w:color w:val="FFFFFF"/>
                <w:sz w:val="15"/>
              </w:rPr>
              <w:t>Working assumption</w:t>
            </w:r>
          </w:p>
        </w:tc>
        <w:tc>
          <w:tcPr>
            <w:tcW w:type="dxa" w:w="2600"/>
            <w:shd w:fill="17365D"/>
            <w:tcMar>
              <w:top w:w="80" w:type="dxa"/>
              <w:start w:w="120" w:type="dxa"/>
              <w:bottom w:w="80" w:type="dxa"/>
              <w:end w:w="120" w:type="dxa"/>
            </w:tcMar>
            <w:vAlign w:val="center"/>
          </w:tcPr>
          <w:p>
            <w:r>
              <w:rPr>
                <w:b/>
                <w:color w:val="FFFFFF"/>
                <w:sz w:val="15"/>
              </w:rPr>
              <w:t>Final decision owner</w:t>
            </w:r>
          </w:p>
        </w:tc>
      </w:tr>
      <w:tr>
        <w:trPr>
          <w:cantSplit w:val="true"/>
        </w:trPr>
        <w:tc>
          <w:tcPr>
            <w:tcW w:type="dxa" w:w="1750"/>
            <w:tcMar>
              <w:top w:w="80" w:type="dxa"/>
              <w:start w:w="120" w:type="dxa"/>
              <w:bottom w:w="80" w:type="dxa"/>
              <w:end w:w="120" w:type="dxa"/>
            </w:tcMar>
            <w:vAlign w:val="center"/>
          </w:tcPr>
          <w:p>
            <w:pPr>
              <w:spacing w:after="20" w:line="240" w:lineRule="auto"/>
            </w:pPr>
            <w:r>
              <w:rPr>
                <w:sz w:val="15"/>
              </w:rPr>
              <w:t>Operator devices</w:t>
            </w:r>
          </w:p>
        </w:tc>
        <w:tc>
          <w:tcPr>
            <w:tcW w:type="dxa" w:w="5010"/>
            <w:tcMar>
              <w:top w:w="80" w:type="dxa"/>
              <w:start w:w="120" w:type="dxa"/>
              <w:bottom w:w="80" w:type="dxa"/>
              <w:end w:w="120" w:type="dxa"/>
            </w:tcMar>
            <w:vAlign w:val="center"/>
          </w:tcPr>
          <w:p>
            <w:pPr>
              <w:spacing w:after="20" w:line="240" w:lineRule="auto"/>
            </w:pPr>
            <w:r>
              <w:rPr>
                <w:sz w:val="15"/>
              </w:rPr>
              <w:t>Industrial tablets or existing PCs on production/packaging areas, protected for washdown conditions where required.</w:t>
            </w:r>
          </w:p>
        </w:tc>
        <w:tc>
          <w:tcPr>
            <w:tcW w:type="dxa" w:w="2600"/>
            <w:tcMar>
              <w:top w:w="80" w:type="dxa"/>
              <w:start w:w="120" w:type="dxa"/>
              <w:bottom w:w="80" w:type="dxa"/>
              <w:end w:w="120" w:type="dxa"/>
            </w:tcMar>
            <w:vAlign w:val="center"/>
          </w:tcPr>
          <w:p>
            <w:pPr>
              <w:spacing w:after="20" w:line="240" w:lineRule="auto"/>
            </w:pPr>
            <w:r>
              <w:rPr>
                <w:sz w:val="15"/>
              </w:rPr>
              <w:t>FlowState / plant IT</w:t>
            </w:r>
          </w:p>
        </w:tc>
      </w:tr>
      <w:tr>
        <w:trPr>
          <w:cantSplit w:val="true"/>
        </w:trPr>
        <w:tc>
          <w:tcPr>
            <w:tcW w:type="dxa" w:w="1750"/>
            <w:shd w:fill="F2F4F7"/>
            <w:tcMar>
              <w:top w:w="80" w:type="dxa"/>
              <w:start w:w="120" w:type="dxa"/>
              <w:bottom w:w="80" w:type="dxa"/>
              <w:end w:w="120" w:type="dxa"/>
            </w:tcMar>
            <w:vAlign w:val="center"/>
          </w:tcPr>
          <w:p>
            <w:pPr>
              <w:spacing w:after="20" w:line="240" w:lineRule="auto"/>
            </w:pPr>
            <w:r>
              <w:rPr>
                <w:sz w:val="15"/>
              </w:rPr>
              <w:t>Barcode scanning</w:t>
            </w:r>
          </w:p>
        </w:tc>
        <w:tc>
          <w:tcPr>
            <w:tcW w:type="dxa" w:w="5010"/>
            <w:shd w:fill="F2F4F7"/>
            <w:tcMar>
              <w:top w:w="80" w:type="dxa"/>
              <w:start w:w="120" w:type="dxa"/>
              <w:bottom w:w="80" w:type="dxa"/>
              <w:end w:w="120" w:type="dxa"/>
            </w:tcMar>
            <w:vAlign w:val="center"/>
          </w:tcPr>
          <w:p>
            <w:pPr>
              <w:spacing w:after="20" w:line="240" w:lineRule="auto"/>
            </w:pPr>
            <w:r>
              <w:rPr>
                <w:sz w:val="15"/>
              </w:rPr>
              <w:t>USB/Bluetooth/mobile-camera scanners for lots, materials, pallets and jobs; industrial scanners where reliability requires.</w:t>
            </w:r>
          </w:p>
        </w:tc>
        <w:tc>
          <w:tcPr>
            <w:tcW w:type="dxa" w:w="2600"/>
            <w:shd w:fill="F2F4F7"/>
            <w:tcMar>
              <w:top w:w="80" w:type="dxa"/>
              <w:start w:w="120" w:type="dxa"/>
              <w:bottom w:w="80" w:type="dxa"/>
              <w:end w:w="120" w:type="dxa"/>
            </w:tcMar>
            <w:vAlign w:val="center"/>
          </w:tcPr>
          <w:p>
            <w:pPr>
              <w:spacing w:after="20" w:line="240" w:lineRule="auto"/>
            </w:pPr>
            <w:r>
              <w:rPr>
                <w:sz w:val="15"/>
              </w:rPr>
              <w:t>Plant operations + Kiaan</w:t>
            </w:r>
          </w:p>
        </w:tc>
      </w:tr>
      <w:tr>
        <w:trPr>
          <w:cantSplit w:val="true"/>
        </w:trPr>
        <w:tc>
          <w:tcPr>
            <w:tcW w:type="dxa" w:w="1750"/>
            <w:tcMar>
              <w:top w:w="80" w:type="dxa"/>
              <w:start w:w="120" w:type="dxa"/>
              <w:bottom w:w="80" w:type="dxa"/>
              <w:end w:w="120" w:type="dxa"/>
            </w:tcMar>
            <w:vAlign w:val="center"/>
          </w:tcPr>
          <w:p>
            <w:pPr>
              <w:spacing w:after="20" w:line="240" w:lineRule="auto"/>
            </w:pPr>
            <w:r>
              <w:rPr>
                <w:sz w:val="15"/>
              </w:rPr>
              <w:t>Machine gateway</w:t>
            </w:r>
          </w:p>
        </w:tc>
        <w:tc>
          <w:tcPr>
            <w:tcW w:type="dxa" w:w="5010"/>
            <w:tcMar>
              <w:top w:w="80" w:type="dxa"/>
              <w:start w:w="120" w:type="dxa"/>
              <w:bottom w:w="80" w:type="dxa"/>
              <w:end w:w="120" w:type="dxa"/>
            </w:tcMar>
            <w:vAlign w:val="center"/>
          </w:tcPr>
          <w:p>
            <w:pPr>
              <w:spacing w:after="20" w:line="240" w:lineRule="auto"/>
            </w:pPr>
            <w:r>
              <w:rPr>
                <w:sz w:val="15"/>
              </w:rPr>
              <w:t>Assess the installed TN-630-W4 / TQN6-211EW4-00 device first. Reuse only if its ownership, configuration, supported protocols, security, buffering and maintainability satisfy the project requirements. Otherwise propose an approved industrial edge gateway.</w:t>
            </w:r>
          </w:p>
        </w:tc>
        <w:tc>
          <w:tcPr>
            <w:tcW w:type="dxa" w:w="2600"/>
            <w:tcMar>
              <w:top w:w="80" w:type="dxa"/>
              <w:start w:w="120" w:type="dxa"/>
              <w:bottom w:w="80" w:type="dxa"/>
              <w:end w:w="120" w:type="dxa"/>
            </w:tcMar>
            <w:vAlign w:val="center"/>
          </w:tcPr>
          <w:p>
            <w:pPr>
              <w:spacing w:after="20" w:line="240" w:lineRule="auto"/>
            </w:pPr>
            <w:r>
              <w:rPr>
                <w:sz w:val="15"/>
              </w:rPr>
              <w:t>Kiaan proposal + plant IT/OEM approval</w:t>
            </w:r>
          </w:p>
        </w:tc>
      </w:tr>
      <w:tr>
        <w:trPr>
          <w:cantSplit w:val="true"/>
        </w:trPr>
        <w:tc>
          <w:tcPr>
            <w:tcW w:type="dxa" w:w="1750"/>
            <w:shd w:fill="F2F4F7"/>
            <w:tcMar>
              <w:top w:w="80" w:type="dxa"/>
              <w:start w:w="120" w:type="dxa"/>
              <w:bottom w:w="80" w:type="dxa"/>
              <w:end w:w="120" w:type="dxa"/>
            </w:tcMar>
            <w:vAlign w:val="center"/>
          </w:tcPr>
          <w:p>
            <w:pPr>
              <w:spacing w:after="20" w:line="240" w:lineRule="auto"/>
            </w:pPr>
            <w:r>
              <w:rPr>
                <w:sz w:val="15"/>
              </w:rPr>
              <w:t>Network</w:t>
            </w:r>
          </w:p>
        </w:tc>
        <w:tc>
          <w:tcPr>
            <w:tcW w:type="dxa" w:w="5010"/>
            <w:shd w:fill="F2F4F7"/>
            <w:tcMar>
              <w:top w:w="80" w:type="dxa"/>
              <w:start w:w="120" w:type="dxa"/>
              <w:bottom w:w="80" w:type="dxa"/>
              <w:end w:w="120" w:type="dxa"/>
            </w:tcMar>
            <w:vAlign w:val="center"/>
          </w:tcPr>
          <w:p>
            <w:pPr>
              <w:spacing w:after="20" w:line="240" w:lineRule="auto"/>
            </w:pPr>
            <w:r>
              <w:rPr>
                <w:sz w:val="15"/>
              </w:rPr>
              <w:t>Managed industrial Ethernet switch, segmented OT VLAN, firewall rules and no inbound public exposure.</w:t>
            </w:r>
          </w:p>
        </w:tc>
        <w:tc>
          <w:tcPr>
            <w:tcW w:type="dxa" w:w="2600"/>
            <w:shd w:fill="F2F4F7"/>
            <w:tcMar>
              <w:top w:w="80" w:type="dxa"/>
              <w:start w:w="120" w:type="dxa"/>
              <w:bottom w:w="80" w:type="dxa"/>
              <w:end w:w="120" w:type="dxa"/>
            </w:tcMar>
            <w:vAlign w:val="center"/>
          </w:tcPr>
          <w:p>
            <w:pPr>
              <w:spacing w:after="20" w:line="240" w:lineRule="auto"/>
            </w:pPr>
            <w:r>
              <w:rPr>
                <w:sz w:val="15"/>
              </w:rPr>
              <w:t>Plant IT / controls contractor</w:t>
            </w:r>
          </w:p>
        </w:tc>
      </w:tr>
      <w:tr>
        <w:trPr>
          <w:cantSplit w:val="true"/>
        </w:trPr>
        <w:tc>
          <w:tcPr>
            <w:tcW w:type="dxa" w:w="1750"/>
            <w:tcMar>
              <w:top w:w="80" w:type="dxa"/>
              <w:start w:w="120" w:type="dxa"/>
              <w:bottom w:w="80" w:type="dxa"/>
              <w:end w:w="120" w:type="dxa"/>
            </w:tcMar>
            <w:vAlign w:val="center"/>
          </w:tcPr>
          <w:p>
            <w:pPr>
              <w:spacing w:after="20" w:line="240" w:lineRule="auto"/>
            </w:pPr>
            <w:r>
              <w:rPr>
                <w:sz w:val="15"/>
              </w:rPr>
              <w:t>Time</w:t>
            </w:r>
          </w:p>
        </w:tc>
        <w:tc>
          <w:tcPr>
            <w:tcW w:type="dxa" w:w="5010"/>
            <w:tcMar>
              <w:top w:w="80" w:type="dxa"/>
              <w:start w:w="120" w:type="dxa"/>
              <w:bottom w:w="80" w:type="dxa"/>
              <w:end w:w="120" w:type="dxa"/>
            </w:tcMar>
            <w:vAlign w:val="center"/>
          </w:tcPr>
          <w:p>
            <w:pPr>
              <w:spacing w:after="20" w:line="240" w:lineRule="auto"/>
            </w:pPr>
            <w:r>
              <w:rPr>
                <w:sz w:val="15"/>
              </w:rPr>
              <w:t>All application, gateway and controller clocks synchronized to an approved NTP source.</w:t>
            </w:r>
          </w:p>
        </w:tc>
        <w:tc>
          <w:tcPr>
            <w:tcW w:type="dxa" w:w="2600"/>
            <w:tcMar>
              <w:top w:w="80" w:type="dxa"/>
              <w:start w:w="120" w:type="dxa"/>
              <w:bottom w:w="80" w:type="dxa"/>
              <w:end w:w="120" w:type="dxa"/>
            </w:tcMar>
            <w:vAlign w:val="center"/>
          </w:tcPr>
          <w:p>
            <w:pPr>
              <w:spacing w:after="20" w:line="240" w:lineRule="auto"/>
            </w:pPr>
            <w:r>
              <w:rPr>
                <w:sz w:val="15"/>
              </w:rPr>
              <w:t>Plant IT</w:t>
            </w:r>
          </w:p>
        </w:tc>
      </w:tr>
      <w:tr>
        <w:trPr>
          <w:cantSplit w:val="true"/>
        </w:trPr>
        <w:tc>
          <w:tcPr>
            <w:tcW w:type="dxa" w:w="1750"/>
            <w:shd w:fill="F2F4F7"/>
            <w:tcMar>
              <w:top w:w="80" w:type="dxa"/>
              <w:start w:w="120" w:type="dxa"/>
              <w:bottom w:w="80" w:type="dxa"/>
              <w:end w:w="120" w:type="dxa"/>
            </w:tcMar>
            <w:vAlign w:val="center"/>
          </w:tcPr>
          <w:p>
            <w:pPr>
              <w:spacing w:after="20" w:line="240" w:lineRule="auto"/>
            </w:pPr>
            <w:r>
              <w:rPr>
                <w:sz w:val="15"/>
              </w:rPr>
              <w:t>Sensors / counters</w:t>
            </w:r>
          </w:p>
        </w:tc>
        <w:tc>
          <w:tcPr>
            <w:tcW w:type="dxa" w:w="5010"/>
            <w:shd w:fill="F2F4F7"/>
            <w:tcMar>
              <w:top w:w="80" w:type="dxa"/>
              <w:start w:w="120" w:type="dxa"/>
              <w:bottom w:w="80" w:type="dxa"/>
              <w:end w:w="120" w:type="dxa"/>
            </w:tcMar>
            <w:vAlign w:val="center"/>
          </w:tcPr>
          <w:p>
            <w:pPr>
              <w:spacing w:after="20" w:line="240" w:lineRule="auto"/>
            </w:pPr>
            <w:r>
              <w:rPr>
                <w:sz w:val="15"/>
              </w:rPr>
              <w:t>Use existing controller tags first; add isolated sensors, current switches or counters only where tags are unavailable.</w:t>
            </w:r>
          </w:p>
        </w:tc>
        <w:tc>
          <w:tcPr>
            <w:tcW w:type="dxa" w:w="2600"/>
            <w:shd w:fill="F2F4F7"/>
            <w:tcMar>
              <w:top w:w="80" w:type="dxa"/>
              <w:start w:w="120" w:type="dxa"/>
              <w:bottom w:w="80" w:type="dxa"/>
              <w:end w:w="120" w:type="dxa"/>
            </w:tcMar>
            <w:vAlign w:val="center"/>
          </w:tcPr>
          <w:p>
            <w:pPr>
              <w:spacing w:after="20" w:line="240" w:lineRule="auto"/>
            </w:pPr>
            <w:r>
              <w:rPr>
                <w:sz w:val="15"/>
              </w:rPr>
              <w:t>Controls contractor + OEM</w:t>
            </w:r>
          </w:p>
        </w:tc>
      </w:tr>
      <w:tr>
        <w:trPr>
          <w:cantSplit w:val="true"/>
        </w:trPr>
        <w:tc>
          <w:tcPr>
            <w:tcW w:type="dxa" w:w="1750"/>
            <w:tcMar>
              <w:top w:w="80" w:type="dxa"/>
              <w:start w:w="120" w:type="dxa"/>
              <w:bottom w:w="80" w:type="dxa"/>
              <w:end w:w="120" w:type="dxa"/>
            </w:tcMar>
            <w:vAlign w:val="center"/>
          </w:tcPr>
          <w:p>
            <w:pPr>
              <w:spacing w:after="20" w:line="240" w:lineRule="auto"/>
            </w:pPr>
            <w:r>
              <w:rPr>
                <w:sz w:val="15"/>
              </w:rPr>
              <w:t>Printers / labels</w:t>
            </w:r>
          </w:p>
        </w:tc>
        <w:tc>
          <w:tcPr>
            <w:tcW w:type="dxa" w:w="5010"/>
            <w:tcMar>
              <w:top w:w="80" w:type="dxa"/>
              <w:start w:w="120" w:type="dxa"/>
              <w:bottom w:w="80" w:type="dxa"/>
              <w:end w:w="120" w:type="dxa"/>
            </w:tcMar>
            <w:vAlign w:val="center"/>
          </w:tcPr>
          <w:p>
            <w:pPr>
              <w:spacing w:after="20" w:line="240" w:lineRule="auto"/>
            </w:pPr>
            <w:r>
              <w:rPr>
                <w:sz w:val="15"/>
              </w:rPr>
              <w:t>Network or USB printers integrated through approved print service where required.</w:t>
            </w:r>
          </w:p>
        </w:tc>
        <w:tc>
          <w:tcPr>
            <w:tcW w:type="dxa" w:w="2600"/>
            <w:tcMar>
              <w:top w:w="80" w:type="dxa"/>
              <w:start w:w="120" w:type="dxa"/>
              <w:bottom w:w="80" w:type="dxa"/>
              <w:end w:w="120" w:type="dxa"/>
            </w:tcMar>
            <w:vAlign w:val="center"/>
          </w:tcPr>
          <w:p>
            <w:pPr>
              <w:spacing w:after="20" w:line="240" w:lineRule="auto"/>
            </w:pPr>
            <w:r>
              <w:rPr>
                <w:sz w:val="15"/>
              </w:rPr>
              <w:t>Warehouse/packaging + Kiaan</w:t>
            </w:r>
          </w:p>
        </w:tc>
      </w:tr>
      <w:tr>
        <w:trPr>
          <w:cantSplit w:val="true"/>
        </w:trPr>
        <w:tc>
          <w:tcPr>
            <w:tcW w:type="dxa" w:w="1750"/>
            <w:shd w:fill="F2F4F7"/>
            <w:tcMar>
              <w:top w:w="80" w:type="dxa"/>
              <w:start w:w="120" w:type="dxa"/>
              <w:bottom w:w="80" w:type="dxa"/>
              <w:end w:w="120" w:type="dxa"/>
            </w:tcMar>
            <w:vAlign w:val="center"/>
          </w:tcPr>
          <w:p>
            <w:pPr>
              <w:spacing w:after="20" w:line="240" w:lineRule="auto"/>
            </w:pPr>
            <w:r>
              <w:rPr>
                <w:sz w:val="15"/>
              </w:rPr>
              <w:t>Quality instruments</w:t>
            </w:r>
          </w:p>
        </w:tc>
        <w:tc>
          <w:tcPr>
            <w:tcW w:type="dxa" w:w="5010"/>
            <w:shd w:fill="F2F4F7"/>
            <w:tcMar>
              <w:top w:w="80" w:type="dxa"/>
              <w:start w:w="120" w:type="dxa"/>
              <w:bottom w:w="80" w:type="dxa"/>
              <w:end w:w="120" w:type="dxa"/>
            </w:tcMar>
            <w:vAlign w:val="center"/>
          </w:tcPr>
          <w:p>
            <w:pPr>
              <w:spacing w:after="20" w:line="240" w:lineRule="auto"/>
            </w:pPr>
            <w:r>
              <w:rPr>
                <w:sz w:val="15"/>
              </w:rPr>
              <w:t>Manual/API/CSV integration depending on meter capabilities and vendor support.</w:t>
            </w:r>
          </w:p>
        </w:tc>
        <w:tc>
          <w:tcPr>
            <w:tcW w:type="dxa" w:w="2600"/>
            <w:shd w:fill="F2F4F7"/>
            <w:tcMar>
              <w:top w:w="80" w:type="dxa"/>
              <w:start w:w="120" w:type="dxa"/>
              <w:bottom w:w="80" w:type="dxa"/>
              <w:end w:w="120" w:type="dxa"/>
            </w:tcMar>
            <w:vAlign w:val="center"/>
          </w:tcPr>
          <w:p>
            <w:pPr>
              <w:spacing w:after="20" w:line="240" w:lineRule="auto"/>
            </w:pPr>
            <w:r>
              <w:rPr>
                <w:sz w:val="15"/>
              </w:rPr>
              <w:t>QA + Kiaan</w:t>
            </w:r>
          </w:p>
        </w:tc>
      </w:tr>
      <w:tr>
        <w:trPr>
          <w:cantSplit w:val="true"/>
        </w:trPr>
        <w:tc>
          <w:tcPr>
            <w:tcW w:type="dxa" w:w="1750"/>
            <w:tcMar>
              <w:top w:w="80" w:type="dxa"/>
              <w:start w:w="120" w:type="dxa"/>
              <w:bottom w:w="80" w:type="dxa"/>
              <w:end w:w="120" w:type="dxa"/>
            </w:tcMar>
            <w:vAlign w:val="center"/>
          </w:tcPr>
          <w:p>
            <w:pPr>
              <w:spacing w:after="20" w:line="240" w:lineRule="auto"/>
            </w:pPr>
            <w:r>
              <w:rPr>
                <w:sz w:val="15"/>
              </w:rPr>
              <w:t>Hosting</w:t>
            </w:r>
          </w:p>
        </w:tc>
        <w:tc>
          <w:tcPr>
            <w:tcW w:type="dxa" w:w="5010"/>
            <w:tcMar>
              <w:top w:w="80" w:type="dxa"/>
              <w:start w:w="120" w:type="dxa"/>
              <w:bottom w:w="80" w:type="dxa"/>
              <w:end w:w="120" w:type="dxa"/>
            </w:tcMar>
            <w:vAlign w:val="center"/>
          </w:tcPr>
          <w:p>
            <w:pPr>
              <w:spacing w:after="20" w:line="240" w:lineRule="auto"/>
            </w:pPr>
            <w:r>
              <w:rPr>
                <w:sz w:val="15"/>
              </w:rPr>
              <w:t>Cloud-hosted application with secure outbound machine gateway; exact region, provider and residency to be proposed.</w:t>
            </w:r>
          </w:p>
        </w:tc>
        <w:tc>
          <w:tcPr>
            <w:tcW w:type="dxa" w:w="2600"/>
            <w:tcMar>
              <w:top w:w="80" w:type="dxa"/>
              <w:start w:w="120" w:type="dxa"/>
              <w:bottom w:w="80" w:type="dxa"/>
              <w:end w:w="120" w:type="dxa"/>
            </w:tcMar>
            <w:vAlign w:val="center"/>
          </w:tcPr>
          <w:p>
            <w:pPr>
              <w:spacing w:after="20" w:line="240" w:lineRule="auto"/>
            </w:pPr>
            <w:r>
              <w:rPr>
                <w:sz w:val="15"/>
              </w:rPr>
              <w:t>Kiaan + owner approval</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20"/>
            </w:pPr>
            <w:r/>
            <w:r>
              <w:rPr>
                <w:b/>
                <w:color w:val="9B1C1C"/>
              </w:rPr>
              <w:t xml:space="preserve">SAFETY BOUNDARY: </w:t>
            </w:r>
            <w:r>
              <w:t>Phase 1 machine integration is monitoring and data collection. Remote machine start/stop, recipe download, setpoint changes or safety-function interaction are excluded unless separately engineered, risk-assessed, tested and approved by the machine OEM and qualified controls personnel.</w:t>
            </w:r>
          </w:p>
        </w:tc>
      </w:tr>
    </w:tbl>
    <w:p>
      <w:pPr>
        <w:spacing w:after="0"/>
      </w:pPr>
    </w:p>
    <w:p>
      <w:pPr>
        <w:pStyle w:val="Heading1"/>
      </w:pPr>
      <w:r>
        <w:t>9. Machine Data Tags - Minimum Target</w:t>
      </w:r>
    </w:p>
    <w:tbl>
      <w:tblPr>
        <w:tblStyle w:val="TableGrid"/>
        <w:tblW w:type="dxa" w:w="9360"/>
        <w:jc w:val="left"/>
        <w:tblLayout w:type="fixed"/>
        <w:tblLook w:firstColumn="1" w:firstRow="1" w:lastColumn="0" w:lastRow="0" w:noHBand="0" w:noVBand="1" w:val="04A0"/>
        <w:tblInd w:w="120" w:type="dxa"/>
      </w:tblPr>
      <w:tblGrid>
        <w:gridCol w:w="1550"/>
        <w:gridCol w:w="4250"/>
        <w:gridCol w:w="3560"/>
      </w:tblGrid>
      <w:tr>
        <w:trPr>
          <w:tblHeader w:val="true"/>
        </w:trPr>
        <w:tc>
          <w:tcPr>
            <w:tcW w:type="dxa" w:w="1550"/>
            <w:shd w:fill="17365D"/>
            <w:tcMar>
              <w:top w:w="80" w:type="dxa"/>
              <w:start w:w="120" w:type="dxa"/>
              <w:bottom w:w="80" w:type="dxa"/>
              <w:end w:w="120" w:type="dxa"/>
            </w:tcMar>
            <w:vAlign w:val="center"/>
          </w:tcPr>
          <w:p>
            <w:r>
              <w:rPr>
                <w:b/>
                <w:color w:val="FFFFFF"/>
                <w:sz w:val="15"/>
              </w:rPr>
              <w:t>Tag group</w:t>
            </w:r>
          </w:p>
        </w:tc>
        <w:tc>
          <w:tcPr>
            <w:tcW w:type="dxa" w:w="4250"/>
            <w:shd w:fill="17365D"/>
            <w:tcMar>
              <w:top w:w="80" w:type="dxa"/>
              <w:start w:w="120" w:type="dxa"/>
              <w:bottom w:w="80" w:type="dxa"/>
              <w:end w:w="120" w:type="dxa"/>
            </w:tcMar>
            <w:vAlign w:val="center"/>
          </w:tcPr>
          <w:p>
            <w:r>
              <w:rPr>
                <w:b/>
                <w:color w:val="FFFFFF"/>
                <w:sz w:val="15"/>
              </w:rPr>
              <w:t>Examples</w:t>
            </w:r>
          </w:p>
        </w:tc>
        <w:tc>
          <w:tcPr>
            <w:tcW w:type="dxa" w:w="3560"/>
            <w:shd w:fill="17365D"/>
            <w:tcMar>
              <w:top w:w="80" w:type="dxa"/>
              <w:start w:w="120" w:type="dxa"/>
              <w:bottom w:w="80" w:type="dxa"/>
              <w:end w:w="120" w:type="dxa"/>
            </w:tcMar>
            <w:vAlign w:val="center"/>
          </w:tcPr>
          <w:p>
            <w:r>
              <w:rPr>
                <w:b/>
                <w:color w:val="FFFFFF"/>
                <w:sz w:val="15"/>
              </w:rPr>
              <w:t>Use in FlowState</w:t>
            </w:r>
          </w:p>
        </w:tc>
      </w:tr>
      <w:tr>
        <w:trPr>
          <w:cantSplit w:val="true"/>
        </w:trPr>
        <w:tc>
          <w:tcPr>
            <w:tcW w:type="dxa" w:w="1550"/>
            <w:tcMar>
              <w:top w:w="80" w:type="dxa"/>
              <w:start w:w="120" w:type="dxa"/>
              <w:bottom w:w="80" w:type="dxa"/>
              <w:end w:w="120" w:type="dxa"/>
            </w:tcMar>
            <w:vAlign w:val="center"/>
          </w:tcPr>
          <w:p>
            <w:pPr>
              <w:spacing w:after="20" w:line="240" w:lineRule="auto"/>
            </w:pPr>
            <w:r>
              <w:rPr>
                <w:sz w:val="15"/>
              </w:rPr>
              <w:t>State</w:t>
            </w:r>
          </w:p>
        </w:tc>
        <w:tc>
          <w:tcPr>
            <w:tcW w:type="dxa" w:w="4250"/>
            <w:tcMar>
              <w:top w:w="80" w:type="dxa"/>
              <w:start w:w="120" w:type="dxa"/>
              <w:bottom w:w="80" w:type="dxa"/>
              <w:end w:w="120" w:type="dxa"/>
            </w:tcMar>
            <w:vAlign w:val="center"/>
          </w:tcPr>
          <w:p>
            <w:pPr>
              <w:spacing w:after="20" w:line="240" w:lineRule="auto"/>
            </w:pPr>
            <w:r>
              <w:rPr>
                <w:sz w:val="15"/>
              </w:rPr>
              <w:t>Power, auto/manual, running, idle, stopped, faulted, E-stop, changeover</w:t>
            </w:r>
          </w:p>
        </w:tc>
        <w:tc>
          <w:tcPr>
            <w:tcW w:type="dxa" w:w="3560"/>
            <w:tcMar>
              <w:top w:w="80" w:type="dxa"/>
              <w:start w:w="120" w:type="dxa"/>
              <w:bottom w:w="80" w:type="dxa"/>
              <w:end w:w="120" w:type="dxa"/>
            </w:tcMar>
            <w:vAlign w:val="center"/>
          </w:tcPr>
          <w:p>
            <w:pPr>
              <w:spacing w:after="20" w:line="240" w:lineRule="auto"/>
            </w:pPr>
            <w:r>
              <w:rPr>
                <w:sz w:val="15"/>
              </w:rPr>
              <w:t>Machine state timeline and availability.</w:t>
            </w:r>
          </w:p>
        </w:tc>
      </w:tr>
      <w:tr>
        <w:trPr>
          <w:cantSplit w:val="true"/>
        </w:trPr>
        <w:tc>
          <w:tcPr>
            <w:tcW w:type="dxa" w:w="1550"/>
            <w:shd w:fill="F2F4F7"/>
            <w:tcMar>
              <w:top w:w="80" w:type="dxa"/>
              <w:start w:w="120" w:type="dxa"/>
              <w:bottom w:w="80" w:type="dxa"/>
              <w:end w:w="120" w:type="dxa"/>
            </w:tcMar>
            <w:vAlign w:val="center"/>
          </w:tcPr>
          <w:p>
            <w:pPr>
              <w:spacing w:after="20" w:line="240" w:lineRule="auto"/>
            </w:pPr>
            <w:r>
              <w:rPr>
                <w:sz w:val="15"/>
              </w:rPr>
              <w:t>Production</w:t>
            </w:r>
          </w:p>
        </w:tc>
        <w:tc>
          <w:tcPr>
            <w:tcW w:type="dxa" w:w="4250"/>
            <w:shd w:fill="F2F4F7"/>
            <w:tcMar>
              <w:top w:w="80" w:type="dxa"/>
              <w:start w:w="120" w:type="dxa"/>
              <w:bottom w:w="80" w:type="dxa"/>
              <w:end w:w="120" w:type="dxa"/>
            </w:tcMar>
            <w:vAlign w:val="center"/>
          </w:tcPr>
          <w:p>
            <w:pPr>
              <w:spacing w:after="20" w:line="240" w:lineRule="auto"/>
            </w:pPr>
            <w:r>
              <w:rPr>
                <w:sz w:val="15"/>
              </w:rPr>
              <w:t>Cycle count, good count, reject count, current speed, target speed, product/recipe</w:t>
            </w:r>
          </w:p>
        </w:tc>
        <w:tc>
          <w:tcPr>
            <w:tcW w:type="dxa" w:w="3560"/>
            <w:shd w:fill="F2F4F7"/>
            <w:tcMar>
              <w:top w:w="80" w:type="dxa"/>
              <w:start w:w="120" w:type="dxa"/>
              <w:bottom w:w="80" w:type="dxa"/>
              <w:end w:w="120" w:type="dxa"/>
            </w:tcMar>
            <w:vAlign w:val="center"/>
          </w:tcPr>
          <w:p>
            <w:pPr>
              <w:spacing w:after="20" w:line="240" w:lineRule="auto"/>
            </w:pPr>
            <w:r>
              <w:rPr>
                <w:sz w:val="15"/>
              </w:rPr>
              <w:t>Output, performance and schedule progress.</w:t>
            </w:r>
          </w:p>
        </w:tc>
      </w:tr>
      <w:tr>
        <w:trPr>
          <w:cantSplit w:val="true"/>
        </w:trPr>
        <w:tc>
          <w:tcPr>
            <w:tcW w:type="dxa" w:w="1550"/>
            <w:tcMar>
              <w:top w:w="80" w:type="dxa"/>
              <w:start w:w="120" w:type="dxa"/>
              <w:bottom w:w="80" w:type="dxa"/>
              <w:end w:w="120" w:type="dxa"/>
            </w:tcMar>
            <w:vAlign w:val="center"/>
          </w:tcPr>
          <w:p>
            <w:pPr>
              <w:spacing w:after="20" w:line="240" w:lineRule="auto"/>
            </w:pPr>
            <w:r>
              <w:rPr>
                <w:sz w:val="15"/>
              </w:rPr>
              <w:t>Downtime</w:t>
            </w:r>
          </w:p>
        </w:tc>
        <w:tc>
          <w:tcPr>
            <w:tcW w:type="dxa" w:w="4250"/>
            <w:tcMar>
              <w:top w:w="80" w:type="dxa"/>
              <w:start w:w="120" w:type="dxa"/>
              <w:bottom w:w="80" w:type="dxa"/>
              <w:end w:w="120" w:type="dxa"/>
            </w:tcMar>
            <w:vAlign w:val="center"/>
          </w:tcPr>
          <w:p>
            <w:pPr>
              <w:spacing w:after="20" w:line="240" w:lineRule="auto"/>
            </w:pPr>
            <w:r>
              <w:rPr>
                <w:sz w:val="15"/>
              </w:rPr>
              <w:t>Active alarm code/text, stop reason, stop start/end, reset event</w:t>
            </w:r>
          </w:p>
        </w:tc>
        <w:tc>
          <w:tcPr>
            <w:tcW w:type="dxa" w:w="3560"/>
            <w:tcMar>
              <w:top w:w="80" w:type="dxa"/>
              <w:start w:w="120" w:type="dxa"/>
              <w:bottom w:w="80" w:type="dxa"/>
              <w:end w:w="120" w:type="dxa"/>
            </w:tcMar>
            <w:vAlign w:val="center"/>
          </w:tcPr>
          <w:p>
            <w:pPr>
              <w:spacing w:after="20" w:line="240" w:lineRule="auto"/>
            </w:pPr>
            <w:r>
              <w:rPr>
                <w:sz w:val="15"/>
              </w:rPr>
              <w:t>Downtime Pareto, maintenance trigger and OEE.</w:t>
            </w:r>
          </w:p>
        </w:tc>
      </w:tr>
      <w:tr>
        <w:trPr>
          <w:cantSplit w:val="true"/>
        </w:trPr>
        <w:tc>
          <w:tcPr>
            <w:tcW w:type="dxa" w:w="1550"/>
            <w:shd w:fill="F2F4F7"/>
            <w:tcMar>
              <w:top w:w="80" w:type="dxa"/>
              <w:start w:w="120" w:type="dxa"/>
              <w:bottom w:w="80" w:type="dxa"/>
              <w:end w:w="120" w:type="dxa"/>
            </w:tcMar>
            <w:vAlign w:val="center"/>
          </w:tcPr>
          <w:p>
            <w:pPr>
              <w:spacing w:after="20" w:line="240" w:lineRule="auto"/>
            </w:pPr>
            <w:r>
              <w:rPr>
                <w:sz w:val="15"/>
              </w:rPr>
              <w:t>Packaging process</w:t>
            </w:r>
          </w:p>
        </w:tc>
        <w:tc>
          <w:tcPr>
            <w:tcW w:type="dxa" w:w="4250"/>
            <w:shd w:fill="F2F4F7"/>
            <w:tcMar>
              <w:top w:w="80" w:type="dxa"/>
              <w:start w:w="120" w:type="dxa"/>
              <w:bottom w:w="80" w:type="dxa"/>
              <w:end w:w="120" w:type="dxa"/>
            </w:tcMar>
            <w:vAlign w:val="center"/>
          </w:tcPr>
          <w:p>
            <w:pPr>
              <w:spacing w:after="20" w:line="240" w:lineRule="auto"/>
            </w:pPr>
            <w:r>
              <w:rPr>
                <w:sz w:val="15"/>
              </w:rPr>
              <w:t>Bag count, film status, seal temperature, gas/vacuum or other available parameters</w:t>
            </w:r>
          </w:p>
        </w:tc>
        <w:tc>
          <w:tcPr>
            <w:tcW w:type="dxa" w:w="3560"/>
            <w:shd w:fill="F2F4F7"/>
            <w:tcMar>
              <w:top w:w="80" w:type="dxa"/>
              <w:start w:w="120" w:type="dxa"/>
              <w:bottom w:w="80" w:type="dxa"/>
              <w:end w:w="120" w:type="dxa"/>
            </w:tcMar>
            <w:vAlign w:val="center"/>
          </w:tcPr>
          <w:p>
            <w:pPr>
              <w:spacing w:after="20" w:line="240" w:lineRule="auto"/>
            </w:pPr>
            <w:r>
              <w:rPr>
                <w:sz w:val="15"/>
              </w:rPr>
              <w:t>Process confirmation and quality context; exact tags depend on installed machine options.</w:t>
            </w:r>
          </w:p>
        </w:tc>
      </w:tr>
      <w:tr>
        <w:trPr>
          <w:cantSplit w:val="true"/>
        </w:trPr>
        <w:tc>
          <w:tcPr>
            <w:tcW w:type="dxa" w:w="1550"/>
            <w:tcMar>
              <w:top w:w="80" w:type="dxa"/>
              <w:start w:w="120" w:type="dxa"/>
              <w:bottom w:w="80" w:type="dxa"/>
              <w:end w:w="120" w:type="dxa"/>
            </w:tcMar>
            <w:vAlign w:val="center"/>
          </w:tcPr>
          <w:p>
            <w:pPr>
              <w:spacing w:after="20" w:line="240" w:lineRule="auto"/>
            </w:pPr>
            <w:r>
              <w:rPr>
                <w:sz w:val="15"/>
              </w:rPr>
              <w:t>Maintenance</w:t>
            </w:r>
          </w:p>
        </w:tc>
        <w:tc>
          <w:tcPr>
            <w:tcW w:type="dxa" w:w="4250"/>
            <w:tcMar>
              <w:top w:w="80" w:type="dxa"/>
              <w:start w:w="120" w:type="dxa"/>
              <w:bottom w:w="80" w:type="dxa"/>
              <w:end w:w="120" w:type="dxa"/>
            </w:tcMar>
            <w:vAlign w:val="center"/>
          </w:tcPr>
          <w:p>
            <w:pPr>
              <w:spacing w:after="20" w:line="240" w:lineRule="auto"/>
            </w:pPr>
            <w:r>
              <w:rPr>
                <w:sz w:val="15"/>
              </w:rPr>
              <w:t>Motor hours, cycle hours, fault frequency, service counters</w:t>
            </w:r>
          </w:p>
        </w:tc>
        <w:tc>
          <w:tcPr>
            <w:tcW w:type="dxa" w:w="3560"/>
            <w:tcMar>
              <w:top w:w="80" w:type="dxa"/>
              <w:start w:w="120" w:type="dxa"/>
              <w:bottom w:w="80" w:type="dxa"/>
              <w:end w:w="120" w:type="dxa"/>
            </w:tcMar>
            <w:vAlign w:val="center"/>
          </w:tcPr>
          <w:p>
            <w:pPr>
              <w:spacing w:after="20" w:line="240" w:lineRule="auto"/>
            </w:pPr>
            <w:r>
              <w:rPr>
                <w:sz w:val="15"/>
              </w:rPr>
              <w:t>PM triggers, MTBF/MTTR and predictive evidence.</w:t>
            </w:r>
          </w:p>
        </w:tc>
      </w:tr>
      <w:tr>
        <w:trPr>
          <w:cantSplit w:val="true"/>
        </w:trPr>
        <w:tc>
          <w:tcPr>
            <w:tcW w:type="dxa" w:w="1550"/>
            <w:shd w:fill="F2F4F7"/>
            <w:tcMar>
              <w:top w:w="80" w:type="dxa"/>
              <w:start w:w="120" w:type="dxa"/>
              <w:bottom w:w="80" w:type="dxa"/>
              <w:end w:w="120" w:type="dxa"/>
            </w:tcMar>
            <w:vAlign w:val="center"/>
          </w:tcPr>
          <w:p>
            <w:pPr>
              <w:spacing w:after="20" w:line="240" w:lineRule="auto"/>
            </w:pPr>
            <w:r>
              <w:rPr>
                <w:sz w:val="15"/>
              </w:rPr>
              <w:t>Context</w:t>
            </w:r>
          </w:p>
        </w:tc>
        <w:tc>
          <w:tcPr>
            <w:tcW w:type="dxa" w:w="4250"/>
            <w:shd w:fill="F2F4F7"/>
            <w:tcMar>
              <w:top w:w="80" w:type="dxa"/>
              <w:start w:w="120" w:type="dxa"/>
              <w:bottom w:w="80" w:type="dxa"/>
              <w:end w:w="120" w:type="dxa"/>
            </w:tcMar>
            <w:vAlign w:val="center"/>
          </w:tcPr>
          <w:p>
            <w:pPr>
              <w:spacing w:after="20" w:line="240" w:lineRule="auto"/>
            </w:pPr>
            <w:r>
              <w:rPr>
                <w:sz w:val="15"/>
              </w:rPr>
              <w:t>Machine ID, job/order ID, SKU, batch, operator, shift</w:t>
            </w:r>
          </w:p>
        </w:tc>
        <w:tc>
          <w:tcPr>
            <w:tcW w:type="dxa" w:w="3560"/>
            <w:shd w:fill="F2F4F7"/>
            <w:tcMar>
              <w:top w:w="80" w:type="dxa"/>
              <w:start w:w="120" w:type="dxa"/>
              <w:bottom w:w="80" w:type="dxa"/>
              <w:end w:w="120" w:type="dxa"/>
            </w:tcMar>
            <w:vAlign w:val="center"/>
          </w:tcPr>
          <w:p>
            <w:pPr>
              <w:spacing w:after="20" w:line="240" w:lineRule="auto"/>
            </w:pPr>
            <w:r>
              <w:rPr>
                <w:sz w:val="15"/>
              </w:rPr>
              <w:t>Transaction linkage and traceability.</w:t>
            </w:r>
          </w:p>
        </w:tc>
      </w:tr>
      <w:tr>
        <w:trPr>
          <w:cantSplit w:val="true"/>
        </w:trPr>
        <w:tc>
          <w:tcPr>
            <w:tcW w:type="dxa" w:w="1550"/>
            <w:tcMar>
              <w:top w:w="80" w:type="dxa"/>
              <w:start w:w="120" w:type="dxa"/>
              <w:bottom w:w="80" w:type="dxa"/>
              <w:end w:w="120" w:type="dxa"/>
            </w:tcMar>
            <w:vAlign w:val="center"/>
          </w:tcPr>
          <w:p>
            <w:pPr>
              <w:spacing w:after="20" w:line="240" w:lineRule="auto"/>
            </w:pPr>
            <w:r>
              <w:rPr>
                <w:sz w:val="15"/>
              </w:rPr>
              <w:t>Health</w:t>
            </w:r>
          </w:p>
        </w:tc>
        <w:tc>
          <w:tcPr>
            <w:tcW w:type="dxa" w:w="4250"/>
            <w:tcMar>
              <w:top w:w="80" w:type="dxa"/>
              <w:start w:w="120" w:type="dxa"/>
              <w:bottom w:w="80" w:type="dxa"/>
              <w:end w:w="120" w:type="dxa"/>
            </w:tcMar>
            <w:vAlign w:val="center"/>
          </w:tcPr>
          <w:p>
            <w:pPr>
              <w:spacing w:after="20" w:line="240" w:lineRule="auto"/>
            </w:pPr>
            <w:r>
              <w:rPr>
                <w:sz w:val="15"/>
              </w:rPr>
              <w:t>PLC/gateway online, last message time, queue depth, data quality flag</w:t>
            </w:r>
          </w:p>
        </w:tc>
        <w:tc>
          <w:tcPr>
            <w:tcW w:type="dxa" w:w="3560"/>
            <w:tcMar>
              <w:top w:w="80" w:type="dxa"/>
              <w:start w:w="120" w:type="dxa"/>
              <w:bottom w:w="80" w:type="dxa"/>
              <w:end w:w="120" w:type="dxa"/>
            </w:tcMar>
            <w:vAlign w:val="center"/>
          </w:tcPr>
          <w:p>
            <w:pPr>
              <w:spacing w:after="20" w:line="240" w:lineRule="auto"/>
            </w:pPr>
            <w:r>
              <w:rPr>
                <w:sz w:val="15"/>
              </w:rPr>
              <w:t>Integration monitoring and stale-data alerts.</w:t>
            </w:r>
          </w:p>
        </w:tc>
      </w:tr>
    </w:tbl>
    <w:p>
      <w:pPr>
        <w:spacing w:after="40"/>
      </w:pPr>
    </w:p>
    <w:p>
      <w:pPr>
        <w:pStyle w:val="Heading1"/>
      </w:pPr>
      <w:r>
        <w:t>10. End-to-End Data Flow</w:t>
      </w:r>
    </w:p>
    <w:p>
      <w:pPr>
        <w:spacing w:after="80" w:line="264" w:lineRule="auto"/>
        <w:numPr>
          <w:ilvl w:val="0"/>
          <w:numId w:val="11"/>
        </w:numPr>
      </w:pPr>
      <w:r>
        <w:t>Sales order or forecast creates demand by customer, SKU, quantity and required ship date.</w:t>
      </w:r>
    </w:p>
    <w:p>
      <w:pPr>
        <w:spacing w:after="80" w:line="264" w:lineRule="auto"/>
        <w:numPr>
          <w:ilvl w:val="0"/>
          <w:numId w:val="11"/>
        </w:numPr>
      </w:pPr>
      <w:r>
        <w:t>APS calculates a capacity-constrained plan using materials, labour, equipment, QA, smokehouse/drying, packaging and shipping constraints.</w:t>
      </w:r>
    </w:p>
    <w:p>
      <w:pPr>
        <w:spacing w:after="80" w:line="264" w:lineRule="auto"/>
        <w:numPr>
          <w:ilvl w:val="0"/>
          <w:numId w:val="11"/>
        </w:numPr>
      </w:pPr>
      <w:r>
        <w:t>MRP explodes the approved BOM and reserves available raw-material and packaging lots.</w:t>
      </w:r>
    </w:p>
    <w:p>
      <w:pPr>
        <w:spacing w:after="80" w:line="264" w:lineRule="auto"/>
        <w:numPr>
          <w:ilvl w:val="0"/>
          <w:numId w:val="11"/>
        </w:numPr>
      </w:pPr>
      <w:r>
        <w:t>A released production order creates the digital batch record, job instructions, labour plan and required quality checks.</w:t>
      </w:r>
    </w:p>
    <w:p>
      <w:pPr>
        <w:spacing w:after="80" w:line="264" w:lineRule="auto"/>
        <w:numPr>
          <w:ilvl w:val="0"/>
          <w:numId w:val="11"/>
        </w:numPr>
      </w:pPr>
      <w:r>
        <w:t>Operator actions and approved machine events record actual start/stop time, output, downtime, speed, personnel, equipment and material consumption.</w:t>
      </w:r>
    </w:p>
    <w:p>
      <w:pPr>
        <w:spacing w:after="80" w:line="264" w:lineRule="auto"/>
        <w:numPr>
          <w:ilvl w:val="0"/>
          <w:numId w:val="11"/>
        </w:numPr>
      </w:pPr>
      <w:r>
        <w:t>Quality checks apply pass/fail rules. A critical failure creates a deviation/hold and blocks finished-goods availability.</w:t>
      </w:r>
    </w:p>
    <w:p>
      <w:pPr>
        <w:spacing w:after="80" w:line="264" w:lineRule="auto"/>
        <w:numPr>
          <w:ilvl w:val="0"/>
          <w:numId w:val="11"/>
        </w:numPr>
      </w:pPr>
      <w:r>
        <w:t>Authorized QA release creates the finished-goods lot and inventory receipt.</w:t>
      </w:r>
    </w:p>
    <w:p>
      <w:pPr>
        <w:spacing w:after="80" w:line="264" w:lineRule="auto"/>
        <w:numPr>
          <w:ilvl w:val="0"/>
          <w:numId w:val="11"/>
        </w:numPr>
      </w:pPr>
      <w:r>
        <w:t>Warehouse allocates, picks and ships only released inventory using FEFO where required.</w:t>
      </w:r>
    </w:p>
    <w:p>
      <w:pPr>
        <w:spacing w:after="80" w:line="264" w:lineRule="auto"/>
        <w:numPr>
          <w:ilvl w:val="0"/>
          <w:numId w:val="11"/>
        </w:numPr>
      </w:pPr>
      <w:r>
        <w:t>Batch 360 traces customer shipment back to every contributing material lot and forward from supplier lot to affected customers.</w:t>
      </w:r>
    </w:p>
    <w:p>
      <w:pPr>
        <w:spacing w:after="80" w:line="264" w:lineRule="auto"/>
        <w:numPr>
          <w:ilvl w:val="0"/>
          <w:numId w:val="11"/>
        </w:numPr>
      </w:pPr>
      <w:r>
        <w:t>The same governed events calculate H/B, OEE, schedule attainment, yield, labour, cost, reliability and executive risk without duplicate calculations.</w:t>
      </w:r>
    </w:p>
    <w:p>
      <w:pPr>
        <w:pStyle w:val="Heading1"/>
      </w:pPr>
      <w:r>
        <w:t>11. Security, SaaS and Data Governance</w:t>
      </w:r>
    </w:p>
    <w:p>
      <w:pPr>
        <w:pStyle w:val="ListBullet"/>
      </w:pPr>
      <w:r>
        <w:t>Strict company/tenant isolation using server-side authorization and tenant-scoped database controls; hiding menus is insufficient.</w:t>
      </w:r>
    </w:p>
    <w:p>
      <w:pPr>
        <w:pStyle w:val="ListBullet"/>
      </w:pPr>
      <w:r>
        <w:t>Master-owner view may span companies only for explicitly authorized administrative and portfolio functions.</w:t>
      </w:r>
    </w:p>
    <w:p>
      <w:pPr>
        <w:pStyle w:val="ListBullet"/>
      </w:pPr>
      <w:r>
        <w:t>Role, plant, department, line and action-level permissions; least-privilege defaults.</w:t>
      </w:r>
    </w:p>
    <w:p>
      <w:pPr>
        <w:pStyle w:val="ListBullet"/>
      </w:pPr>
      <w:r>
        <w:t>MFA support, secure password reset, session controls, secrets management and access review.</w:t>
      </w:r>
    </w:p>
    <w:p>
      <w:pPr>
        <w:pStyle w:val="ListBullet"/>
      </w:pPr>
      <w:r>
        <w:t>Immutable audit events and electronic signatures for controlled approvals and corrections.</w:t>
      </w:r>
    </w:p>
    <w:p>
      <w:pPr>
        <w:pStyle w:val="ListBullet"/>
      </w:pPr>
      <w:r>
        <w:t>Encryption in transit and at rest, backup/restore testing, disaster recovery and defined retention policies.</w:t>
      </w:r>
    </w:p>
    <w:p>
      <w:pPr>
        <w:pStyle w:val="ListBullet"/>
      </w:pPr>
      <w:r>
        <w:t>Development, staging and production separation; sanitized test data; no production credentials in code.</w:t>
      </w:r>
    </w:p>
    <w:p>
      <w:pPr>
        <w:pStyle w:val="ListBullet"/>
      </w:pPr>
      <w:r>
        <w:t>Data export/portability by tenant and a documented offboarding process.</w:t>
      </w:r>
    </w:p>
    <w:p>
      <w:pPr>
        <w:pStyle w:val="ListBullet"/>
      </w:pPr>
      <w:r>
        <w:t>Canadian privacy/data-residency requirements and the target hosting region must be agreed before production deployment.</w:t>
      </w:r>
    </w:p>
    <w:p>
      <w:pPr>
        <w:pStyle w:val="Heading1"/>
      </w:pPr>
      <w:r>
        <w:t>12. AI and Meeting Intelligence Guardrails</w:t>
      </w:r>
    </w:p>
    <w:p>
      <w:pPr>
        <w:pStyle w:val="ListBullet"/>
      </w:pPr>
      <w:r>
        <w:t>AI may summarize records, identify contradictions, suggest hypotheses, draft actions and retrieve verified solutions.</w:t>
      </w:r>
    </w:p>
    <w:p>
      <w:pPr>
        <w:pStyle w:val="ListBullet"/>
      </w:pPr>
      <w:r>
        <w:t>AI must cite the internal records used and label facts, calculations, hypotheses and recommendations separately.</w:t>
      </w:r>
    </w:p>
    <w:p>
      <w:pPr>
        <w:pStyle w:val="ListBullet"/>
      </w:pPr>
      <w:r>
        <w:t>AI must not invent missing evidence, independently confirm a root cause, release product, close CAPA or alter critical records.</w:t>
      </w:r>
    </w:p>
    <w:p>
      <w:pPr>
        <w:pStyle w:val="ListBullet"/>
      </w:pPr>
      <w:r>
        <w:t>Every AI-created proposed action must require an authorized human review before it writes to operational records.</w:t>
      </w:r>
    </w:p>
    <w:p>
      <w:pPr>
        <w:pStyle w:val="ListBullet"/>
      </w:pPr>
      <w:r>
        <w:t>Core production, quality, inventory and maintenance workflows must continue when the AI service is unavailable.</w:t>
      </w:r>
    </w:p>
    <w:p>
      <w:pPr>
        <w:pStyle w:val="ListBullet"/>
      </w:pPr>
      <w:r>
        <w:t>Prompt, model, source, output, reviewer and disposition should be logged for governed AI actions.</w:t>
      </w:r>
    </w:p>
    <w:p>
      <w:pPr>
        <w:pStyle w:val="Heading1"/>
      </w:pPr>
      <w:r>
        <w:t>13. Non-Functional Requirements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17365D"/>
            <w:tcMar>
              <w:top w:w="80" w:type="dxa"/>
              <w:start w:w="120" w:type="dxa"/>
              <w:bottom w:w="80" w:type="dxa"/>
              <w:end w:w="120" w:type="dxa"/>
            </w:tcMar>
            <w:vAlign w:val="center"/>
          </w:tcPr>
          <w:p>
            <w:r>
              <w:rPr>
                <w:b/>
                <w:color w:val="FFFFFF"/>
                <w:sz w:val="16"/>
              </w:rPr>
              <w:t>Area</w:t>
            </w:r>
          </w:p>
        </w:tc>
        <w:tc>
          <w:tcPr>
            <w:tcW w:type="dxa" w:w="7660"/>
            <w:shd w:fill="17365D"/>
            <w:tcMar>
              <w:top w:w="80" w:type="dxa"/>
              <w:start w:w="120" w:type="dxa"/>
              <w:bottom w:w="80" w:type="dxa"/>
              <w:end w:w="120" w:type="dxa"/>
            </w:tcMar>
            <w:vAlign w:val="center"/>
          </w:tcPr>
          <w:p>
            <w:r>
              <w:rPr>
                <w:b/>
                <w:color w:val="FFFFFF"/>
                <w:sz w:val="16"/>
              </w:rPr>
              <w:t>Requirement to define and test</w:t>
            </w:r>
          </w:p>
        </w:tc>
      </w:tr>
      <w:tr>
        <w:trPr>
          <w:cantSplit w:val="true"/>
        </w:trPr>
        <w:tc>
          <w:tcPr>
            <w:tcW w:type="dxa" w:w="1700"/>
            <w:tcMar>
              <w:top w:w="80" w:type="dxa"/>
              <w:start w:w="120" w:type="dxa"/>
              <w:bottom w:w="80" w:type="dxa"/>
              <w:end w:w="120" w:type="dxa"/>
            </w:tcMar>
            <w:vAlign w:val="center"/>
          </w:tcPr>
          <w:p>
            <w:pPr>
              <w:spacing w:after="20" w:line="240" w:lineRule="auto"/>
            </w:pPr>
            <w:r>
              <w:rPr>
                <w:sz w:val="16"/>
              </w:rPr>
              <w:t>Availability</w:t>
            </w:r>
          </w:p>
        </w:tc>
        <w:tc>
          <w:tcPr>
            <w:tcW w:type="dxa" w:w="7660"/>
            <w:tcMar>
              <w:top w:w="80" w:type="dxa"/>
              <w:start w:w="120" w:type="dxa"/>
              <w:bottom w:w="80" w:type="dxa"/>
              <w:end w:w="120" w:type="dxa"/>
            </w:tcMar>
            <w:vAlign w:val="center"/>
          </w:tcPr>
          <w:p>
            <w:pPr>
              <w:spacing w:after="20" w:line="240" w:lineRule="auto"/>
            </w:pPr>
            <w:r>
              <w:rPr>
                <w:sz w:val="16"/>
              </w:rPr>
              <w:t>Target uptime, planned maintenance window, recovery time objective and recovery point objective.</w:t>
            </w:r>
          </w:p>
        </w:tc>
      </w:tr>
      <w:tr>
        <w:trPr>
          <w:cantSplit w:val="true"/>
        </w:trPr>
        <w:tc>
          <w:tcPr>
            <w:tcW w:type="dxa" w:w="1700"/>
            <w:shd w:fill="F2F4F7"/>
            <w:tcMar>
              <w:top w:w="80" w:type="dxa"/>
              <w:start w:w="120" w:type="dxa"/>
              <w:bottom w:w="80" w:type="dxa"/>
              <w:end w:w="120" w:type="dxa"/>
            </w:tcMar>
            <w:vAlign w:val="center"/>
          </w:tcPr>
          <w:p>
            <w:pPr>
              <w:spacing w:after="20" w:line="240" w:lineRule="auto"/>
            </w:pPr>
            <w:r>
              <w:rPr>
                <w:sz w:val="16"/>
              </w:rPr>
              <w:t>Performance</w:t>
            </w:r>
          </w:p>
        </w:tc>
        <w:tc>
          <w:tcPr>
            <w:tcW w:type="dxa" w:w="7660"/>
            <w:shd w:fill="F2F4F7"/>
            <w:tcMar>
              <w:top w:w="80" w:type="dxa"/>
              <w:start w:w="120" w:type="dxa"/>
              <w:bottom w:w="80" w:type="dxa"/>
              <w:end w:w="120" w:type="dxa"/>
            </w:tcMar>
            <w:vAlign w:val="center"/>
          </w:tcPr>
          <w:p>
            <w:pPr>
              <w:spacing w:after="20" w:line="240" w:lineRule="auto"/>
            </w:pPr>
            <w:r>
              <w:rPr>
                <w:sz w:val="16"/>
              </w:rPr>
              <w:t>Page/API response targets, concurrent users, machine-event throughput and report-generation limits.</w:t>
            </w:r>
          </w:p>
        </w:tc>
      </w:tr>
      <w:tr>
        <w:trPr>
          <w:cantSplit w:val="true"/>
        </w:trPr>
        <w:tc>
          <w:tcPr>
            <w:tcW w:type="dxa" w:w="1700"/>
            <w:tcMar>
              <w:top w:w="80" w:type="dxa"/>
              <w:start w:w="120" w:type="dxa"/>
              <w:bottom w:w="80" w:type="dxa"/>
              <w:end w:w="120" w:type="dxa"/>
            </w:tcMar>
            <w:vAlign w:val="center"/>
          </w:tcPr>
          <w:p>
            <w:pPr>
              <w:spacing w:after="20" w:line="240" w:lineRule="auto"/>
            </w:pPr>
            <w:r>
              <w:rPr>
                <w:sz w:val="16"/>
              </w:rPr>
              <w:t>Offline tolerance</w:t>
            </w:r>
          </w:p>
        </w:tc>
        <w:tc>
          <w:tcPr>
            <w:tcW w:type="dxa" w:w="7660"/>
            <w:tcMar>
              <w:top w:w="80" w:type="dxa"/>
              <w:start w:w="120" w:type="dxa"/>
              <w:bottom w:w="80" w:type="dxa"/>
              <w:end w:w="120" w:type="dxa"/>
            </w:tcMar>
            <w:vAlign w:val="center"/>
          </w:tcPr>
          <w:p>
            <w:pPr>
              <w:spacing w:after="20" w:line="240" w:lineRule="auto"/>
            </w:pPr>
            <w:r>
              <w:rPr>
                <w:sz w:val="16"/>
              </w:rPr>
              <w:t>Which shop-floor transactions queue locally, maximum offline duration and conflict resolution.</w:t>
            </w:r>
          </w:p>
        </w:tc>
      </w:tr>
      <w:tr>
        <w:trPr>
          <w:cantSplit w:val="true"/>
        </w:trPr>
        <w:tc>
          <w:tcPr>
            <w:tcW w:type="dxa" w:w="1700"/>
            <w:shd w:fill="F2F4F7"/>
            <w:tcMar>
              <w:top w:w="80" w:type="dxa"/>
              <w:start w:w="120" w:type="dxa"/>
              <w:bottom w:w="80" w:type="dxa"/>
              <w:end w:w="120" w:type="dxa"/>
            </w:tcMar>
            <w:vAlign w:val="center"/>
          </w:tcPr>
          <w:p>
            <w:pPr>
              <w:spacing w:after="20" w:line="240" w:lineRule="auto"/>
            </w:pPr>
            <w:r>
              <w:rPr>
                <w:sz w:val="16"/>
              </w:rPr>
              <w:t>Observability</w:t>
            </w:r>
          </w:p>
        </w:tc>
        <w:tc>
          <w:tcPr>
            <w:tcW w:type="dxa" w:w="7660"/>
            <w:shd w:fill="F2F4F7"/>
            <w:tcMar>
              <w:top w:w="80" w:type="dxa"/>
              <w:start w:w="120" w:type="dxa"/>
              <w:bottom w:w="80" w:type="dxa"/>
              <w:end w:w="120" w:type="dxa"/>
            </w:tcMar>
            <w:vAlign w:val="center"/>
          </w:tcPr>
          <w:p>
            <w:pPr>
              <w:spacing w:after="20" w:line="240" w:lineRule="auto"/>
            </w:pPr>
            <w:r>
              <w:rPr>
                <w:sz w:val="16"/>
              </w:rPr>
              <w:t>Central logs, metrics, traces, error monitoring, connector health and data-freshness indicators.</w:t>
            </w:r>
          </w:p>
        </w:tc>
      </w:tr>
      <w:tr>
        <w:trPr>
          <w:cantSplit w:val="true"/>
        </w:trPr>
        <w:tc>
          <w:tcPr>
            <w:tcW w:type="dxa" w:w="1700"/>
            <w:tcMar>
              <w:top w:w="80" w:type="dxa"/>
              <w:start w:w="120" w:type="dxa"/>
              <w:bottom w:w="80" w:type="dxa"/>
              <w:end w:w="120" w:type="dxa"/>
            </w:tcMar>
            <w:vAlign w:val="center"/>
          </w:tcPr>
          <w:p>
            <w:pPr>
              <w:spacing w:after="20" w:line="240" w:lineRule="auto"/>
            </w:pPr>
            <w:r>
              <w:rPr>
                <w:sz w:val="16"/>
              </w:rPr>
              <w:t>Testing</w:t>
            </w:r>
          </w:p>
        </w:tc>
        <w:tc>
          <w:tcPr>
            <w:tcW w:type="dxa" w:w="7660"/>
            <w:tcMar>
              <w:top w:w="80" w:type="dxa"/>
              <w:start w:w="120" w:type="dxa"/>
              <w:bottom w:w="80" w:type="dxa"/>
              <w:end w:w="120" w:type="dxa"/>
            </w:tcMar>
            <w:vAlign w:val="center"/>
          </w:tcPr>
          <w:p>
            <w:pPr>
              <w:spacing w:after="20" w:line="240" w:lineRule="auto"/>
            </w:pPr>
            <w:r>
              <w:rPr>
                <w:sz w:val="16"/>
              </w:rPr>
              <w:t>Unit, integration, API contract, security, performance, migration and role-based acceptance tests.</w:t>
            </w:r>
          </w:p>
        </w:tc>
      </w:tr>
      <w:tr>
        <w:trPr>
          <w:cantSplit w:val="true"/>
        </w:trPr>
        <w:tc>
          <w:tcPr>
            <w:tcW w:type="dxa" w:w="1700"/>
            <w:shd w:fill="F2F4F7"/>
            <w:tcMar>
              <w:top w:w="80" w:type="dxa"/>
              <w:start w:w="120" w:type="dxa"/>
              <w:bottom w:w="80" w:type="dxa"/>
              <w:end w:w="120" w:type="dxa"/>
            </w:tcMar>
            <w:vAlign w:val="center"/>
          </w:tcPr>
          <w:p>
            <w:pPr>
              <w:spacing w:after="20" w:line="240" w:lineRule="auto"/>
            </w:pPr>
            <w:r>
              <w:rPr>
                <w:sz w:val="16"/>
              </w:rPr>
              <w:t>Accessibility</w:t>
            </w:r>
          </w:p>
        </w:tc>
        <w:tc>
          <w:tcPr>
            <w:tcW w:type="dxa" w:w="7660"/>
            <w:shd w:fill="F2F4F7"/>
            <w:tcMar>
              <w:top w:w="80" w:type="dxa"/>
              <w:start w:w="120" w:type="dxa"/>
              <w:bottom w:w="80" w:type="dxa"/>
              <w:end w:w="120" w:type="dxa"/>
            </w:tcMar>
            <w:vAlign w:val="center"/>
          </w:tcPr>
          <w:p>
            <w:pPr>
              <w:spacing w:after="20" w:line="240" w:lineRule="auto"/>
            </w:pPr>
            <w:r>
              <w:rPr>
                <w:sz w:val="16"/>
              </w:rPr>
              <w:t>Keyboard use, readable contrast, clear status text and responsive/mobile usability.</w:t>
            </w:r>
          </w:p>
        </w:tc>
      </w:tr>
      <w:tr>
        <w:trPr>
          <w:cantSplit w:val="true"/>
        </w:trPr>
        <w:tc>
          <w:tcPr>
            <w:tcW w:type="dxa" w:w="1700"/>
            <w:tcMar>
              <w:top w:w="80" w:type="dxa"/>
              <w:start w:w="120" w:type="dxa"/>
              <w:bottom w:w="80" w:type="dxa"/>
              <w:end w:w="120" w:type="dxa"/>
            </w:tcMar>
            <w:vAlign w:val="center"/>
          </w:tcPr>
          <w:p>
            <w:pPr>
              <w:spacing w:after="20" w:line="240" w:lineRule="auto"/>
            </w:pPr>
            <w:r>
              <w:rPr>
                <w:sz w:val="16"/>
              </w:rPr>
              <w:t>Support</w:t>
            </w:r>
          </w:p>
        </w:tc>
        <w:tc>
          <w:tcPr>
            <w:tcW w:type="dxa" w:w="7660"/>
            <w:tcMar>
              <w:top w:w="80" w:type="dxa"/>
              <w:start w:w="120" w:type="dxa"/>
              <w:bottom w:w="80" w:type="dxa"/>
              <w:end w:w="120" w:type="dxa"/>
            </w:tcMar>
            <w:vAlign w:val="center"/>
          </w:tcPr>
          <w:p>
            <w:pPr>
              <w:spacing w:after="20" w:line="240" w:lineRule="auto"/>
            </w:pPr>
            <w:r>
              <w:rPr>
                <w:sz w:val="16"/>
              </w:rPr>
              <w:t>Incident severity, response targets, warranty, change control, release notes and production support ownership.</w:t>
            </w:r>
          </w:p>
        </w:tc>
      </w:tr>
      <w:tr>
        <w:trPr>
          <w:cantSplit w:val="true"/>
        </w:trPr>
        <w:tc>
          <w:tcPr>
            <w:tcW w:type="dxa" w:w="1700"/>
            <w:shd w:fill="F2F4F7"/>
            <w:tcMar>
              <w:top w:w="80" w:type="dxa"/>
              <w:start w:w="120" w:type="dxa"/>
              <w:bottom w:w="80" w:type="dxa"/>
              <w:end w:w="120" w:type="dxa"/>
            </w:tcMar>
            <w:vAlign w:val="center"/>
          </w:tcPr>
          <w:p>
            <w:pPr>
              <w:spacing w:after="20" w:line="240" w:lineRule="auto"/>
            </w:pPr>
            <w:r>
              <w:rPr>
                <w:sz w:val="16"/>
              </w:rPr>
              <w:t>Documentation</w:t>
            </w:r>
          </w:p>
        </w:tc>
        <w:tc>
          <w:tcPr>
            <w:tcW w:type="dxa" w:w="7660"/>
            <w:shd w:fill="F2F4F7"/>
            <w:tcMar>
              <w:top w:w="80" w:type="dxa"/>
              <w:start w:w="120" w:type="dxa"/>
              <w:bottom w:w="80" w:type="dxa"/>
              <w:end w:w="120" w:type="dxa"/>
            </w:tcMar>
            <w:vAlign w:val="center"/>
          </w:tcPr>
          <w:p>
            <w:pPr>
              <w:spacing w:after="20" w:line="240" w:lineRule="auto"/>
            </w:pPr>
            <w:r>
              <w:rPr>
                <w:sz w:val="16"/>
              </w:rPr>
              <w:t>Architecture, schema, API, deployment, backup/restore, runbook, admin, integration and operator guides.</w:t>
            </w:r>
          </w:p>
        </w:tc>
      </w:tr>
    </w:tbl>
    <w:p>
      <w:pPr>
        <w:spacing w:after="40"/>
      </w:pPr>
    </w:p>
    <w:p>
      <w:r>
        <w:br w:type="page"/>
      </w:r>
    </w:p>
    <w:p>
      <w:pPr>
        <w:pStyle w:val="Heading1"/>
      </w:pPr>
      <w:r>
        <w:t>14. Questions Kiaan Tech Must Answer Before Development Continues</w:t>
      </w:r>
    </w:p>
    <w:tbl>
      <w:tblPr>
        <w:tblStyle w:val="TableGrid"/>
        <w:tblW w:type="dxa" w:w="9360"/>
        <w:jc w:val="left"/>
        <w:tblLayout w:type="fixed"/>
        <w:tblLook w:firstColumn="1" w:firstRow="1" w:lastColumn="0" w:lastRow="0" w:noHBand="0" w:noVBand="1" w:val="04A0"/>
        <w:tblInd w:w="120" w:type="dxa"/>
      </w:tblPr>
      <w:tblGrid>
        <w:gridCol w:w="2050"/>
        <w:gridCol w:w="7310"/>
      </w:tblGrid>
      <w:tr>
        <w:trPr>
          <w:tblHeader w:val="true"/>
        </w:trPr>
        <w:tc>
          <w:tcPr>
            <w:tcW w:type="dxa" w:w="2050"/>
            <w:shd w:fill="17365D"/>
            <w:tcMar>
              <w:top w:w="80" w:type="dxa"/>
              <w:start w:w="120" w:type="dxa"/>
              <w:bottom w:w="80" w:type="dxa"/>
              <w:end w:w="120" w:type="dxa"/>
            </w:tcMar>
            <w:vAlign w:val="center"/>
          </w:tcPr>
          <w:p>
            <w:r>
              <w:rPr>
                <w:b/>
                <w:color w:val="FFFFFF"/>
                <w:sz w:val="16"/>
              </w:rPr>
              <w:t>Topic</w:t>
            </w:r>
          </w:p>
        </w:tc>
        <w:tc>
          <w:tcPr>
            <w:tcW w:type="dxa" w:w="7310"/>
            <w:shd w:fill="17365D"/>
            <w:tcMar>
              <w:top w:w="80" w:type="dxa"/>
              <w:start w:w="120" w:type="dxa"/>
              <w:bottom w:w="80" w:type="dxa"/>
              <w:end w:w="120" w:type="dxa"/>
            </w:tcMar>
            <w:vAlign w:val="center"/>
          </w:tcPr>
          <w:p>
            <w:r>
              <w:rPr>
                <w:b/>
                <w:color w:val="FFFFFF"/>
                <w:sz w:val="16"/>
              </w:rPr>
              <w:t>Required response</w:t>
            </w:r>
          </w:p>
        </w:tc>
      </w:tr>
      <w:tr>
        <w:trPr>
          <w:cantSplit w:val="true"/>
        </w:trPr>
        <w:tc>
          <w:tcPr>
            <w:tcW w:type="dxa" w:w="2050"/>
            <w:tcMar>
              <w:top w:w="80" w:type="dxa"/>
              <w:start w:w="120" w:type="dxa"/>
              <w:bottom w:w="80" w:type="dxa"/>
              <w:end w:w="120" w:type="dxa"/>
            </w:tcMar>
            <w:vAlign w:val="center"/>
          </w:tcPr>
          <w:p>
            <w:pPr>
              <w:spacing w:after="20" w:line="240" w:lineRule="auto"/>
            </w:pPr>
            <w:r>
              <w:rPr>
                <w:sz w:val="16"/>
              </w:rPr>
              <w:t>Architecture and ownership</w:t>
            </w:r>
          </w:p>
        </w:tc>
        <w:tc>
          <w:tcPr>
            <w:tcW w:type="dxa" w:w="7310"/>
            <w:tcMar>
              <w:top w:w="80" w:type="dxa"/>
              <w:start w:w="120" w:type="dxa"/>
              <w:bottom w:w="80" w:type="dxa"/>
              <w:end w:w="120" w:type="dxa"/>
            </w:tcMar>
            <w:vAlign w:val="center"/>
          </w:tcPr>
          <w:p>
            <w:pPr>
              <w:spacing w:after="20" w:line="240" w:lineRule="auto"/>
            </w:pPr>
            <w:r>
              <w:rPr>
                <w:sz w:val="16"/>
              </w:rPr>
              <w:t>What technology stack, hosting provider, region and deployment model do you propose? Will the full source repository, database schema, infrastructure configuration and credentials be owned by FlowState Ops?</w:t>
            </w:r>
          </w:p>
        </w:tc>
      </w:tr>
      <w:tr>
        <w:trPr>
          <w:cantSplit w:val="true"/>
        </w:trPr>
        <w:tc>
          <w:tcPr>
            <w:tcW w:type="dxa" w:w="2050"/>
            <w:shd w:fill="F2F4F7"/>
            <w:tcMar>
              <w:top w:w="80" w:type="dxa"/>
              <w:start w:w="120" w:type="dxa"/>
              <w:bottom w:w="80" w:type="dxa"/>
              <w:end w:w="120" w:type="dxa"/>
            </w:tcMar>
            <w:vAlign w:val="center"/>
          </w:tcPr>
          <w:p>
            <w:pPr>
              <w:spacing w:after="20" w:line="240" w:lineRule="auto"/>
            </w:pPr>
            <w:r>
              <w:rPr>
                <w:sz w:val="16"/>
              </w:rPr>
              <w:t>Current-system assessment</w:t>
            </w:r>
          </w:p>
        </w:tc>
        <w:tc>
          <w:tcPr>
            <w:tcW w:type="dxa" w:w="7310"/>
            <w:shd w:fill="F2F4F7"/>
            <w:tcMar>
              <w:top w:w="80" w:type="dxa"/>
              <w:start w:w="120" w:type="dxa"/>
              <w:bottom w:w="80" w:type="dxa"/>
              <w:end w:w="120" w:type="dxa"/>
            </w:tcMar>
            <w:vAlign w:val="center"/>
          </w:tcPr>
          <w:p>
            <w:pPr>
              <w:spacing w:after="20" w:line="240" w:lineRule="auto"/>
            </w:pPr>
            <w:r>
              <w:rPr>
                <w:sz w:val="16"/>
              </w:rPr>
              <w:t>How will you inventory the existing Base44 pages, entities, functions and integrations and classify each as Keep, Improve, Merge, Replace or Retire?</w:t>
            </w:r>
          </w:p>
        </w:tc>
      </w:tr>
      <w:tr>
        <w:trPr>
          <w:cantSplit w:val="true"/>
        </w:trPr>
        <w:tc>
          <w:tcPr>
            <w:tcW w:type="dxa" w:w="2050"/>
            <w:tcMar>
              <w:top w:w="80" w:type="dxa"/>
              <w:start w:w="120" w:type="dxa"/>
              <w:bottom w:w="80" w:type="dxa"/>
              <w:end w:w="120" w:type="dxa"/>
            </w:tcMar>
            <w:vAlign w:val="center"/>
          </w:tcPr>
          <w:p>
            <w:pPr>
              <w:spacing w:after="20" w:line="240" w:lineRule="auto"/>
            </w:pPr>
            <w:r>
              <w:rPr>
                <w:sz w:val="16"/>
              </w:rPr>
              <w:t>Canonical model</w:t>
            </w:r>
          </w:p>
        </w:tc>
        <w:tc>
          <w:tcPr>
            <w:tcW w:type="dxa" w:w="7310"/>
            <w:tcMar>
              <w:top w:w="80" w:type="dxa"/>
              <w:start w:w="120" w:type="dxa"/>
              <w:bottom w:w="80" w:type="dxa"/>
              <w:end w:w="120" w:type="dxa"/>
            </w:tcMar>
            <w:vAlign w:val="center"/>
          </w:tcPr>
          <w:p>
            <w:pPr>
              <w:spacing w:after="20" w:line="240" w:lineRule="auto"/>
            </w:pPr>
            <w:r>
              <w:rPr>
                <w:sz w:val="16"/>
              </w:rPr>
              <w:t>Provide the proposed entity-relationship model, tenant key strategy, status models, revision rules and audit model before UI development.</w:t>
            </w:r>
          </w:p>
        </w:tc>
      </w:tr>
      <w:tr>
        <w:trPr>
          <w:cantSplit w:val="true"/>
        </w:trPr>
        <w:tc>
          <w:tcPr>
            <w:tcW w:type="dxa" w:w="2050"/>
            <w:shd w:fill="F2F4F7"/>
            <w:tcMar>
              <w:top w:w="80" w:type="dxa"/>
              <w:start w:w="120" w:type="dxa"/>
              <w:bottom w:w="80" w:type="dxa"/>
              <w:end w:w="120" w:type="dxa"/>
            </w:tcMar>
            <w:vAlign w:val="center"/>
          </w:tcPr>
          <w:p>
            <w:pPr>
              <w:spacing w:after="20" w:line="240" w:lineRule="auto"/>
            </w:pPr>
            <w:r>
              <w:rPr>
                <w:sz w:val="16"/>
              </w:rPr>
              <w:t>API design</w:t>
            </w:r>
          </w:p>
        </w:tc>
        <w:tc>
          <w:tcPr>
            <w:tcW w:type="dxa" w:w="7310"/>
            <w:shd w:fill="F2F4F7"/>
            <w:tcMar>
              <w:top w:w="80" w:type="dxa"/>
              <w:start w:w="120" w:type="dxa"/>
              <w:bottom w:w="80" w:type="dxa"/>
              <w:end w:w="120" w:type="dxa"/>
            </w:tcMar>
            <w:vAlign w:val="center"/>
          </w:tcPr>
          <w:p>
            <w:pPr>
              <w:spacing w:after="20" w:line="240" w:lineRule="auto"/>
            </w:pPr>
            <w:r>
              <w:rPr>
                <w:sz w:val="16"/>
              </w:rPr>
              <w:t>Provide an API inventory and OpenAPI contract. How will authentication, authorization, versioning, idempotency, webhooks, retry and error queues work?</w:t>
            </w:r>
          </w:p>
        </w:tc>
      </w:tr>
      <w:tr>
        <w:trPr>
          <w:cantSplit w:val="true"/>
        </w:trPr>
        <w:tc>
          <w:tcPr>
            <w:tcW w:type="dxa" w:w="2050"/>
            <w:tcMar>
              <w:top w:w="80" w:type="dxa"/>
              <w:start w:w="120" w:type="dxa"/>
              <w:bottom w:w="80" w:type="dxa"/>
              <w:end w:w="120" w:type="dxa"/>
            </w:tcMar>
            <w:vAlign w:val="center"/>
          </w:tcPr>
          <w:p>
            <w:pPr>
              <w:spacing w:after="20" w:line="240" w:lineRule="auto"/>
            </w:pPr>
            <w:r>
              <w:rPr>
                <w:sz w:val="16"/>
              </w:rPr>
              <w:t>Multi-tenancy</w:t>
            </w:r>
          </w:p>
        </w:tc>
        <w:tc>
          <w:tcPr>
            <w:tcW w:type="dxa" w:w="7310"/>
            <w:tcMar>
              <w:top w:w="80" w:type="dxa"/>
              <w:start w:w="120" w:type="dxa"/>
              <w:bottom w:w="80" w:type="dxa"/>
              <w:end w:w="120" w:type="dxa"/>
            </w:tcMar>
            <w:vAlign w:val="center"/>
          </w:tcPr>
          <w:p>
            <w:pPr>
              <w:spacing w:after="20" w:line="240" w:lineRule="auto"/>
            </w:pPr>
            <w:r>
              <w:rPr>
                <w:sz w:val="16"/>
              </w:rPr>
              <w:t>How will you technically prevent one company from reading or writing another company’s data? How will this be tested?</w:t>
            </w:r>
          </w:p>
        </w:tc>
      </w:tr>
      <w:tr>
        <w:trPr>
          <w:cantSplit w:val="true"/>
        </w:trPr>
        <w:tc>
          <w:tcPr>
            <w:tcW w:type="dxa" w:w="2050"/>
            <w:shd w:fill="F2F4F7"/>
            <w:tcMar>
              <w:top w:w="80" w:type="dxa"/>
              <w:start w:w="120" w:type="dxa"/>
              <w:bottom w:w="80" w:type="dxa"/>
              <w:end w:w="120" w:type="dxa"/>
            </w:tcMar>
            <w:vAlign w:val="center"/>
          </w:tcPr>
          <w:p>
            <w:pPr>
              <w:spacing w:after="20" w:line="240" w:lineRule="auto"/>
            </w:pPr>
            <w:r>
              <w:rPr>
                <w:sz w:val="16"/>
              </w:rPr>
              <w:t>KPI governance</w:t>
            </w:r>
          </w:p>
        </w:tc>
        <w:tc>
          <w:tcPr>
            <w:tcW w:type="dxa" w:w="7310"/>
            <w:shd w:fill="F2F4F7"/>
            <w:tcMar>
              <w:top w:w="80" w:type="dxa"/>
              <w:start w:w="120" w:type="dxa"/>
              <w:bottom w:w="80" w:type="dxa"/>
              <w:end w:w="120" w:type="dxa"/>
            </w:tcMar>
            <w:vAlign w:val="center"/>
          </w:tcPr>
          <w:p>
            <w:pPr>
              <w:spacing w:after="20" w:line="240" w:lineRule="auto"/>
            </w:pPr>
            <w:r>
              <w:rPr>
                <w:sz w:val="16"/>
              </w:rPr>
              <w:t>Where are H/B, OEE, schedule attainment, yield and complaint rates calculated? How do you prevent duplicate or hardcoded calculations?</w:t>
            </w:r>
          </w:p>
        </w:tc>
      </w:tr>
      <w:tr>
        <w:trPr>
          <w:cantSplit w:val="true"/>
        </w:trPr>
        <w:tc>
          <w:tcPr>
            <w:tcW w:type="dxa" w:w="2050"/>
            <w:tcMar>
              <w:top w:w="80" w:type="dxa"/>
              <w:start w:w="120" w:type="dxa"/>
              <w:bottom w:w="80" w:type="dxa"/>
              <w:end w:w="120" w:type="dxa"/>
            </w:tcMar>
            <w:vAlign w:val="center"/>
          </w:tcPr>
          <w:p>
            <w:pPr>
              <w:spacing w:after="20" w:line="240" w:lineRule="auto"/>
            </w:pPr>
            <w:r>
              <w:rPr>
                <w:sz w:val="16"/>
              </w:rPr>
              <w:t>Machine discovery</w:t>
            </w:r>
          </w:p>
        </w:tc>
        <w:tc>
          <w:tcPr>
            <w:tcW w:type="dxa" w:w="7310"/>
            <w:tcMar>
              <w:top w:w="80" w:type="dxa"/>
              <w:start w:w="120" w:type="dxa"/>
              <w:bottom w:w="80" w:type="dxa"/>
              <w:end w:w="120" w:type="dxa"/>
            </w:tcMar>
            <w:vAlign w:val="center"/>
          </w:tcPr>
          <w:p>
            <w:pPr>
              <w:spacing w:after="20" w:line="240" w:lineRule="auto"/>
            </w:pPr>
            <w:r>
              <w:rPr>
                <w:sz w:val="16"/>
              </w:rPr>
              <w:t>Who will inspect each cabinet, identify PLC/HMI/network modules, confirm protocols and obtain the OEM program/tag documentation?</w:t>
            </w:r>
          </w:p>
        </w:tc>
      </w:tr>
      <w:tr>
        <w:trPr>
          <w:cantSplit w:val="true"/>
        </w:trPr>
        <w:tc>
          <w:tcPr>
            <w:tcW w:type="dxa" w:w="2050"/>
            <w:shd w:fill="F2F4F7"/>
            <w:tcMar>
              <w:top w:w="80" w:type="dxa"/>
              <w:start w:w="120" w:type="dxa"/>
              <w:bottom w:w="80" w:type="dxa"/>
              <w:end w:w="120" w:type="dxa"/>
            </w:tcMar>
            <w:vAlign w:val="center"/>
          </w:tcPr>
          <w:p>
            <w:pPr>
              <w:spacing w:after="20" w:line="240" w:lineRule="auto"/>
            </w:pPr>
            <w:r>
              <w:rPr>
                <w:sz w:val="16"/>
              </w:rPr>
              <w:t>Neptune RotoBagger</w:t>
            </w:r>
          </w:p>
        </w:tc>
        <w:tc>
          <w:tcPr>
            <w:tcW w:type="dxa" w:w="7310"/>
            <w:shd w:fill="F2F4F7"/>
            <w:tcMar>
              <w:top w:w="80" w:type="dxa"/>
              <w:start w:w="120" w:type="dxa"/>
              <w:bottom w:w="80" w:type="dxa"/>
              <w:end w:w="120" w:type="dxa"/>
            </w:tcMar>
            <w:vAlign w:val="center"/>
          </w:tcPr>
          <w:p>
            <w:pPr>
              <w:spacing w:after="20" w:line="240" w:lineRule="auto"/>
            </w:pPr>
            <w:r>
              <w:rPr>
                <w:sz w:val="16"/>
              </w:rPr>
              <w:t>Can you support an Omron-based machine environment? What exact HMI and PLC model information do you need, and which licensed drivers/software may be required?</w:t>
            </w:r>
          </w:p>
        </w:tc>
      </w:tr>
      <w:tr>
        <w:trPr>
          <w:cantSplit w:val="true"/>
        </w:trPr>
        <w:tc>
          <w:tcPr>
            <w:tcW w:type="dxa" w:w="2050"/>
            <w:tcMar>
              <w:top w:w="80" w:type="dxa"/>
              <w:start w:w="120" w:type="dxa"/>
              <w:bottom w:w="80" w:type="dxa"/>
              <w:end w:w="120" w:type="dxa"/>
            </w:tcMar>
            <w:vAlign w:val="center"/>
          </w:tcPr>
          <w:p>
            <w:pPr>
              <w:spacing w:after="20" w:line="240" w:lineRule="auto"/>
            </w:pPr>
            <w:r>
              <w:rPr>
                <w:sz w:val="16"/>
              </w:rPr>
              <w:t>Edge hardware</w:t>
            </w:r>
          </w:p>
        </w:tc>
        <w:tc>
          <w:tcPr>
            <w:tcW w:type="dxa" w:w="7310"/>
            <w:tcMar>
              <w:top w:w="80" w:type="dxa"/>
              <w:start w:w="120" w:type="dxa"/>
              <w:bottom w:w="80" w:type="dxa"/>
              <w:end w:w="120" w:type="dxa"/>
            </w:tcMar>
            <w:vAlign w:val="center"/>
          </w:tcPr>
          <w:p>
            <w:pPr>
              <w:spacing w:after="20" w:line="240" w:lineRule="auto"/>
            </w:pPr>
            <w:r>
              <w:rPr>
                <w:sz w:val="16"/>
              </w:rPr>
              <w:t>Which industrial gateway do you propose, what protocols/drivers will it support, how much local buffering is included and how is it patched/monitored?</w:t>
            </w:r>
          </w:p>
        </w:tc>
      </w:tr>
      <w:tr>
        <w:trPr>
          <w:cantSplit w:val="true"/>
        </w:trPr>
        <w:tc>
          <w:tcPr>
            <w:tcW w:type="dxa" w:w="2050"/>
            <w:shd w:fill="F2F4F7"/>
            <w:tcMar>
              <w:top w:w="80" w:type="dxa"/>
              <w:start w:w="120" w:type="dxa"/>
              <w:bottom w:w="80" w:type="dxa"/>
              <w:end w:w="120" w:type="dxa"/>
            </w:tcMar>
            <w:vAlign w:val="center"/>
          </w:tcPr>
          <w:p>
            <w:pPr>
              <w:spacing w:after="20" w:line="240" w:lineRule="auto"/>
            </w:pPr>
            <w:r>
              <w:rPr>
                <w:sz w:val="16"/>
              </w:rPr>
              <w:t>OT cybersecurity</w:t>
            </w:r>
          </w:p>
        </w:tc>
        <w:tc>
          <w:tcPr>
            <w:tcW w:type="dxa" w:w="7310"/>
            <w:shd w:fill="F2F4F7"/>
            <w:tcMar>
              <w:top w:w="80" w:type="dxa"/>
              <w:start w:w="120" w:type="dxa"/>
              <w:bottom w:w="80" w:type="dxa"/>
              <w:end w:w="120" w:type="dxa"/>
            </w:tcMar>
            <w:vAlign w:val="center"/>
          </w:tcPr>
          <w:p>
            <w:pPr>
              <w:spacing w:after="20" w:line="240" w:lineRule="auto"/>
            </w:pPr>
            <w:r>
              <w:rPr>
                <w:sz w:val="16"/>
              </w:rPr>
              <w:t>Provide the proposed OT/IT network diagram, VLAN/firewall rules, certificate management, remote-support method and read-only controls.</w:t>
            </w:r>
          </w:p>
        </w:tc>
      </w:tr>
      <w:tr>
        <w:trPr>
          <w:cantSplit w:val="true"/>
        </w:trPr>
        <w:tc>
          <w:tcPr>
            <w:tcW w:type="dxa" w:w="2050"/>
            <w:tcMar>
              <w:top w:w="80" w:type="dxa"/>
              <w:start w:w="120" w:type="dxa"/>
              <w:bottom w:w="80" w:type="dxa"/>
              <w:end w:w="120" w:type="dxa"/>
            </w:tcMar>
            <w:vAlign w:val="center"/>
          </w:tcPr>
          <w:p>
            <w:pPr>
              <w:spacing w:after="20" w:line="240" w:lineRule="auto"/>
            </w:pPr>
            <w:r>
              <w:rPr>
                <w:sz w:val="16"/>
              </w:rPr>
              <w:t>Machine scope</w:t>
            </w:r>
          </w:p>
        </w:tc>
        <w:tc>
          <w:tcPr>
            <w:tcW w:type="dxa" w:w="7310"/>
            <w:tcMar>
              <w:top w:w="80" w:type="dxa"/>
              <w:start w:w="120" w:type="dxa"/>
              <w:bottom w:w="80" w:type="dxa"/>
              <w:end w:w="120" w:type="dxa"/>
            </w:tcMar>
            <w:vAlign w:val="center"/>
          </w:tcPr>
          <w:p>
            <w:pPr>
              <w:spacing w:after="20" w:line="240" w:lineRule="auto"/>
            </w:pPr>
            <w:r>
              <w:rPr>
                <w:sz w:val="16"/>
              </w:rPr>
              <w:t>Which machine tags will be captured in Phase 1, at what scan/event rate, and how will machine state be converted into downtime and OEE events?</w:t>
            </w:r>
          </w:p>
        </w:tc>
      </w:tr>
      <w:tr>
        <w:trPr>
          <w:cantSplit w:val="true"/>
        </w:trPr>
        <w:tc>
          <w:tcPr>
            <w:tcW w:type="dxa" w:w="2050"/>
            <w:shd w:fill="F2F4F7"/>
            <w:tcMar>
              <w:top w:w="80" w:type="dxa"/>
              <w:start w:w="120" w:type="dxa"/>
              <w:bottom w:w="80" w:type="dxa"/>
              <w:end w:w="120" w:type="dxa"/>
            </w:tcMar>
            <w:vAlign w:val="center"/>
          </w:tcPr>
          <w:p>
            <w:pPr>
              <w:spacing w:after="20" w:line="240" w:lineRule="auto"/>
            </w:pPr>
            <w:r>
              <w:rPr>
                <w:sz w:val="16"/>
              </w:rPr>
              <w:t>Offline/failure mode</w:t>
            </w:r>
          </w:p>
        </w:tc>
        <w:tc>
          <w:tcPr>
            <w:tcW w:type="dxa" w:w="7310"/>
            <w:shd w:fill="F2F4F7"/>
            <w:tcMar>
              <w:top w:w="80" w:type="dxa"/>
              <w:start w:w="120" w:type="dxa"/>
              <w:bottom w:w="80" w:type="dxa"/>
              <w:end w:w="120" w:type="dxa"/>
            </w:tcMar>
            <w:vAlign w:val="center"/>
          </w:tcPr>
          <w:p>
            <w:pPr>
              <w:spacing w:after="20" w:line="240" w:lineRule="auto"/>
            </w:pPr>
            <w:r>
              <w:rPr>
                <w:sz w:val="16"/>
              </w:rPr>
              <w:t>What happens when the machine, gateway, plant network, internet, API or cloud service is unavailable? How are duplicate and late events handled?</w:t>
            </w:r>
          </w:p>
        </w:tc>
      </w:tr>
      <w:tr>
        <w:trPr>
          <w:cantSplit w:val="true"/>
        </w:trPr>
        <w:tc>
          <w:tcPr>
            <w:tcW w:type="dxa" w:w="2050"/>
            <w:tcMar>
              <w:top w:w="80" w:type="dxa"/>
              <w:start w:w="120" w:type="dxa"/>
              <w:bottom w:w="80" w:type="dxa"/>
              <w:end w:w="120" w:type="dxa"/>
            </w:tcMar>
            <w:vAlign w:val="center"/>
          </w:tcPr>
          <w:p>
            <w:pPr>
              <w:spacing w:after="20" w:line="240" w:lineRule="auto"/>
            </w:pPr>
            <w:r>
              <w:rPr>
                <w:sz w:val="16"/>
              </w:rPr>
              <w:t>Quality controls</w:t>
            </w:r>
          </w:p>
        </w:tc>
        <w:tc>
          <w:tcPr>
            <w:tcW w:type="dxa" w:w="7310"/>
            <w:tcMar>
              <w:top w:w="80" w:type="dxa"/>
              <w:start w:w="120" w:type="dxa"/>
              <w:bottom w:w="80" w:type="dxa"/>
              <w:end w:w="120" w:type="dxa"/>
            </w:tcMar>
            <w:vAlign w:val="center"/>
          </w:tcPr>
          <w:p>
            <w:pPr>
              <w:spacing w:after="20" w:line="240" w:lineRule="auto"/>
            </w:pPr>
            <w:r>
              <w:rPr>
                <w:sz w:val="16"/>
              </w:rPr>
              <w:t>How will critical failures automatically hold product and technically prevent inventory release or shipment until authorized QA approval?</w:t>
            </w:r>
          </w:p>
        </w:tc>
      </w:tr>
      <w:tr>
        <w:trPr>
          <w:cantSplit w:val="true"/>
        </w:trPr>
        <w:tc>
          <w:tcPr>
            <w:tcW w:type="dxa" w:w="2050"/>
            <w:shd w:fill="F2F4F7"/>
            <w:tcMar>
              <w:top w:w="80" w:type="dxa"/>
              <w:start w:w="120" w:type="dxa"/>
              <w:bottom w:w="80" w:type="dxa"/>
              <w:end w:w="120" w:type="dxa"/>
            </w:tcMar>
            <w:vAlign w:val="center"/>
          </w:tcPr>
          <w:p>
            <w:pPr>
              <w:spacing w:after="20" w:line="240" w:lineRule="auto"/>
            </w:pPr>
            <w:r>
              <w:rPr>
                <w:sz w:val="16"/>
              </w:rPr>
              <w:t>Traceability</w:t>
            </w:r>
          </w:p>
        </w:tc>
        <w:tc>
          <w:tcPr>
            <w:tcW w:type="dxa" w:w="7310"/>
            <w:shd w:fill="F2F4F7"/>
            <w:tcMar>
              <w:top w:w="80" w:type="dxa"/>
              <w:start w:w="120" w:type="dxa"/>
              <w:bottom w:w="80" w:type="dxa"/>
              <w:end w:w="120" w:type="dxa"/>
            </w:tcMar>
            <w:vAlign w:val="center"/>
          </w:tcPr>
          <w:p>
            <w:pPr>
              <w:spacing w:after="20" w:line="240" w:lineRule="auto"/>
            </w:pPr>
            <w:r>
              <w:rPr>
                <w:sz w:val="16"/>
              </w:rPr>
              <w:t>Demonstrate the data model and test plan for one-step-back, one-step-forward, reverse genealogy, forward genealogy and mock recall.</w:t>
            </w:r>
          </w:p>
        </w:tc>
      </w:tr>
      <w:tr>
        <w:trPr>
          <w:cantSplit w:val="true"/>
        </w:trPr>
        <w:tc>
          <w:tcPr>
            <w:tcW w:type="dxa" w:w="2050"/>
            <w:tcMar>
              <w:top w:w="80" w:type="dxa"/>
              <w:start w:w="120" w:type="dxa"/>
              <w:bottom w:w="80" w:type="dxa"/>
              <w:end w:w="120" w:type="dxa"/>
            </w:tcMar>
            <w:vAlign w:val="center"/>
          </w:tcPr>
          <w:p>
            <w:pPr>
              <w:spacing w:after="20" w:line="240" w:lineRule="auto"/>
            </w:pPr>
            <w:r>
              <w:rPr>
                <w:sz w:val="16"/>
              </w:rPr>
              <w:t>AI governance</w:t>
            </w:r>
          </w:p>
        </w:tc>
        <w:tc>
          <w:tcPr>
            <w:tcW w:type="dxa" w:w="7310"/>
            <w:tcMar>
              <w:top w:w="80" w:type="dxa"/>
              <w:start w:w="120" w:type="dxa"/>
              <w:bottom w:w="80" w:type="dxa"/>
              <w:end w:w="120" w:type="dxa"/>
            </w:tcMar>
            <w:vAlign w:val="center"/>
          </w:tcPr>
          <w:p>
            <w:pPr>
              <w:spacing w:after="20" w:line="240" w:lineRule="auto"/>
            </w:pPr>
            <w:r>
              <w:rPr>
                <w:sz w:val="16"/>
              </w:rPr>
              <w:t>Which AI/provider is proposed, what data is sent externally, how is tenant data protected, and how are human approvals and source citations enforced?</w:t>
            </w:r>
          </w:p>
        </w:tc>
      </w:tr>
      <w:tr>
        <w:trPr>
          <w:cantSplit w:val="true"/>
        </w:trPr>
        <w:tc>
          <w:tcPr>
            <w:tcW w:type="dxa" w:w="2050"/>
            <w:shd w:fill="F2F4F7"/>
            <w:tcMar>
              <w:top w:w="80" w:type="dxa"/>
              <w:start w:w="120" w:type="dxa"/>
              <w:bottom w:w="80" w:type="dxa"/>
              <w:end w:w="120" w:type="dxa"/>
            </w:tcMar>
            <w:vAlign w:val="center"/>
          </w:tcPr>
          <w:p>
            <w:pPr>
              <w:spacing w:after="20" w:line="240" w:lineRule="auto"/>
            </w:pPr>
            <w:r>
              <w:rPr>
                <w:sz w:val="16"/>
              </w:rPr>
              <w:t>Migration</w:t>
            </w:r>
          </w:p>
        </w:tc>
        <w:tc>
          <w:tcPr>
            <w:tcW w:type="dxa" w:w="7310"/>
            <w:shd w:fill="F2F4F7"/>
            <w:tcMar>
              <w:top w:w="80" w:type="dxa"/>
              <w:start w:w="120" w:type="dxa"/>
              <w:bottom w:w="80" w:type="dxa"/>
              <w:end w:w="120" w:type="dxa"/>
            </w:tcMar>
            <w:vAlign w:val="center"/>
          </w:tcPr>
          <w:p>
            <w:pPr>
              <w:spacing w:after="20" w:line="240" w:lineRule="auto"/>
            </w:pPr>
            <w:r>
              <w:rPr>
                <w:sz w:val="16"/>
              </w:rPr>
              <w:t>Which existing data will be migrated, how will counts/balances be reconciled, and what are the parallel-run, cutover and rollback plans?</w:t>
            </w:r>
          </w:p>
        </w:tc>
      </w:tr>
      <w:tr>
        <w:trPr>
          <w:cantSplit w:val="true"/>
        </w:trPr>
        <w:tc>
          <w:tcPr>
            <w:tcW w:type="dxa" w:w="2050"/>
            <w:tcMar>
              <w:top w:w="80" w:type="dxa"/>
              <w:start w:w="120" w:type="dxa"/>
              <w:bottom w:w="80" w:type="dxa"/>
              <w:end w:w="120" w:type="dxa"/>
            </w:tcMar>
            <w:vAlign w:val="center"/>
          </w:tcPr>
          <w:p>
            <w:pPr>
              <w:spacing w:after="20" w:line="240" w:lineRule="auto"/>
            </w:pPr>
            <w:r>
              <w:rPr>
                <w:sz w:val="16"/>
              </w:rPr>
              <w:t>Testing and acceptance</w:t>
            </w:r>
          </w:p>
        </w:tc>
        <w:tc>
          <w:tcPr>
            <w:tcW w:type="dxa" w:w="7310"/>
            <w:tcMar>
              <w:top w:w="80" w:type="dxa"/>
              <w:start w:w="120" w:type="dxa"/>
              <w:bottom w:w="80" w:type="dxa"/>
              <w:end w:w="120" w:type="dxa"/>
            </w:tcMar>
            <w:vAlign w:val="center"/>
          </w:tcPr>
          <w:p>
            <w:pPr>
              <w:spacing w:after="20" w:line="240" w:lineRule="auto"/>
            </w:pPr>
            <w:r>
              <w:rPr>
                <w:sz w:val="16"/>
              </w:rPr>
              <w:t>Provide milestone-specific acceptance tests and evidence. A screen or API endpoint alone is not an accepted completed feature.</w:t>
            </w:r>
          </w:p>
        </w:tc>
      </w:tr>
      <w:tr>
        <w:trPr>
          <w:cantSplit w:val="true"/>
        </w:trPr>
        <w:tc>
          <w:tcPr>
            <w:tcW w:type="dxa" w:w="2050"/>
            <w:shd w:fill="F2F4F7"/>
            <w:tcMar>
              <w:top w:w="80" w:type="dxa"/>
              <w:start w:w="120" w:type="dxa"/>
              <w:bottom w:w="80" w:type="dxa"/>
              <w:end w:w="120" w:type="dxa"/>
            </w:tcMar>
            <w:vAlign w:val="center"/>
          </w:tcPr>
          <w:p>
            <w:pPr>
              <w:spacing w:after="20" w:line="240" w:lineRule="auto"/>
            </w:pPr>
            <w:r>
              <w:rPr>
                <w:sz w:val="16"/>
              </w:rPr>
              <w:t>Cost and schedule</w:t>
            </w:r>
          </w:p>
        </w:tc>
        <w:tc>
          <w:tcPr>
            <w:tcW w:type="dxa" w:w="7310"/>
            <w:shd w:fill="F2F4F7"/>
            <w:tcMar>
              <w:top w:w="80" w:type="dxa"/>
              <w:start w:w="120" w:type="dxa"/>
              <w:bottom w:w="80" w:type="dxa"/>
              <w:end w:w="120" w:type="dxa"/>
            </w:tcMar>
            <w:vAlign w:val="center"/>
          </w:tcPr>
          <w:p>
            <w:pPr>
              <w:spacing w:after="20" w:line="240" w:lineRule="auto"/>
            </w:pPr>
            <w:r>
              <w:rPr>
                <w:sz w:val="16"/>
              </w:rPr>
              <w:t>Provide cost, duration, dependencies, exclusions, third-party licenses, recurring hosting/support costs and payment tied to accepted milestones.</w:t>
            </w:r>
          </w:p>
        </w:tc>
      </w:tr>
      <w:tr>
        <w:trPr>
          <w:cantSplit w:val="true"/>
        </w:trPr>
        <w:tc>
          <w:tcPr>
            <w:tcW w:type="dxa" w:w="2050"/>
            <w:tcMar>
              <w:top w:w="80" w:type="dxa"/>
              <w:start w:w="120" w:type="dxa"/>
              <w:bottom w:w="80" w:type="dxa"/>
              <w:end w:w="120" w:type="dxa"/>
            </w:tcMar>
            <w:vAlign w:val="center"/>
          </w:tcPr>
          <w:p>
            <w:pPr>
              <w:spacing w:after="20" w:line="240" w:lineRule="auto"/>
            </w:pPr>
            <w:r>
              <w:rPr>
                <w:sz w:val="16"/>
              </w:rPr>
              <w:t>Support and warranty</w:t>
            </w:r>
          </w:p>
        </w:tc>
        <w:tc>
          <w:tcPr>
            <w:tcW w:type="dxa" w:w="7310"/>
            <w:tcMar>
              <w:top w:w="80" w:type="dxa"/>
              <w:start w:w="120" w:type="dxa"/>
              <w:bottom w:w="80" w:type="dxa"/>
              <w:end w:w="120" w:type="dxa"/>
            </w:tcMar>
            <w:vAlign w:val="center"/>
          </w:tcPr>
          <w:p>
            <w:pPr>
              <w:spacing w:after="20" w:line="240" w:lineRule="auto"/>
            </w:pPr>
            <w:r>
              <w:rPr>
                <w:sz w:val="16"/>
              </w:rPr>
              <w:t>Who owns production incidents, response time, defects after launch, backups, monitoring, security patches and ongoing releases?</w:t>
            </w:r>
          </w:p>
        </w:tc>
      </w:tr>
    </w:tbl>
    <w:p>
      <w:pPr>
        <w:spacing w:after="40"/>
      </w:pPr>
    </w:p>
    <w:p>
      <w:pPr>
        <w:pStyle w:val="Heading1"/>
      </w:pPr>
      <w:r>
        <w:t>15. Required Discovery Evidence From the Plant</w:t>
      </w:r>
    </w:p>
    <w:p>
      <w:pPr>
        <w:pStyle w:val="ListBullet"/>
      </w:pPr>
      <w:r>
        <w:t>Full control-cabinet overview taken only by authorized, qualified personnel with safe access procedures.</w:t>
      </w:r>
    </w:p>
    <w:p>
      <w:pPr>
        <w:pStyle w:val="ListBullet"/>
      </w:pPr>
      <w:r>
        <w:t>Clear PLC/controller CPU label and all communication-module labels.</w:t>
      </w:r>
    </w:p>
    <w:p>
      <w:pPr>
        <w:pStyle w:val="ListBullet"/>
      </w:pPr>
      <w:r>
        <w:t>Omron HMI model/serial label, usually on the rear or side of the unit.</w:t>
      </w:r>
    </w:p>
    <w:p>
      <w:pPr>
        <w:pStyle w:val="ListBullet"/>
      </w:pPr>
      <w:r>
        <w:t>Ethernet ports, switches, IP/network labels and unused communication ports.</w:t>
      </w:r>
    </w:p>
    <w:p>
      <w:pPr>
        <w:pStyle w:val="ListBullet"/>
      </w:pPr>
      <w:r>
        <w:t>Electrical schematics pages showing PLC, HMI, network and I/O architecture.</w:t>
      </w:r>
    </w:p>
    <w:p>
      <w:pPr>
        <w:pStyle w:val="ListBullet"/>
      </w:pPr>
      <w:r>
        <w:t>OEM manuals, controller/HMI backup files, tag/address list and current program ownership/password status.</w:t>
      </w:r>
    </w:p>
    <w:p>
      <w:pPr>
        <w:pStyle w:val="ListBullet"/>
      </w:pPr>
      <w:r>
        <w:t>Existing remote-support hardware or VPN, if any.</w:t>
      </w:r>
    </w:p>
    <w:p>
      <w:pPr>
        <w:pStyle w:val="ListBullet"/>
      </w:pPr>
      <w:r>
        <w:t>Approved list of data points needed from each machine and the business purpose for each.</w:t>
      </w:r>
    </w:p>
    <w:p>
      <w:pPr>
        <w:pStyle w:val="ListBullet"/>
      </w:pPr>
      <w:r>
        <w:t>Plant IT network/security requirements, Wi-Fi coverage, hosting/data-residency requirements and responsible contacts.</w:t>
      </w:r>
    </w:p>
    <w:p>
      <w:pPr>
        <w:pStyle w:val="Heading1"/>
      </w:pPr>
      <w:r>
        <w:t>16. Required Developer Deliverables</w:t>
      </w:r>
    </w:p>
    <w:p>
      <w:pPr>
        <w:spacing w:after="80" w:line="264" w:lineRule="auto"/>
        <w:numPr>
          <w:ilvl w:val="0"/>
          <w:numId w:val="12"/>
        </w:numPr>
      </w:pPr>
      <w:r>
        <w:t>Discovery report and current-system Keep/Improve/Merge/Replace/Retire gap map.</w:t>
      </w:r>
    </w:p>
    <w:p>
      <w:pPr>
        <w:spacing w:after="80" w:line="264" w:lineRule="auto"/>
        <w:numPr>
          <w:ilvl w:val="0"/>
          <w:numId w:val="12"/>
        </w:numPr>
      </w:pPr>
      <w:r>
        <w:t>Solution architecture diagram covering cloud, application, database, integrations, OT/IT boundary and edge gateway.</w:t>
      </w:r>
    </w:p>
    <w:p>
      <w:pPr>
        <w:spacing w:after="80" w:line="264" w:lineRule="auto"/>
        <w:numPr>
          <w:ilvl w:val="0"/>
          <w:numId w:val="12"/>
        </w:numPr>
      </w:pPr>
      <w:r>
        <w:t>Canonical data model and entity-relationship diagram with tenant isolation design.</w:t>
      </w:r>
    </w:p>
    <w:p>
      <w:pPr>
        <w:spacing w:after="80" w:line="264" w:lineRule="auto"/>
        <w:numPr>
          <w:ilvl w:val="0"/>
          <w:numId w:val="12"/>
        </w:numPr>
      </w:pPr>
      <w:r>
        <w:t>API inventory and versioned OpenAPI specification.</w:t>
      </w:r>
    </w:p>
    <w:p>
      <w:pPr>
        <w:spacing w:after="80" w:line="264" w:lineRule="auto"/>
        <w:numPr>
          <w:ilvl w:val="0"/>
          <w:numId w:val="12"/>
        </w:numPr>
      </w:pPr>
      <w:r>
        <w:t>Machine-by-machine integration matrix: asset, PLC, HMI, protocol, gateway, tags, scan rate, ownership, risk and status.</w:t>
      </w:r>
    </w:p>
    <w:p>
      <w:pPr>
        <w:spacing w:after="80" w:line="264" w:lineRule="auto"/>
        <w:numPr>
          <w:ilvl w:val="0"/>
          <w:numId w:val="12"/>
        </w:numPr>
      </w:pPr>
      <w:r>
        <w:t>Security architecture, threat/risk review, permissions matrix and audit design.</w:t>
      </w:r>
    </w:p>
    <w:p>
      <w:pPr>
        <w:spacing w:after="80" w:line="264" w:lineRule="auto"/>
        <w:numPr>
          <w:ilvl w:val="0"/>
          <w:numId w:val="12"/>
        </w:numPr>
      </w:pPr>
      <w:r>
        <w:t>Migration plan, data mapping, reconciliation plan, cutover plan and rollback plan.</w:t>
      </w:r>
    </w:p>
    <w:p>
      <w:pPr>
        <w:spacing w:after="80" w:line="264" w:lineRule="auto"/>
        <w:numPr>
          <w:ilvl w:val="0"/>
          <w:numId w:val="12"/>
        </w:numPr>
      </w:pPr>
      <w:r>
        <w:t>Milestone plan with dependencies, cost, acceptance tests and definition of done.</w:t>
      </w:r>
    </w:p>
    <w:p>
      <w:pPr>
        <w:spacing w:after="80" w:line="264" w:lineRule="auto"/>
        <w:numPr>
          <w:ilvl w:val="0"/>
          <w:numId w:val="12"/>
        </w:numPr>
      </w:pPr>
      <w:r>
        <w:t>Automated test plan, CI/CD plan, monitoring plan, backup/restore test and support runbook.</w:t>
      </w:r>
    </w:p>
    <w:p>
      <w:pPr>
        <w:spacing w:after="80" w:line="264" w:lineRule="auto"/>
        <w:numPr>
          <w:ilvl w:val="0"/>
          <w:numId w:val="12"/>
        </w:numPr>
      </w:pPr>
      <w:r>
        <w:t>Source-code handover, database schema, infrastructure configuration, admin documentation and operator documentation.</w:t>
      </w:r>
    </w:p>
    <w:p>
      <w:pPr>
        <w:pStyle w:val="Heading1"/>
      </w:pPr>
      <w:r>
        <w:t>17. Definition of Done and Acceptance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20"/>
            </w:pPr>
            <w:r/>
            <w:r>
              <w:rPr>
                <w:b/>
                <w:color w:val="17365D"/>
              </w:rPr>
              <w:t xml:space="preserve">COMPLETION STANDARD: </w:t>
            </w:r>
            <w:r>
              <w:t>A page, chart, table, API endpoint or database table is not a completed feature. A feature is complete only when its workflow, database transaction, calculations, permissions, audit trail, error handling, reporting, tests and documentation work end to end.</w:t>
            </w:r>
          </w:p>
        </w:tc>
      </w:tr>
    </w:tbl>
    <w:p>
      <w:pPr>
        <w:spacing w:after="0"/>
      </w:pPr>
    </w:p>
    <w:p>
      <w:pPr>
        <w:pStyle w:val="ListBullet"/>
      </w:pPr>
      <w:r>
        <w:t>No critical workflow uses static/demo data or front-end-only validation.</w:t>
      </w:r>
    </w:p>
    <w:p>
      <w:pPr>
        <w:pStyle w:val="ListBullet"/>
      </w:pPr>
      <w:r>
        <w:t>A failed critical quality check automatically creates a hold and prevents finished-goods release and shipment.</w:t>
      </w:r>
    </w:p>
    <w:p>
      <w:pPr>
        <w:pStyle w:val="ListBullet"/>
      </w:pPr>
      <w:r>
        <w:t>The same production event correctly updates materials, batch history, labour, quality, inventory, traceability, cost and KPIs.</w:t>
      </w:r>
    </w:p>
    <w:p>
      <w:pPr>
        <w:pStyle w:val="ListBullet"/>
      </w:pPr>
      <w:r>
        <w:t>H/B and OEE results reconcile from the underlying event data for daily, weekly, monthly, YTD and annual views.</w:t>
      </w:r>
    </w:p>
    <w:p>
      <w:pPr>
        <w:pStyle w:val="ListBullet"/>
      </w:pPr>
      <w:r>
        <w:t>Machine data can be traced from raw reading through normalized event, transaction, KPI and displayed result.</w:t>
      </w:r>
    </w:p>
    <w:p>
      <w:pPr>
        <w:pStyle w:val="ListBullet"/>
      </w:pPr>
      <w:r>
        <w:t>Tenant-isolation, authorization, migration, backup/restore and rollback tests pass before production cutover.</w:t>
      </w:r>
    </w:p>
    <w:p>
      <w:pPr>
        <w:pStyle w:val="ListBullet"/>
      </w:pPr>
      <w:r>
        <w:t>FlowState Ops receives all source, credentials, schemas, specifications, configuration and documentation.</w:t>
      </w:r>
    </w:p>
    <w:p>
      <w:pPr>
        <w:pStyle w:val="Heading1"/>
      </w:pPr>
      <w:r>
        <w:t>18. Immediate Next Step</w:t>
      </w:r>
    </w:p>
    <w:p>
      <w:r>
        <w:t>Kiaan Tech should review this brief and return one consolidated Discovery Response covering the questions in Section 14. The response should include a proposed architecture, system model, API strategy, hardware-discovery plan, machine-integration approach, milestones, costs, exclusions and acceptance evidence. Development should proceed only after this response is agreed and Phase 0 discovery deliverables are approved.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20"/>
            </w:pPr>
            <w:r/>
            <w:r>
              <w:rPr>
                <w:b/>
                <w:color w:val="9B1C1C"/>
              </w:rPr>
              <w:t xml:space="preserve">IMPORTANT: </w:t>
            </w:r>
            <w:r>
              <w:t>Do not purchase a gateway, PLC module, software licence or network hardware for either the Neptune RotoBagger or Variovac VAC machine until the controller/HMI models, available ports, supported protocols, OEM restrictions and plant cybersecurity design are verified.</w:t>
            </w:r>
          </w:p>
        </w:tc>
      </w:tr>
    </w:tbl>
    <w:p>
      <w:pPr>
        <w:spacing w:after="0"/>
      </w:pPr>
    </w:p>
    <w:p>
      <w:pPr>
        <w:pStyle w:val="Heading1"/>
      </w:pPr>
      <w:r>
        <w:t>Source Basis</w:t>
      </w:r>
    </w:p>
    <w:p>
      <w:pPr>
        <w:pStyle w:val="SmallNote"/>
      </w:pPr>
      <w:r>
        <w:t>Prepared from the FlowState Ops Full Developer Rebuild Scope (August 2026), the confirmed manufacturing requirements supplied by Stefan Crawford, and photographs of the Plan It Neptune RotoBagger and Variovac VAC machine controls. Evidence includes the Omron CP2E PLC, W4S1-05B switch, TN-630-W4 gateway, B&amp;R Automation Panel, B&amp;R industrial controller/Panel PC, ACOPOSinverter P74, drives, power supplies and safety components. Hardware details not legible or independently verified are explicitly marked as discovery requirements.</w:t>
      </w:r>
    </w:p>
    <w:sectPr w:rsidR="00FC693F" w:rsidRPr="0006063C" w:rsidSect="00034616">
      <w:headerReference w:type="default" r:id="rId9"/>
      <w:footerReference w:type="default" r:id="rId10"/>
      <w:pgSz w:w="12240" w:h="15840"/>
      <w:pgMar w:top="1080" w:right="1181" w:bottom="1080" w:left="1181"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Confidential - Developer Discovery and Implementation Scope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FLOWSTATE OPS  |  TECHNICAL DEVELOPMENT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Calibri" w:hAnsi="Calibr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FlowState Ops Manufacturing Platform Technical Brief</dc:title>
  <dc:subject>Technical requirements for Kiaan Tech discovery and development</dc:subject>
  <dc:creator>FlowState Ops</dc:creator>
  <cp:keywords>ERP, APS, MRP, MES, QMS, WMS, CMMS, SCADA, API, Omron, Neptune RotoBagger</cp:keywords>
  <dc:description>generated by python-docx</dc:description>
  <cp:lastModifiedBy/>
  <cp:revision>1</cp:revision>
  <dcterms:created xsi:type="dcterms:W3CDTF">2013-12-23T23:15:00Z</dcterms:created>
  <dcterms:modified xsi:type="dcterms:W3CDTF">2013-12-23T23:15:00Z</dcterms:modified>
  <cp:category/>
</cp:coreProperties>
</file>