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Richard Daly</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 The dwelling roof is a 5/12 one story gable roof with 25 year 3-tab shingles installed as a single layer. Felt and drip edge is present. The roof is approximately 20 years old. 5/12 pitch, 25 year 3 tab shingles, 1 ft overhang, PVC ridge vent, 5 pipe jacks.</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Front slope has 13 wind damaged shingles. Rear slope has 150 wind damaged shingles. Front elevation fascia displaced. Right elevation is free from wind damage. Rear elevation fascia damaged/displaced, missing/damaged fascia. A.C unit free from damage. Left elevation fascia displaced.</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Date Taken: 11/13/2024, Taken By: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Wind (for shingles and fascia damage). Power outage on the DOL resulting in of food loss of $500.</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