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560" w:after="60" w:line="276" w:lineRule="auto"/>
        <w:jc w:val="center"/>
      </w:pPr>
      <w:r>
        <w:rPr>
          <w:rFonts w:ascii="Segoe UI" w:hAnsi="Segoe UI"/>
          <w:b/>
          <w:i w:val="0"/>
          <w:color w:val="646E7D"/>
          <w:sz w:val="24"/>
        </w:rPr>
        <w:t>DEPARTMENT OF COMPUTER APPLICATIONS</w:t>
      </w:r>
    </w:p>
    <w:p>
      <w:pPr>
        <w:keepNext w:val="0"/>
        <w:spacing w:before="40" w:after="60" w:line="276" w:lineRule="auto"/>
        <w:jc w:val="center"/>
      </w:pPr>
      <w:r>
        <w:rPr>
          <w:rFonts w:ascii="Segoe UI" w:hAnsi="Segoe UI"/>
          <w:b/>
          <w:i w:val="0"/>
          <w:color w:val="18325F"/>
          <w:sz w:val="26"/>
        </w:rPr>
        <w:t>MASTER OF COMPUTER APPLICATIONS (MCA)</w:t>
      </w:r>
    </w:p>
    <w:p>
      <w:pPr>
        <w:keepNext w:val="0"/>
        <w:spacing w:before="40" w:after="360" w:line="276" w:lineRule="auto"/>
        <w:jc w:val="center"/>
      </w:pPr>
      <w:r>
        <w:rPr>
          <w:rFonts w:ascii="Segoe UI" w:hAnsi="Segoe UI"/>
          <w:b w:val="0"/>
          <w:i w:val="0"/>
          <w:color w:val="646E7D"/>
          <w:sz w:val="21"/>
        </w:rPr>
        <w:t>Final Year Project — Semester III (Academic Year 2025 - 2026)</w:t>
      </w:r>
    </w:p>
    <w:p>
      <w:pPr>
        <w:keepNext w:val="0"/>
        <w:spacing w:before="40" w:after="320" w:line="276" w:lineRule="auto"/>
        <w:jc w:val="center"/>
      </w:pPr>
      <w:r>
        <w:rPr>
          <w:rFonts w:ascii="Segoe UI" w:hAnsi="Segoe UI"/>
          <w:b/>
          <w:i w:val="0"/>
          <w:color w:val="2563EB"/>
          <w:sz w:val="20"/>
        </w:rPr>
        <w:t>____________________________________________________________</w:t>
      </w:r>
    </w:p>
    <w:p>
      <w:pPr>
        <w:keepNext w:val="0"/>
        <w:spacing w:before="160" w:after="160" w:line="288" w:lineRule="auto"/>
        <w:jc w:val="center"/>
      </w:pPr>
      <w:r>
        <w:rPr>
          <w:rFonts w:ascii="Segoe UI" w:hAnsi="Segoe UI"/>
          <w:b/>
          <w:i w:val="0"/>
          <w:color w:val="18325F"/>
          <w:sz w:val="31"/>
        </w:rPr>
        <w:t>ZeroTrustCloud: Implementing and Automating Identity-Centric Zero-Trust Architecture for Cloud-Native Environments</w:t>
      </w:r>
    </w:p>
    <w:p>
      <w:pPr>
        <w:keepNext w:val="0"/>
        <w:spacing w:before="40" w:after="280" w:line="276" w:lineRule="auto"/>
        <w:jc w:val="center"/>
      </w:pPr>
      <w:r>
        <w:rPr>
          <w:rFonts w:ascii="Segoe UI" w:hAnsi="Segoe UI"/>
          <w:b/>
          <w:i w:val="0"/>
          <w:color w:val="2563EB"/>
          <w:sz w:val="24"/>
        </w:rPr>
        <w:t>RESEARCH METHODOLOGY, DATA COLLECTION &amp; EXPERIMENTAL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352"/>
            <w:tcBorders>
              <w:top w:val="single" w:sz="6" w:space="0" w:color="CBD5E1"/>
              <w:bottom w:val="single" w:sz="6" w:space="0" w:color="CBD5E1"/>
              <w:left w:val="single" w:sz="18" w:space="0" w:color="1E3A8A"/>
              <w:right w:val="single" w:sz="6" w:space="0" w:color="CBD5E1"/>
            </w:tcBorders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50"/>
            </w:pPr>
            <w:r>
              <w:rPr>
                <w:rFonts w:ascii="Segoe UI" w:hAnsi="Segoe UI"/>
                <w:b/>
                <w:i w:val="0"/>
                <w:color w:val="18325F"/>
                <w:sz w:val="20"/>
              </w:rPr>
              <w:t xml:space="preserve">Domain: </w:t>
            </w:r>
            <w:r>
              <w:rPr>
                <w:rFonts w:ascii="Segoe UI" w:hAnsi="Segoe UI"/>
                <w:b w:val="0"/>
                <w:i w:val="0"/>
                <w:color w:val="232832"/>
                <w:sz w:val="20"/>
              </w:rPr>
              <w:t>Cybersecurity &amp; Supply Chain Defense</w:t>
            </w:r>
          </w:p>
          <w:p>
            <w:pPr>
              <w:spacing w:after="50"/>
            </w:pPr>
            <w:r>
              <w:rPr>
                <w:rFonts w:ascii="Segoe UI" w:hAnsi="Segoe UI"/>
                <w:b/>
                <w:i w:val="0"/>
                <w:color w:val="18325F"/>
                <w:sz w:val="20"/>
              </w:rPr>
              <w:t xml:space="preserve">Proposed Platform: </w:t>
            </w:r>
            <w:r>
              <w:rPr>
                <w:rFonts w:ascii="Segoe UI" w:hAnsi="Segoe UI"/>
                <w:b w:val="0"/>
                <w:i w:val="0"/>
                <w:color w:val="232832"/>
                <w:sz w:val="20"/>
              </w:rPr>
              <w:t>TrustMesh (Identity-Centric Zero-Trust Control Plane)</w:t>
            </w:r>
          </w:p>
          <w:p>
            <w:pPr>
              <w:spacing w:after="50"/>
            </w:pPr>
            <w:r>
              <w:rPr>
                <w:rFonts w:ascii="Segoe UI" w:hAnsi="Segoe UI"/>
                <w:b/>
                <w:i w:val="0"/>
                <w:color w:val="18325F"/>
                <w:sz w:val="20"/>
              </w:rPr>
              <w:t xml:space="preserve">Project Period: </w:t>
            </w:r>
            <w:r>
              <w:rPr>
                <w:rFonts w:ascii="Segoe UI" w:hAnsi="Segoe UI"/>
                <w:b w:val="0"/>
                <w:i w:val="0"/>
                <w:color w:val="232832"/>
                <w:sz w:val="20"/>
              </w:rPr>
              <w:t>September 4, 2026 – November 27, 2026</w:t>
            </w:r>
          </w:p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20"/>
              </w:rPr>
              <w:t xml:space="preserve">Current Project Status: </w:t>
            </w:r>
            <w:r>
              <w:rPr>
                <w:rFonts w:ascii="Segoe UI" w:hAnsi="Segoe UI"/>
                <w:b/>
                <w:i w:val="0"/>
                <w:color w:val="2563EB"/>
                <w:sz w:val="20"/>
              </w:rPr>
              <w:t>Research &amp; Methodology / Experimental Planning Phase (Week 4)</w:t>
            </w:r>
          </w:p>
        </w:tc>
      </w:tr>
    </w:tbl>
    <w:p>
      <w:pPr>
        <w:keepNext w:val="0"/>
        <w:spacing w:before="520" w:after="60" w:line="276" w:lineRule="auto"/>
        <w:jc w:val="center"/>
      </w:pPr>
      <w:r>
        <w:rPr>
          <w:rFonts w:ascii="Segoe UI" w:hAnsi="Segoe UI"/>
          <w:b/>
          <w:i w:val="0"/>
          <w:color w:val="18325F"/>
          <w:sz w:val="21"/>
        </w:rPr>
        <w:t>SUBMITTED BY</w:t>
      </w:r>
    </w:p>
    <w:p>
      <w:pPr>
        <w:keepNext w:val="0"/>
        <w:spacing w:before="20" w:after="40" w:line="276" w:lineRule="auto"/>
        <w:jc w:val="center"/>
      </w:pPr>
      <w:r>
        <w:rPr>
          <w:rFonts w:ascii="Segoe UI" w:hAnsi="Segoe UI"/>
          <w:b/>
          <w:i w:val="0"/>
          <w:color w:val="232832"/>
          <w:sz w:val="24"/>
        </w:rPr>
        <w:t>Hithaishi S P</w:t>
      </w:r>
    </w:p>
    <w:p>
      <w:pPr>
        <w:keepNext w:val="0"/>
        <w:spacing w:before="20" w:after="280" w:line="276" w:lineRule="auto"/>
        <w:jc w:val="center"/>
      </w:pPr>
      <w:r>
        <w:rPr>
          <w:rFonts w:ascii="Segoe UI" w:hAnsi="Segoe UI"/>
          <w:b w:val="0"/>
          <w:i w:val="0"/>
          <w:color w:val="646E7D"/>
          <w:sz w:val="19"/>
        </w:rPr>
        <w:t>GitHub: @HithaishiSP2004 | MCA Final Year, Semester III</w:t>
      </w:r>
    </w:p>
    <w:p>
      <w:pPr>
        <w:keepNext w:val="0"/>
        <w:spacing w:before="40" w:after="40" w:line="276" w:lineRule="auto"/>
        <w:jc w:val="center"/>
      </w:pPr>
      <w:r>
        <w:rPr>
          <w:rFonts w:ascii="Segoe UI" w:hAnsi="Segoe UI"/>
          <w:b/>
          <w:i w:val="0"/>
          <w:color w:val="646E7D"/>
          <w:sz w:val="19"/>
        </w:rPr>
        <w:t>Project Team Collaborators:</w:t>
      </w:r>
    </w:p>
    <w:p>
      <w:pPr>
        <w:keepNext w:val="0"/>
        <w:spacing w:before="20" w:after="0" w:line="276" w:lineRule="auto"/>
        <w:jc w:val="center"/>
      </w:pPr>
      <w:r>
        <w:rPr>
          <w:rFonts w:ascii="Segoe UI" w:hAnsi="Segoe UI"/>
          <w:b w:val="0"/>
          <w:i w:val="0"/>
          <w:color w:val="232832"/>
          <w:sz w:val="19"/>
        </w:rPr>
        <w:t>Baire Gowda (@bairegowda1003)  •  Sanjay (@sanju722002)</w:t>
      </w:r>
    </w:p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1. Executive Summary &amp; Purpose of This Document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The ZeroTrustCloud project has concluded its preliminary three-week literature exploration phase, during which 20 research papers and technical publications across cloud-native security, SPIFFE/SPIRE workload attestation, Open Policy Agent (OPA) governance, Istio mutual TLS (mTLS), and software supply chain protection were systematically surveyed. The project is currently situated in Week 4: Research Methodology, Threat Modeling, and Experimental Data Planning.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The purpose of this document is to establish a rigorous scientific blueprint for conducting the remainder of the project. Specifically, this document: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Defines the research and engineering methodologies </w:t>
      </w:r>
      <w:r>
        <w:rPr>
          <w:rFonts w:ascii="Segoe UI" w:hAnsi="Segoe UI"/>
          <w:b w:val="0"/>
          <w:i w:val="0"/>
          <w:color w:val="232832"/>
          <w:sz w:val="20"/>
        </w:rPr>
        <w:t>connecting theoretical Zero-Trust principles (NIST SP 800-207) to practical multi-cloud Kubernetes deployments.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Formalizes the threat model </w:t>
      </w:r>
      <w:r>
        <w:rPr>
          <w:rFonts w:ascii="Segoe UI" w:hAnsi="Segoe UI"/>
          <w:b w:val="0"/>
          <w:i w:val="0"/>
          <w:color w:val="232832"/>
          <w:sz w:val="20"/>
        </w:rPr>
        <w:t>identifying high-priority cloud-native attack vectors that will be evaluated experimentally.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Outlines the empirical data collection strategy </w:t>
      </w:r>
      <w:r>
        <w:rPr>
          <w:rFonts w:ascii="Segoe UI" w:hAnsi="Segoe UI"/>
          <w:b w:val="0"/>
          <w:i w:val="0"/>
          <w:color w:val="232832"/>
          <w:sz w:val="20"/>
        </w:rPr>
        <w:t>specifying the exact schema, parameters, and telemetry metrics that will be generated during controlled security experiments.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Designs controlled experimental test scenarios </w:t>
      </w:r>
      <w:r>
        <w:rPr>
          <w:rFonts w:ascii="Segoe UI" w:hAnsi="Segoe UI"/>
          <w:b w:val="0"/>
          <w:i w:val="0"/>
          <w:color w:val="232832"/>
          <w:sz w:val="20"/>
        </w:rPr>
        <w:t>comparing a baseline cloud-native deployment against the hardened TrustMesh architecture.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Establishes the GitHub repository blueprint </w:t>
      </w:r>
      <w:r>
        <w:rPr>
          <w:rFonts w:ascii="Segoe UI" w:hAnsi="Segoe UI"/>
          <w:b w:val="0"/>
          <w:i w:val="0"/>
          <w:color w:val="232832"/>
          <w:sz w:val="20"/>
        </w:rPr>
        <w:t>clearly differentiating current research assets from planned implementation modules without premature fabrication.</w:t>
      </w:r>
    </w:p>
    <w:p>
      <w:pPr>
        <w:keepNext w:val="0"/>
        <w:spacing w:before="60" w:after="12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Important Note on Project State: This document represents the operational methodology and experimental design. In adherence to academic integrity, no implementation code, live cluster deployments, or synthetic test measurements are claimed as completed; those activities are scheduled for the implementation and benchmarking phases (Weeks 5–10).</w:t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2. Research Methodology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The research follows a structured six-stage engineering lifecycle designed to ensure measurable, reproducible outcomes: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Phase 1: Literature Survey &amp; Gap Extraction [Completed]</w:t>
      </w:r>
    </w:p>
    <w:p>
      <w:pPr>
        <w:keepNext w:val="0"/>
        <w:spacing w:before="0" w:after="4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Systematically review 20 research papers and technical publications to understand state-of-the-art mechanisms in workload identity, Policy-as-Code, service mesh encryption, and supply chain security. Identify documented architectural blind spots (e.g., binary certificate trust, network policy misconfigurations, and untrusted control planes).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Phase 2: Threat Modeling &amp; Security Scope Definition [Current — Week 4]</w:t>
      </w:r>
    </w:p>
    <w:p>
      <w:pPr>
        <w:keepNext w:val="0"/>
        <w:spacing w:before="0" w:after="4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Conduct structured threat modeling across containerized application layers (identity, networking, cluster admission, supply chain, and runtime) to prioritize experimental attack vectors.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Phase 3: Architecture Design &amp; Control Plane Formalization [Current — Week 4]</w:t>
      </w:r>
    </w:p>
    <w:p>
      <w:pPr>
        <w:keepNext w:val="0"/>
        <w:spacing w:before="0" w:after="4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Formalize the TrustMesh architecture blueprint, defining component interaction protocols, policy evaluation interfaces, and data collection points.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Phase 4: Testbed Infrastructure &amp; Prototype Implementation [Planned — Weeks 5–7]</w:t>
      </w:r>
    </w:p>
    <w:p>
      <w:pPr>
        <w:keepNext w:val="0"/>
        <w:spacing w:before="0" w:after="4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Deploy baseline and Zero-Trust environments across Kubernetes clusters (AWS EKS / Azure AKS), integrating SPIRE, OPA Gatekeeper, Istio, Cosign, and Prometheus.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Phase 5: Controlled Empirical Experiments &amp; Data Collection [Planned — Weeks 8–9]</w:t>
      </w:r>
    </w:p>
    <w:p>
      <w:pPr>
        <w:keepNext w:val="0"/>
        <w:spacing w:before="0" w:after="4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Execute controlled security attack scenarios and synthetic workload performance tests against both baseline and hardened clusters to collect empirical telemetry.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Phase 6: Comparative Analysis, Evaluation &amp; Documentation [Planned — Weeks 10–12]</w:t>
      </w:r>
    </w:p>
    <w:p>
      <w:pPr>
        <w:keepNext w:val="0"/>
        <w:spacing w:before="0" w:after="4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Quantify defensive efficacy, latency overhead, and resource trade-offs; synthesize findings into the final project dissertation and academic manuscript.</w:t>
      </w:r>
    </w:p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3. System Development Methodology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To realize the TrustMesh control plane, development is divided into seven modular, sequential implementation stages. Each module is built and validated independently prior to multi-cloud integration: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Stage 1 — Environment Preparation [Planned]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Configure local container development environments and managed cloud clusters (AWS EKS / Azure AKS).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Deploy standard sample microservice application (e.g., Google Online Boutique or multi-tier banking demo) to serve as the experimental benchmark testbed.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Stage 2 — Identity &amp; Access Management Layer [Planned]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Deploy SPIRE server and node agents across cluster nodes for cryptographic workload attestation.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Establish OIDC identity federation linking Kubernetes Service Accounts to cloud IAM roles (AWS IRSA / Azure Workload Identity), eliminating static long-lived credentials.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Stage 3 — Policy-as-Code Governance Layer [Planned]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Deploy Open Policy Agent (OPA) / Gatekeeper as a validating admission controller.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Author declarative Rego security policies enforcing mandatory non-root execution, read-only root filesystems, resource quotas, and namespace isolation.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Stage 4 — Service Mesh &amp; Traffic Security [Planned]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Install Istio Service Mesh across application namespaces in STRICT mutual TLS (mTLS) mode.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Configure Layer-7 AuthorizationPolicies restricting service-to-service communication to strictly authorized dependency graphs.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Stage 5 — Continuous Verification &amp; Runtime Integrity [Planned]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Implement runtime verification and adaptive security response to monitor container hash integrity and detect configuration drift.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Evaluate adaptive access control policies that respond to detected anomalies (with dynamic trust scoring as an optional enhancement).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Stage 6 — Pipeline &amp; Supply-Chain Security [Planned]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Harden GitHub Actions CI/CD workflows using secretless OIDC cloud authentication.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Integrate automated vulnerability scanning (Trivy), SBOM generation (Syft), and container image signing (Cosign/Sigstore) enforced at cluster admission.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Stage 7 — Observability, Auditing &amp; Posture Dashboard [Planned]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Aggregate authentication events, authorization decisions, and policy violations into Prometheus and Loki.</w:t>
      </w:r>
    </w:p>
    <w:p>
      <w:pPr>
        <w:pStyle w:val="ListBullet"/>
        <w:spacing w:before="0" w:after="30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Construct a centralized web management dashboard visualizing real-time security posture and audit logs.</w:t>
      </w:r>
    </w:p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4. Threat Model &amp; Planned Experimental Scenarios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To ensure that system evaluation addresses realistic cloud-native vulnerabilities, the project establishes a structured threat model. The eight core threat scenarios, associated business risks, and proposed TrustMesh defensive controls are summarized below:</w:t>
      </w:r>
    </w:p>
    <w:tbl>
      <w:tblPr>
        <w:tblW w:type="auto" w:w="0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  <w:left w:val="none"/>
          <w:right w:val="none"/>
          <w:insideV w:val="none"/>
        </w:tblBorders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Threat Scenario</w:t>
            </w:r>
          </w:p>
        </w:tc>
        <w:tc>
          <w:tcPr>
            <w:tcW w:type="dxa" w:w="273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Attack Vector &amp; Technique</w:t>
            </w:r>
          </w:p>
        </w:tc>
        <w:tc>
          <w:tcPr>
            <w:tcW w:type="dxa" w:w="216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Potential Impact</w:t>
            </w:r>
          </w:p>
        </w:tc>
        <w:tc>
          <w:tcPr>
            <w:tcW w:type="dxa" w:w="2261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Proposed Control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Unauthorized Workload Access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Attacker or compromised pod invokes internal microservice endpoints without credentials.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Service compromise, data exfiltration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Workload cryptographic identity (SPIFFE) + Layer-7 Istio authorization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Excessive Privileges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Container requests root privileges, hostPath mounts, or cluster-admin API access.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Container breakout, node host compromise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OPA Gatekeeper admission control + least-privilege RBAC policies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Invalid / Spoofed Identity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Attacker presents expired, forged, or un-federated tokens to access service mesh.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Impersonation, unauthorized API access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Strict cryptographic token attestation and OIDC validation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Declarative Policy Violation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Operator or pipeline deploys insecure manifest lacking required security contexts.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Security posture degradation, compliance failure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Automated Policy-as-Code admission blocking + GitOps drift validation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Untrusted Container Image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Attacker injects backdoored image or vulnerable open-source container from public registry.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Supply-chain poisoning, remote code execution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Mandatory Cosign signature verification at cluster admission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Configuration Drift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Out-of-band modification to live Kubernetes deployment bypasses CI/CD static review.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Undetected vulnerability window, policy bypass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Continuous runtime verification daemon + automated alerting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Insecure East-West Traffic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Internal microservice traffic flows unencrypted over shared multi-tenant cluster network.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Packet sniffing, man-in-the-middle, token theft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Strict mutual TLS (mTLS) with automated ephemeral certificate rotation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Compromised CI/CD Secrets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Static cloud IAM keys stored in GitHub repository secrets are leaked or exfiltrated.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Full cloud infrastructure compromise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Secretless ephemeral OIDC cloud authentication for CI/CD runners</w:t>
            </w:r>
          </w:p>
        </w:tc>
      </w:tr>
    </w:tbl>
    <w:p>
      <w:pPr>
        <w:keepNext w:val="0"/>
        <w:spacing w:before="80" w:after="12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Clarification: The above table defines the threat model and planned experimental attack scenarios to be executed in Phase 5. In accordance with project integrity, these attacks have not yet been executed.</w:t>
      </w:r>
    </w:p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5. Data Collection Plan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A cornerstone of this research is that evaluation data will be empirically generated from controlled security experiments deployed on actual cloud-native clusters, rather than relying solely on static public datasets. Telemetry will be systematically collected across six distinct categories: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A. Identity &amp; Authentication Telemetry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timestamp: ISO-8601 millisecond timestamp of authentication request.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workload_id: Unique SPIFFE ID (e.g., spiffe://trustmesh.io/ns/prod/sa/order-service).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auth_method: Authentication protocol (OIDC Token, SPIFFE x509 SVID, Kubernetes Bound Token).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auth_result: Binary status (SUCCESS / FAILURE / EXPIRED / INVALID_SIGNATURE).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source_node: Kubernetes node and cloud provider hosting the requesting pod.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target_resource: Requested service endpoint or cloud API.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B. Authorization &amp; Policy Decision Telemetry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requesting_identity: Verified identity of calling workload.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target_service: Destination service and URI path.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requested_action: HTTP verb or API operation (GET, POST, DELETE, kubectl apply).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policy_id: Specific OPA Rego rule or Istio AuthorizationPolicy identifier.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policy_decision: Enforcement outcome (ALLOW / DENY / QUARANTINE).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evaluation_latency_ms: Milliseconds taken by OPA engine to evaluate request.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violation_reason: Diagnostic reason code for denied operations.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C. Service Mesh Network Traffic Data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source_service &amp; dest_service: Service names communicating across the mesh.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mtls_status: Cryptographic channel state (STRICT_MUTUAL_TLS / PLAINTEXT / FAILED_HANDSHAKE).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cipher_suite: Negotiated TLS cipher suite (e.g., TLS_AES_128_GCM_SHA256).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request_status_code: HTTP response status (200, 401, 403, 500).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network_latency_ms: End-to-end request round-trip time.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connection_reused: Boolean indicating whether HTTP/2 connection pooling was leveraged.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D. Security Violation &amp; Event Data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experiment_scenario: ID of active experimental attack scenario.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event_type: Category of detected breach (UNAUTHORIZED_EGRESS, ROOT_CONTAINER_ATTEMPT, DRIFT_DETECTED).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severity: Severity level (LOW / MEDIUM / HIGH / CRITICAL).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detection_latency_ms: Milliseconds elapsed between attack injection and alert generation.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enforcement_action: Immediate automated mitigation applied (BLOCKED_AT_ADMISSION / POD_EVICTED / TRAFFIC_DROPPED).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E. System Performance &amp; Overhead Telemetry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request_latency_p50_p95_p99: Millisecond latency percentiles under load.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throughput_rps: Successful requests per second sustained by services.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cpu_utilization_percent: CPU cores consumed by application vs. sidecar proxies.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memory_footprint_mb: Resident set size (RSS) memory consumed by Envoy proxies and OPA agents.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error_rate_percentage: Ratio of failed requests under stress.</w:t>
      </w:r>
    </w:p>
    <w:p>
      <w:pPr>
        <w:keepNext/>
        <w:spacing w:before="100" w:after="40"/>
      </w:pPr>
      <w:r>
        <w:rPr>
          <w:rFonts w:ascii="Segoe UI" w:hAnsi="Segoe UI"/>
          <w:b/>
          <w:i w:val="0"/>
          <w:color w:val="2563EB"/>
          <w:sz w:val="21"/>
        </w:rPr>
        <w:t>F. Software Supply Chain Verification Telemetry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artifact_digest: SHA-256 cryptographic digest of container image.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signature_status: Cosign digital signature verification state (VALID / UNTRUSTED / MISSING).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sbom_package_count: Number of software dependencies cataloged in Syft SBOM.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critical_cve_count: Number of high/critical vulnerabilities identified by Trivy scanner.</w:t>
      </w:r>
    </w:p>
    <w:p>
      <w:pPr>
        <w:pStyle w:val="ListBullet"/>
        <w:spacing w:before="0" w:after="24" w:line="276" w:lineRule="auto"/>
        <w:ind w:left="317"/>
      </w:pPr>
      <w:r>
        <w:rPr>
          <w:rFonts w:ascii="Segoe UI" w:hAnsi="Segoe UI"/>
          <w:b w:val="0"/>
          <w:i w:val="0"/>
          <w:color w:val="232832"/>
          <w:sz w:val="20"/>
        </w:rPr>
        <w:t>admission_result: Cluster admission outcome (DEPLOYED / REJECTED_BY_POLICY).</w:t>
      </w:r>
    </w:p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6. Planned Experimental Data Schema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During Phase 5 experimental trials, telemetry logs will be normalized and exported into a unified tabular structure for statistical analysis. The formal schema design is presented below:</w:t>
      </w:r>
    </w:p>
    <w:tbl>
      <w:tblPr>
        <w:tblW w:type="auto" w:w="0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  <w:left w:val="none"/>
          <w:right w:val="none"/>
          <w:insideV w:val="none"/>
        </w:tblBorders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Attribute Name</w:t>
            </w:r>
          </w:p>
        </w:tc>
        <w:tc>
          <w:tcPr>
            <w:tcW w:type="dxa" w:w="1584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Data Type</w:t>
            </w:r>
          </w:p>
        </w:tc>
        <w:tc>
          <w:tcPr>
            <w:tcW w:type="dxa" w:w="273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Example Format</w:t>
            </w:r>
          </w:p>
        </w:tc>
        <w:tc>
          <w:tcPr>
            <w:tcW w:type="dxa" w:w="2405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timestamp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STRING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2026-10-15T14:22:05.120Z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ISO-8601 execution timestamp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scenario_id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STRING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EXP-04-POLICY-VIOLATION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Experimental test case identifier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source_identity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STRING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spiffe://trustmesh.io/ns/dev/sa/frontend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Cryptographic SPIFFE workload identity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target_service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STRING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backend-orders-api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Destination service name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requested_action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STRING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POST /v1/checkout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API operation or HTTP method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auth_result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ENUM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SUCCESS | FAILED | EXPIRED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Identity verification outcome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policy_result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ENUM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ALLOW | DENY | QUARANTINE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OPA / Gatekeeper admission decision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mtls_status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ENUM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MUTUAL_TLS | PLAINTEXT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Network encryption channel state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security_event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STRING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PRIVILEGE_ESCALATION_BLOCKED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Triggered security detection label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latency_ms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FLOAT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4.25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End-to-end request latency in milliseconds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cpu_usage_mcores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INTEGER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48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Pod/sidecar CPU consumption in millicores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memory_usage_mb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FLOAT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78.4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Pod/sidecar memory footprint in megabytes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throughput_rps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FLOAT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1250.0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Active system throughput in requests per second</w:t>
            </w:r>
          </w:p>
        </w:tc>
      </w:tr>
      <w:tr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signature_valid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BOOLEAN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TRUE | FALSE</w:t>
            </w:r>
          </w:p>
        </w:tc>
        <w:tc>
          <w:tcPr>
            <w:tcW w:type="dxa" w:w="241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Cosign image signature verification state</w:t>
            </w:r>
          </w:p>
        </w:tc>
      </w:tr>
    </w:tbl>
    <w:p>
      <w:pPr>
        <w:keepNext w:val="0"/>
        <w:spacing w:before="60" w:after="12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Note on Academic Integrity: This schema outlines the planned data collection fields. No synthetic or invented measurements have been inserted; values will be populated during experimental trials.</w:t>
      </w:r>
    </w:p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7. Experimental Scenarios Matrix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To empirically validate security controls, eight controlled test scenarios will be executed against the testbed cluster during Phase 5. The test matrix and expected system behavior are defined below:</w:t>
      </w:r>
    </w:p>
    <w:tbl>
      <w:tblPr>
        <w:tblW w:type="auto" w:w="0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  <w:left w:val="none"/>
          <w:right w:val="none"/>
          <w:insideV w:val="none"/>
        </w:tblBorders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Test ID</w:t>
            </w:r>
          </w:p>
        </w:tc>
        <w:tc>
          <w:tcPr>
            <w:tcW w:type="dxa" w:w="259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Scenario Description</w:t>
            </w:r>
          </w:p>
        </w:tc>
        <w:tc>
          <w:tcPr>
            <w:tcW w:type="dxa" w:w="2448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Experimental Action</w:t>
            </w:r>
          </w:p>
        </w:tc>
        <w:tc>
          <w:tcPr>
            <w:tcW w:type="dxa" w:w="129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Expected Result</w:t>
            </w:r>
          </w:p>
        </w:tc>
        <w:tc>
          <w:tcPr>
            <w:tcW w:type="dxa" w:w="1685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Verification Method</w:t>
            </w:r>
          </w:p>
        </w:tc>
      </w:tr>
      <w:tr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EXP-01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Authorized Workload Communication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Pod with valid SPIFFE SVID calls authorized microservice endpoint.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2563EB"/>
                <w:sz w:val="17"/>
              </w:rPr>
              <w:t>Allow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Request succeeds with HTTP 200 over strict mTLS; latency recorded.</w:t>
            </w:r>
          </w:p>
        </w:tc>
      </w:tr>
      <w:tr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EXP-02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Unauthenticated Workload Access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Pod lacking SPIFFE x509 certificate attempts to invoke internal service.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2563EB"/>
                <w:sz w:val="17"/>
              </w:rPr>
              <w:t>Deny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mTLS handshake fails immediately at Envoy ingress proxy; request dropped.</w:t>
            </w:r>
          </w:p>
        </w:tc>
      </w:tr>
      <w:tr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EXP-03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Unauthorized Service-to-Service Call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Authenticated service attempts to call unapproved backend (e.g., frontend calling payment DB).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2563EB"/>
                <w:sz w:val="17"/>
              </w:rPr>
              <w:t>Deny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Layer-7 Istio AuthorizationPolicy rejects request with HTTP 403 Forbidden.</w:t>
            </w:r>
          </w:p>
        </w:tc>
      </w:tr>
      <w:tr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EXP-04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Privilege Escalation Manifest Admission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Deployment manifest requests privileged container securityContext or hostPID.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2563EB"/>
                <w:sz w:val="17"/>
              </w:rPr>
              <w:t>Block / Reject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OPA Gatekeeper admission webhook rejects manifest; deployment fails with error.</w:t>
            </w:r>
          </w:p>
        </w:tc>
      </w:tr>
      <w:tr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EXP-05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Untrusted Container Image Deployment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Deployment references image not cryptographically signed by authorized Cosign key.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2563EB"/>
                <w:sz w:val="17"/>
              </w:rPr>
              <w:t>Block / Reject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Cosign admission controller blocks pod scheduling; alert logged.</w:t>
            </w:r>
          </w:p>
        </w:tc>
      </w:tr>
      <w:tr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EXP-06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Out-of-Band Configuration Drift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Attacker modifies live Kubernetes deployment to expose an unauthorized port.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2563EB"/>
                <w:sz w:val="17"/>
              </w:rPr>
              <w:t>Detect &amp; Alert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Detection latency will be measured during the experiment.</w:t>
            </w:r>
          </w:p>
        </w:tc>
      </w:tr>
      <w:tr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EXP-07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Vulnerable Dependency Microservice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Microservice with critical CVSS &gt;= 9.0 CVE is admitted for testing.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2563EB"/>
                <w:sz w:val="17"/>
              </w:rPr>
              <w:t>Adaptive Response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Runtime verification flags vulnerability; adaptive policy restricts database access.</w:t>
            </w:r>
          </w:p>
        </w:tc>
      </w:tr>
      <w:tr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EXP-08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Synthetic Load Stress Test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Controlled synthetic load at multiple request rates generated across mesh to measure overhead.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2563EB"/>
                <w:sz w:val="17"/>
              </w:rPr>
              <w:t>Process &amp; Measure</w:t>
            </w:r>
          </w:p>
        </w:tc>
        <w:tc>
          <w:tcPr>
            <w:tcW w:type="dxa" w:w="193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Latency percentiles (p50, p95, p99), CPU, and memory recorded.</w:t>
            </w:r>
          </w:p>
        </w:tc>
      </w:tr>
    </w:tbl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8. Baseline vs. Zero-Trust Comparative Evaluation Methodology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To scientifically demonstrate the defensive efficacy and compute trade-offs of the TrustMesh framework, the project will conduct a rigorous comparative study between two identical testbed environments:</w:t>
      </w:r>
    </w:p>
    <w:p>
      <w:pPr>
        <w:keepNext/>
        <w:spacing w:before="140" w:after="40"/>
      </w:pPr>
      <w:r>
        <w:rPr>
          <w:rFonts w:ascii="Segoe UI" w:hAnsi="Segoe UI"/>
          <w:b/>
          <w:i w:val="0"/>
          <w:color w:val="2563EB"/>
          <w:sz w:val="21"/>
        </w:rPr>
        <w:t>Environment A: Baseline Cloud-Native Setup (Without Zero-Trust Controls)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Networking: </w:t>
      </w:r>
      <w:r>
        <w:rPr>
          <w:rFonts w:ascii="Segoe UI" w:hAnsi="Segoe UI"/>
          <w:b w:val="0"/>
          <w:i w:val="0"/>
          <w:color w:val="232832"/>
          <w:sz w:val="20"/>
        </w:rPr>
        <w:t>Standard Kubernetes CNI (flat network); all pods can communicate with all other pods across namespaces without encryption.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Identity: </w:t>
      </w:r>
      <w:r>
        <w:rPr>
          <w:rFonts w:ascii="Segoe UI" w:hAnsi="Segoe UI"/>
          <w:b w:val="0"/>
          <w:i w:val="0"/>
          <w:color w:val="232832"/>
          <w:sz w:val="20"/>
        </w:rPr>
        <w:t>Default Kubernetes Service Accounts with static cluster role bindings; long-lived static API credentials.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Policy: </w:t>
      </w:r>
      <w:r>
        <w:rPr>
          <w:rFonts w:ascii="Segoe UI" w:hAnsi="Segoe UI"/>
          <w:b w:val="0"/>
          <w:i w:val="0"/>
          <w:color w:val="232832"/>
          <w:sz w:val="20"/>
        </w:rPr>
        <w:t>Standard native Kubernetes RBAC; no validating admission controller or Policy-as-Code.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Supply Chain: </w:t>
      </w:r>
      <w:r>
        <w:rPr>
          <w:rFonts w:ascii="Segoe UI" w:hAnsi="Segoe UI"/>
          <w:b w:val="0"/>
          <w:i w:val="0"/>
          <w:color w:val="232832"/>
          <w:sz w:val="20"/>
        </w:rPr>
        <w:t>Standard public image registry pulls without mandatory digital signature verification.</w:t>
      </w:r>
    </w:p>
    <w:p>
      <w:pPr>
        <w:keepNext/>
        <w:spacing w:before="140" w:after="40"/>
      </w:pPr>
      <w:r>
        <w:rPr>
          <w:rFonts w:ascii="Segoe UI" w:hAnsi="Segoe UI"/>
          <w:b/>
          <w:i w:val="0"/>
          <w:color w:val="2563EB"/>
          <w:sz w:val="21"/>
        </w:rPr>
        <w:t>Environment B: Hardened ZeroTrustCloud Setup (With TrustMesh Controls)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Networking: </w:t>
      </w:r>
      <w:r>
        <w:rPr>
          <w:rFonts w:ascii="Segoe UI" w:hAnsi="Segoe UI"/>
          <w:b w:val="0"/>
          <w:i w:val="0"/>
          <w:color w:val="232832"/>
          <w:sz w:val="20"/>
        </w:rPr>
        <w:t>Istio Service Mesh with STRICT mutual TLS, ephemeral certificate rotation, and default-deny NetworkPolicies.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Identity: </w:t>
      </w:r>
      <w:r>
        <w:rPr>
          <w:rFonts w:ascii="Segoe UI" w:hAnsi="Segoe UI"/>
          <w:b w:val="0"/>
          <w:i w:val="0"/>
          <w:color w:val="232832"/>
          <w:sz w:val="20"/>
        </w:rPr>
        <w:t>SPIRE cryptographic workload attestation with ephemeral x509 SVIDs and OIDC cloud federation.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Policy: </w:t>
      </w:r>
      <w:r>
        <w:rPr>
          <w:rFonts w:ascii="Segoe UI" w:hAnsi="Segoe UI"/>
          <w:b w:val="0"/>
          <w:i w:val="0"/>
          <w:color w:val="232832"/>
          <w:sz w:val="20"/>
        </w:rPr>
        <w:t>OPA Gatekeeper validating admission controller enforcing declarative Rego policies.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Supply Chain: </w:t>
      </w:r>
      <w:r>
        <w:rPr>
          <w:rFonts w:ascii="Segoe UI" w:hAnsi="Segoe UI"/>
          <w:b w:val="0"/>
          <w:i w:val="0"/>
          <w:color w:val="232832"/>
          <w:sz w:val="20"/>
        </w:rPr>
        <w:t>Mandatory Cosign cryptographic signature verification and Trivy vulnerability gatekeeping.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Comparative Evaluation Dimensions:</w:t>
      </w:r>
    </w:p>
    <w:p>
      <w:pPr>
        <w:spacing w:before="0" w:after="50" w:line="276" w:lineRule="auto"/>
        <w:ind w:left="317"/>
      </w:pPr>
      <w:r>
        <w:rPr>
          <w:rFonts w:ascii="Segoe UI" w:hAnsi="Segoe UI"/>
          <w:b/>
          <w:i w:val="0"/>
          <w:color w:val="18325F"/>
          <w:sz w:val="20"/>
        </w:rPr>
        <w:t xml:space="preserve">1. </w:t>
      </w:r>
      <w:r>
        <w:rPr>
          <w:rFonts w:ascii="Segoe UI" w:hAnsi="Segoe UI"/>
          <w:b/>
          <w:i w:val="0"/>
          <w:color w:val="232832"/>
          <w:sz w:val="20"/>
        </w:rPr>
        <w:t xml:space="preserve">Security Efficacy: </w:t>
      </w:r>
      <w:r>
        <w:rPr>
          <w:rFonts w:ascii="Segoe UI" w:hAnsi="Segoe UI"/>
          <w:b w:val="0"/>
          <w:i w:val="0"/>
          <w:color w:val="232832"/>
          <w:sz w:val="20"/>
        </w:rPr>
        <w:t>Percentage of unauthorized lateral movement attempts, privilege escalation requests, and unsigned container deployments successfully blocked.</w:t>
      </w:r>
    </w:p>
    <w:p>
      <w:pPr>
        <w:spacing w:before="0" w:after="50" w:line="276" w:lineRule="auto"/>
        <w:ind w:left="317"/>
      </w:pPr>
      <w:r>
        <w:rPr>
          <w:rFonts w:ascii="Segoe UI" w:hAnsi="Segoe UI"/>
          <w:b/>
          <w:i w:val="0"/>
          <w:color w:val="18325F"/>
          <w:sz w:val="20"/>
        </w:rPr>
        <w:t xml:space="preserve">2. </w:t>
      </w:r>
      <w:r>
        <w:rPr>
          <w:rFonts w:ascii="Segoe UI" w:hAnsi="Segoe UI"/>
          <w:b/>
          <w:i w:val="0"/>
          <w:color w:val="232832"/>
          <w:sz w:val="20"/>
        </w:rPr>
        <w:t xml:space="preserve">Latency Overhead: </w:t>
      </w:r>
      <w:r>
        <w:rPr>
          <w:rFonts w:ascii="Segoe UI" w:hAnsi="Segoe UI"/>
          <w:b w:val="0"/>
          <w:i w:val="0"/>
          <w:color w:val="232832"/>
          <w:sz w:val="20"/>
        </w:rPr>
        <w:t>Delta in p50, p95, and p99 request latency introduced by Envoy mTLS cryptographic handshakes and OPA policy evaluation.</w:t>
      </w:r>
    </w:p>
    <w:p>
      <w:pPr>
        <w:spacing w:before="0" w:after="50" w:line="276" w:lineRule="auto"/>
        <w:ind w:left="317"/>
      </w:pPr>
      <w:r>
        <w:rPr>
          <w:rFonts w:ascii="Segoe UI" w:hAnsi="Segoe UI"/>
          <w:b/>
          <w:i w:val="0"/>
          <w:color w:val="18325F"/>
          <w:sz w:val="20"/>
        </w:rPr>
        <w:t xml:space="preserve">3. </w:t>
      </w:r>
      <w:r>
        <w:rPr>
          <w:rFonts w:ascii="Segoe UI" w:hAnsi="Segoe UI"/>
          <w:b/>
          <w:i w:val="0"/>
          <w:color w:val="232832"/>
          <w:sz w:val="20"/>
        </w:rPr>
        <w:t xml:space="preserve">Throughput Impact: </w:t>
      </w:r>
      <w:r>
        <w:rPr>
          <w:rFonts w:ascii="Segoe UI" w:hAnsi="Segoe UI"/>
          <w:b w:val="0"/>
          <w:i w:val="0"/>
          <w:color w:val="232832"/>
          <w:sz w:val="20"/>
        </w:rPr>
        <w:t>Maximum sustained requests per second (RPS) achievable before saturating CPU/RAM.</w:t>
      </w:r>
    </w:p>
    <w:p>
      <w:pPr>
        <w:spacing w:before="0" w:after="50" w:line="276" w:lineRule="auto"/>
        <w:ind w:left="317"/>
      </w:pPr>
      <w:r>
        <w:rPr>
          <w:rFonts w:ascii="Segoe UI" w:hAnsi="Segoe UI"/>
          <w:b/>
          <w:i w:val="0"/>
          <w:color w:val="18325F"/>
          <w:sz w:val="20"/>
        </w:rPr>
        <w:t xml:space="preserve">4. </w:t>
      </w:r>
      <w:r>
        <w:rPr>
          <w:rFonts w:ascii="Segoe UI" w:hAnsi="Segoe UI"/>
          <w:b/>
          <w:i w:val="0"/>
          <w:color w:val="232832"/>
          <w:sz w:val="20"/>
        </w:rPr>
        <w:t xml:space="preserve">Resource Footprint: </w:t>
      </w:r>
      <w:r>
        <w:rPr>
          <w:rFonts w:ascii="Segoe UI" w:hAnsi="Segoe UI"/>
          <w:b w:val="0"/>
          <w:i w:val="0"/>
          <w:color w:val="232832"/>
          <w:sz w:val="20"/>
        </w:rPr>
        <w:t>Additional CPU millicores and RAM megabytes consumed by sidecar proxies and control plane daemons.</w:t>
      </w:r>
    </w:p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9. Formal Evaluation Metrics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The evaluation will quantitatively measure system performance across seven core categories:</w:t>
      </w:r>
    </w:p>
    <w:tbl>
      <w:tblPr>
        <w:tblW w:type="auto" w:w="0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  <w:left w:val="none"/>
          <w:right w:val="none"/>
          <w:insideV w:val="none"/>
        </w:tblBorders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Evaluation Category</w:t>
            </w:r>
          </w:p>
        </w:tc>
        <w:tc>
          <w:tcPr>
            <w:tcW w:type="dxa" w:w="3168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Evaluation Metric</w:t>
            </w:r>
          </w:p>
        </w:tc>
        <w:tc>
          <w:tcPr>
            <w:tcW w:type="dxa" w:w="3557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Measurement Formula / Method</w:t>
            </w:r>
          </w:p>
        </w:tc>
      </w:tr>
      <w:tr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Security Enforcement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Unauthorized Access Prevention Rate (%)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Blocked unauthorized access requests / Total unauthorized attempts * 100</w:t>
            </w:r>
          </w:p>
        </w:tc>
      </w:tr>
      <w:tr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Identity Verification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Token Attestation Latency (ms)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Time taken to cryptographically issue and verify SPIFFE SVIDs</w:t>
            </w:r>
          </w:p>
        </w:tc>
      </w:tr>
      <w:tr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Policy Governance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Policy Evaluation Latency (ms)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Time taken by OPA Gatekeeper to evaluate admission manifests</w:t>
            </w:r>
          </w:p>
        </w:tc>
      </w:tr>
      <w:tr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Mesh Security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mTLS Encryption Overhead (ms)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Latency delta between plaintext HTTP and strict mTLS communication</w:t>
            </w:r>
          </w:p>
        </w:tc>
      </w:tr>
      <w:tr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Supply Chain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Artifact Verification Time (ms)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Time taken by Cosign admission webhook to verify container signatures</w:t>
            </w:r>
          </w:p>
        </w:tc>
      </w:tr>
      <w:tr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Performance Cost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Throughput Degradation Rate (%)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((Baseline RPS - ZeroTrust RPS) / Baseline RPS) * 100</w:t>
            </w:r>
          </w:p>
        </w:tc>
      </w:tr>
      <w:tr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Resource Bloat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Memory &amp; CPU Overhead per Pod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Resident Set Size (MB) and CPU cores allocated to Envoy sidecars</w:t>
            </w:r>
          </w:p>
        </w:tc>
      </w:tr>
      <w:tr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i w:val="0"/>
                <w:color w:val="18325F"/>
                <w:sz w:val="17"/>
              </w:rPr>
              <w:t>Observability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Audit Telemetry Coverage (%)</w:t>
            </w:r>
          </w:p>
        </w:tc>
        <w:tc>
          <w:tcPr>
            <w:tcW w:type="dxa" w:w="3216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38" w:type="dxa"/>
              <w:bottom w:w="38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232832"/>
                <w:sz w:val="17"/>
              </w:rPr>
              <w:t>Proportion of security events successfully captured in central logs</w:t>
            </w:r>
          </w:p>
        </w:tc>
      </w:tr>
    </w:tbl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10. Proposed Zero-Trust Architecture Blueprint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The proposed TrustMesh security framework is structured as a multi-tier control plane orchestrating identity, declarative policy, mesh encryption, and continuous runtime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16"/>
            <w:tcBorders>
              <w:top w:val="single" w:sz="6" w:space="0" w:color="CBD5E1"/>
              <w:bottom w:val="single" w:sz="6" w:space="0" w:color="CBD5E1"/>
              <w:left w:val="single" w:sz="18" w:space="0" w:color="1E3A8A"/>
              <w:right w:val="single" w:sz="6" w:space="0" w:color="CBD5E1"/>
            </w:tcBorders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1E293B"/>
                <w:sz w:val="15"/>
              </w:rPr>
              <w:t xml:space="preserve">                  ┌─────────────────────────────────────────┐</w:t>
              <w:br/>
              <w:t xml:space="preserve">                  │        Users / Developers / CI/CD       │</w:t>
              <w:br/>
              <w:t xml:space="preserve">                  └────────────────────┬────────────────────┘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┌─────────────────────────────────────────┐</w:t>
              <w:br/>
              <w:t xml:space="preserve">                  │         Identity &amp; Access Layer         │</w:t>
              <w:br/>
              <w:t xml:space="preserve">                  │      OIDC / Cloud IAM / SPIFFE SVID     │</w:t>
              <w:br/>
              <w:t xml:space="preserve">                  └────────────────────┬────────────────────┘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┌─────────────────────────────────────────┐</w:t>
              <w:br/>
              <w:t xml:space="preserve">                  │          Policy-as-Code Engine          │</w:t>
              <w:br/>
              <w:t xml:space="preserve">                  │       OPA Gatekeeper / Rego Rules       │</w:t>
              <w:br/>
              <w:t xml:space="preserve">                  └────────────────────┬────────────────────┘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┌──────────────────────────────────────────────────┐</w:t>
              <w:br/>
              <w:t xml:space="preserve">             │               Kubernetes / Multi-Cloud           │</w:t>
              <w:br/>
              <w:t xml:space="preserve">             │                      (EKS / AKS)                 │</w:t>
              <w:br/>
              <w:t xml:space="preserve">             │                                                  │</w:t>
              <w:br/>
              <w:t xml:space="preserve">             │   ┌──────────────┐            ┌──────────────┐   │</w:t>
              <w:br/>
              <w:t xml:space="preserve">             │   │  Service A   │───────────▶│  Service B   │   │</w:t>
              <w:br/>
              <w:t xml:space="preserve">             │   │(Envoy Sidecar)  STRICT mTLS(Envoy Sidecar)│   │</w:t>
              <w:br/>
              <w:t xml:space="preserve">             │   └──────────────┘            └──────────────┘   │</w:t>
              <w:br/>
              <w:t xml:space="preserve">             │                                                  │</w:t>
              <w:br/>
              <w:t xml:space="preserve">             │       Istio Service Mesh / Layer-7 AuthZ         │</w:t>
              <w:br/>
              <w:t xml:space="preserve">             └─────────────────────────┬────────────────────────┘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┌─────────────────────────────────────────┐</w:t>
              <w:br/>
              <w:t xml:space="preserve">                  │ Continuous Verification &amp; Runtime Policy│</w:t>
              <w:br/>
              <w:t xml:space="preserve">                  │    Runtime Verification &amp; Drift Detection │</w:t>
              <w:br/>
              <w:t xml:space="preserve">                  └────────────────────┬────────────────────┘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┌─────────────────────────────────────────┐</w:t>
              <w:br/>
              <w:t xml:space="preserve">                  │         Observability &amp; Auditing        │</w:t>
              <w:br/>
              <w:t xml:space="preserve">                  │  Prometheus / Loki / Posture Dashboard  │</w:t>
              <w:br/>
              <w:t xml:space="preserve">                  └─────────────────────────────────────────┘</w:t>
            </w:r>
          </w:p>
        </w:tc>
      </w:tr>
    </w:tbl>
    <w:p>
      <w:pPr>
        <w:keepNext w:val="0"/>
        <w:spacing w:before="80" w:after="12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Figure 1: Architectural Blueprint of the proposed TrustMesh control plane, illustrating hierarchical request flows from identity inception through policy gating, mesh encryption, and continuous runtime audit.</w:t>
      </w:r>
    </w:p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11. GitHub Repository Blueprint: Current vs. Planned Structure</w:t>
      </w:r>
    </w:p>
    <w:p>
      <w:pPr>
        <w:keepNext w:val="0"/>
        <w:spacing w:before="0" w:after="7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To maintain strict transparent tracking throughout our final-year project, the GitHub repository is organized to clearly distinguish assets that exist currently from modules planned for future development phases:</w:t>
      </w:r>
    </w:p>
    <w:p>
      <w:pPr>
        <w:keepNext/>
        <w:spacing w:before="140" w:after="40"/>
      </w:pPr>
      <w:r>
        <w:rPr>
          <w:rFonts w:ascii="Segoe UI" w:hAnsi="Segoe UI"/>
          <w:b/>
          <w:i w:val="0"/>
          <w:color w:val="2563EB"/>
          <w:sz w:val="21"/>
        </w:rPr>
        <w:t>Current Repository State (Week 4 — Existing Files)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16"/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6"/>
              </w:rPr>
              <w:t>ZeroTrustCloud-A-Zero-Trust-Architecture-Framework/</w:t>
              <w:br/>
              <w:t>│</w:t>
              <w:br/>
              <w:t>├── README.md                                          [Current — High-level project summary]</w:t>
              <w:br/>
              <w:t>│</w:t>
              <w:br/>
              <w:t>├── Plannings/                                         [Current — Project work plans &amp; methodology]</w:t>
              <w:br/>
              <w:t>│   ├── Work_Plan_and_Project_Progress_Report_ZeroTrustCloud.pdf</w:t>
              <w:br/>
              <w:t>│   └── ZeroTrustCloud_Methodology_Data_Collection_Experimental_Plan.pdf</w:t>
              <w:br/>
              <w:t>│</w:t>
              <w:br/>
              <w:t>└── Research Papers Review/                            [Current — Literature survey reports]</w:t>
              <w:br/>
              <w:t xml:space="preserve">    ├── part 1/                                        [Current — Phase I literature reviews]</w:t>
              <w:br/>
              <w:t xml:space="preserve">    │   ├── Baire Gowda_LiteratureReview_ZeroTrustCloud.pdf</w:t>
              <w:br/>
              <w:t xml:space="preserve">    │   ├── Hithaishi-sp-Research_Review_ZeroTrustCloud_TrustMesh.pdf</w:t>
              <w:br/>
              <w:t xml:space="preserve">    │   └── Sanjay REVIEW OF RESEARCH PAPER-1.pdf</w:t>
              <w:br/>
              <w:t xml:space="preserve">    │</w:t>
              <w:br/>
              <w:t xml:space="preserve">    └── part 2/                                        [Current — Phase II literature reviews]</w:t>
              <w:br/>
              <w:t xml:space="preserve">        ├── Baire_Gowda_LiteratureReview_ZeroTrustCloud_Week3.pdf</w:t>
              <w:br/>
              <w:t xml:space="preserve">        ├── Hithaishi-sp-Research_Review_ZeroTrustCloud_TrustMesh.pdf</w:t>
              <w:br/>
              <w:t xml:space="preserve">        └── SANJAY LITERATURE REVIEW 2.pdf</w:t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i w:val="0"/>
          <w:color w:val="2563EB"/>
          <w:sz w:val="21"/>
        </w:rPr>
        <w:t>Planned Future Repository Structure (To be Created During Implementation)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16"/>
            <w:tcBorders>
              <w:top w:val="single" w:sz="6" w:space="0" w:color="CBD5E1"/>
              <w:bottom w:val="single" w:sz="6" w:space="0" w:color="CBD5E1"/>
              <w:left w:val="single" w:sz="12" w:space="0" w:color="1E3A8A"/>
              <w:right w:val="single" w:sz="6" w:space="0" w:color="CBD5E1"/>
            </w:tcBorders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6"/>
              </w:rPr>
              <w:t>ZeroTrustCloud-A-Zero-Trust-Architecture-Framework/ (Future Extension)</w:t>
              <w:br/>
              <w:t>│</w:t>
              <w:br/>
              <w:t>├── identity-engine/          [Planned: Phase 4 — SPIRE attestation &amp; OIDC federation manifests]</w:t>
              <w:br/>
              <w:t>├── policy-engine/            [Planned: Phase 4 — OPA Gatekeeper constraints &amp; Rego policies]</w:t>
              <w:br/>
              <w:t>├── service-mesh/             [Planned: Phase 4 — Istio STRICT mTLS &amp; Layer-7 AuthZ policies]</w:t>
              <w:br/>
              <w:t>├── continuous-verification/  [Planned: Phase 5 — Runtime verification daemon &amp; drift detectors]</w:t>
              <w:br/>
              <w:t>├── supply-chain-security/    [Planned: Phase 5 — Cosign signature webhooks &amp; SBOM generators]</w:t>
              <w:br/>
              <w:t>├── observability/            [Planned: Phase 6 — Prometheus telemetry configs &amp; Grafana dashboards]</w:t>
              <w:br/>
              <w:t>│</w:t>
              <w:br/>
              <w:t>├── infrastructure/           [Planned: Phase 3 — Cluster provisioning automation]</w:t>
              <w:br/>
              <w:t>│   ├── kubernetes/           [Planned — Base Helm charts &amp; microservice testbed]</w:t>
              <w:br/>
              <w:t>│   ├── aws/                  [Planned — AWS EKS Terraform &amp; IRSA IAM roles]</w:t>
              <w:br/>
              <w:t>│   └── azure/                [Planned — Azure AKS Terraform &amp; Workload Identity]</w:t>
              <w:br/>
              <w:t>│</w:t>
              <w:br/>
              <w:t>└── experiments/              [Planned: Phase 5 — Empirical evaluation]</w:t>
              <w:br/>
              <w:t xml:space="preserve">    ├── scenarios/            [Planned — Attack simulation scripts EXP-01 to EXP-08]</w:t>
              <w:br/>
              <w:t xml:space="preserve">    ├── datasets/             [Planned — Raw collected CSV telemetry]</w:t>
              <w:br/>
              <w:t xml:space="preserve">    └── results/              [Planned — Comparative performance charts &amp; logs]</w:t>
            </w:r>
          </w:p>
        </w:tc>
      </w:tr>
    </w:tbl>
    <w:p>
      <w:pPr>
        <w:keepNext w:val="0"/>
        <w:spacing w:before="60" w:after="120" w:line="276" w:lineRule="auto"/>
        <w:jc w:val="left"/>
      </w:pPr>
      <w:r>
        <w:rPr>
          <w:rFonts w:ascii="Segoe UI" w:hAnsi="Segoe UI"/>
          <w:b w:val="0"/>
          <w:i w:val="0"/>
          <w:color w:val="232832"/>
          <w:sz w:val="20"/>
        </w:rPr>
        <w:t>Clarification: The planned folders above represent the future modular directory structure that will be incrementally populated as code is authored during Weeks 5–10.</w:t>
      </w:r>
    </w:p>
    <w:p>
      <w:r>
        <w:br w:type="page"/>
      </w:r>
    </w:p>
    <w:p>
      <w:pPr>
        <w:keepNext/>
        <w:spacing w:before="260" w:after="70"/>
      </w:pPr>
      <w:r>
        <w:rPr>
          <w:rFonts w:ascii="Segoe UI" w:hAnsi="Segoe UI"/>
          <w:b/>
          <w:i w:val="0"/>
          <w:color w:val="18325F"/>
          <w:sz w:val="26"/>
        </w:rPr>
        <w:t>12. Week 4 Progress Connection &amp; Next Phase Roadmap</w:t>
      </w:r>
    </w:p>
    <w:p>
      <w:pPr>
        <w:keepNext/>
        <w:spacing w:before="80" w:after="40"/>
      </w:pPr>
      <w:r>
        <w:rPr>
          <w:rFonts w:ascii="Segoe UI" w:hAnsi="Segoe UI"/>
          <w:b/>
          <w:i w:val="0"/>
          <w:color w:val="2563EB"/>
          <w:sz w:val="21"/>
        </w:rPr>
        <w:t>Current Week 4 Accomplishments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Methodology Formalization: </w:t>
      </w:r>
      <w:r>
        <w:rPr>
          <w:rFonts w:ascii="Segoe UI" w:hAnsi="Segoe UI"/>
          <w:b w:val="0"/>
          <w:i w:val="0"/>
          <w:color w:val="232832"/>
          <w:sz w:val="20"/>
        </w:rPr>
        <w:t>Completed rigorous research and development methodology mapping NIST SP 800-207 principles to Kubernetes.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Threat Model Structuring: </w:t>
      </w:r>
      <w:r>
        <w:rPr>
          <w:rFonts w:ascii="Segoe UI" w:hAnsi="Segoe UI"/>
          <w:b w:val="0"/>
          <w:i w:val="0"/>
          <w:color w:val="232832"/>
          <w:sz w:val="20"/>
        </w:rPr>
        <w:t>Constructed formal 8-scenario cloud-native threat model detailing specific attack vectors and defensive controls.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Data Collection Engineering: </w:t>
      </w:r>
      <w:r>
        <w:rPr>
          <w:rFonts w:ascii="Segoe UI" w:hAnsi="Segoe UI"/>
          <w:b w:val="0"/>
          <w:i w:val="0"/>
          <w:color w:val="232832"/>
          <w:sz w:val="20"/>
        </w:rPr>
        <w:t>Defined 6 categories of empirical telemetry data and formulated a normalized 14-attribute experimental CSV schema.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Experimental Test Matrix: </w:t>
      </w:r>
      <w:r>
        <w:rPr>
          <w:rFonts w:ascii="Segoe UI" w:hAnsi="Segoe UI"/>
          <w:b w:val="0"/>
          <w:i w:val="0"/>
          <w:color w:val="232832"/>
          <w:sz w:val="20"/>
        </w:rPr>
        <w:t>Specified 8 controlled security scenarios (EXP-01 through EXP-08) comparing baseline vs. Zero-Trust postures.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Evaluation Metrics Definition: </w:t>
      </w:r>
      <w:r>
        <w:rPr>
          <w:rFonts w:ascii="Segoe UI" w:hAnsi="Segoe UI"/>
          <w:b w:val="0"/>
          <w:i w:val="0"/>
          <w:color w:val="232832"/>
          <w:sz w:val="20"/>
        </w:rPr>
        <w:t>Formulated quantitative mathematical formulas for measuring defensive efficacy, latency delta, and resource overhead.</w:t>
      </w:r>
    </w:p>
    <w:p>
      <w:pPr>
        <w:pStyle w:val="ListBullet"/>
        <w:spacing w:before="0" w:after="40" w:line="276" w:lineRule="auto"/>
        <w:ind w:left="317"/>
      </w:pPr>
      <w:r>
        <w:rPr>
          <w:rFonts w:ascii="Segoe UI" w:hAnsi="Segoe UI"/>
          <w:b/>
          <w:i w:val="0"/>
          <w:color w:val="232832"/>
          <w:sz w:val="20"/>
        </w:rPr>
        <w:t xml:space="preserve">Repository Governance: </w:t>
      </w:r>
      <w:r>
        <w:rPr>
          <w:rFonts w:ascii="Segoe UI" w:hAnsi="Segoe UI"/>
          <w:b w:val="0"/>
          <w:i w:val="0"/>
          <w:color w:val="232832"/>
          <w:sz w:val="20"/>
        </w:rPr>
        <w:t>Established clean GitHub repository blueprint strictly separating current research assets from planned implementation folders.</w:t>
      </w:r>
    </w:p>
    <w:p>
      <w:pPr>
        <w:keepNext/>
        <w:spacing w:before="120" w:after="40"/>
      </w:pPr>
      <w:r>
        <w:rPr>
          <w:rFonts w:ascii="Segoe UI" w:hAnsi="Segoe UI"/>
          <w:b/>
          <w:i w:val="0"/>
          <w:color w:val="2563EB"/>
          <w:sz w:val="21"/>
        </w:rPr>
        <w:t>Next Phase Roadmap (Weeks 5–7)</w:t>
      </w:r>
    </w:p>
    <w:p>
      <w:pPr>
        <w:spacing w:before="0" w:after="50" w:line="276" w:lineRule="auto"/>
        <w:ind w:left="317"/>
      </w:pPr>
      <w:r>
        <w:rPr>
          <w:rFonts w:ascii="Segoe UI" w:hAnsi="Segoe UI"/>
          <w:b/>
          <w:i w:val="0"/>
          <w:color w:val="18325F"/>
          <w:sz w:val="20"/>
        </w:rPr>
        <w:t xml:space="preserve">1. </w:t>
      </w:r>
      <w:r>
        <w:rPr>
          <w:rFonts w:ascii="Segoe UI" w:hAnsi="Segoe UI"/>
          <w:b/>
          <w:i w:val="0"/>
          <w:color w:val="232832"/>
          <w:sz w:val="20"/>
        </w:rPr>
        <w:t xml:space="preserve">Environment Provisioning (Week 5): </w:t>
      </w:r>
      <w:r>
        <w:rPr>
          <w:rFonts w:ascii="Segoe UI" w:hAnsi="Segoe UI"/>
          <w:b w:val="0"/>
          <w:i w:val="0"/>
          <w:color w:val="232832"/>
          <w:sz w:val="20"/>
        </w:rPr>
        <w:t>Establish local and cloud development Kubernetes clusters; deploy sample microservice testbed.</w:t>
      </w:r>
    </w:p>
    <w:p>
      <w:pPr>
        <w:spacing w:before="0" w:after="50" w:line="276" w:lineRule="auto"/>
        <w:ind w:left="317"/>
      </w:pPr>
      <w:r>
        <w:rPr>
          <w:rFonts w:ascii="Segoe UI" w:hAnsi="Segoe UI"/>
          <w:b/>
          <w:i w:val="0"/>
          <w:color w:val="18325F"/>
          <w:sz w:val="20"/>
        </w:rPr>
        <w:t xml:space="preserve">2. </w:t>
      </w:r>
      <w:r>
        <w:rPr>
          <w:rFonts w:ascii="Segoe UI" w:hAnsi="Segoe UI"/>
          <w:b/>
          <w:i w:val="0"/>
          <w:color w:val="232832"/>
          <w:sz w:val="20"/>
        </w:rPr>
        <w:t xml:space="preserve">Baseline Characterization (Week 5): </w:t>
      </w:r>
      <w:r>
        <w:rPr>
          <w:rFonts w:ascii="Segoe UI" w:hAnsi="Segoe UI"/>
          <w:b w:val="0"/>
          <w:i w:val="0"/>
          <w:color w:val="232832"/>
          <w:sz w:val="20"/>
        </w:rPr>
        <w:t>Execute synthetic traffic load across unhardened baseline cluster to record initial latency and throughput benchmarks.</w:t>
      </w:r>
    </w:p>
    <w:p>
      <w:pPr>
        <w:spacing w:before="0" w:after="50" w:line="276" w:lineRule="auto"/>
        <w:ind w:left="317"/>
      </w:pPr>
      <w:r>
        <w:rPr>
          <w:rFonts w:ascii="Segoe UI" w:hAnsi="Segoe UI"/>
          <w:b/>
          <w:i w:val="0"/>
          <w:color w:val="18325F"/>
          <w:sz w:val="20"/>
        </w:rPr>
        <w:t xml:space="preserve">3. </w:t>
      </w:r>
      <w:r>
        <w:rPr>
          <w:rFonts w:ascii="Segoe UI" w:hAnsi="Segoe UI"/>
          <w:b/>
          <w:i w:val="0"/>
          <w:color w:val="232832"/>
          <w:sz w:val="20"/>
        </w:rPr>
        <w:t xml:space="preserve">Zero-Trust Control Implementation (Weeks 6–7): </w:t>
      </w:r>
      <w:r>
        <w:rPr>
          <w:rFonts w:ascii="Segoe UI" w:hAnsi="Segoe UI"/>
          <w:b w:val="0"/>
          <w:i w:val="0"/>
          <w:color w:val="232832"/>
          <w:sz w:val="20"/>
        </w:rPr>
        <w:t>Deploy SPIRE workload attestation, configure OPA Gatekeeper admission rules, and enforce Istio STRICT mTLS.</w:t>
      </w:r>
    </w:p>
    <w:p>
      <w:pPr>
        <w:spacing w:before="0" w:after="50" w:line="276" w:lineRule="auto"/>
        <w:ind w:left="317"/>
      </w:pPr>
      <w:r>
        <w:rPr>
          <w:rFonts w:ascii="Segoe UI" w:hAnsi="Segoe UI"/>
          <w:b/>
          <w:i w:val="0"/>
          <w:color w:val="18325F"/>
          <w:sz w:val="20"/>
        </w:rPr>
        <w:t xml:space="preserve">4. </w:t>
      </w:r>
      <w:r>
        <w:rPr>
          <w:rFonts w:ascii="Segoe UI" w:hAnsi="Segoe UI"/>
          <w:b/>
          <w:i w:val="0"/>
          <w:color w:val="232832"/>
          <w:sz w:val="20"/>
        </w:rPr>
        <w:t xml:space="preserve">Empirical Testing &amp; Data Collection (Weeks 8–9): </w:t>
      </w:r>
      <w:r>
        <w:rPr>
          <w:rFonts w:ascii="Segoe UI" w:hAnsi="Segoe UI"/>
          <w:b w:val="0"/>
          <w:i w:val="0"/>
          <w:color w:val="232832"/>
          <w:sz w:val="20"/>
        </w:rPr>
        <w:t>Execute attack simulations EXP-01 to EXP-08; record empirical telemetry into normalized CSV datasets.</w:t>
      </w:r>
    </w:p>
    <w:p>
      <w:pPr>
        <w:spacing w:before="0" w:after="50" w:line="276" w:lineRule="auto"/>
        <w:ind w:left="317"/>
      </w:pPr>
      <w:r>
        <w:rPr>
          <w:rFonts w:ascii="Segoe UI" w:hAnsi="Segoe UI"/>
          <w:b/>
          <w:i w:val="0"/>
          <w:color w:val="18325F"/>
          <w:sz w:val="20"/>
        </w:rPr>
        <w:t xml:space="preserve">5. </w:t>
      </w:r>
      <w:r>
        <w:rPr>
          <w:rFonts w:ascii="Segoe UI" w:hAnsi="Segoe UI"/>
          <w:b/>
          <w:i w:val="0"/>
          <w:color w:val="232832"/>
          <w:sz w:val="20"/>
        </w:rPr>
        <w:t xml:space="preserve">Evaluation &amp; Dissertation Finalization (Weeks 10–12): </w:t>
      </w:r>
      <w:r>
        <w:rPr>
          <w:rFonts w:ascii="Segoe UI" w:hAnsi="Segoe UI"/>
          <w:b w:val="0"/>
          <w:i w:val="0"/>
          <w:color w:val="232832"/>
          <w:sz w:val="20"/>
        </w:rPr>
        <w:t>Analyze comparative data, generate performance graphs, and author final project thesis.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88291"/>
        <w:sz w:val="17"/>
      </w:rPr>
      <w:t>Final Year MCA Project — Semester III | Department of Computer Applications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i/>
        <w:color w:val="788291"/>
        <w:sz w:val="17"/>
      </w:rPr>
      <w:t>ZeroTrustCloud / TrustMesh — Methodology &amp; Experimental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ZeroTrustCloud: Research Methodology, Data Collection &amp; Experimental Plan</dc:title>
  <dc:subject>Final Year MCA Project Methodology Plan — Week 4</dc:subject>
  <dc:creator>Hithaishi S P</dc:creator>
  <cp:keywords>Zero Trust, Methodology, Data Collection, Experimental Plan, Kubernetes, OPA, Istio</cp:keywords>
  <dc:description>generated by python-docx</dc:description>
  <cp:lastModifiedBy>Hithaishi S P</cp:lastModifiedBy>
  <cp:revision>1</cp:revision>
  <dcterms:created xsi:type="dcterms:W3CDTF">2013-12-23T23:15:00Z</dcterms:created>
  <dcterms:modified xsi:type="dcterms:W3CDTF">2013-12-23T23:15:00Z</dcterms:modified>
  <cp:category/>
</cp:coreProperties>
</file>