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adesão.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participação na adesão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adesão.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adesão</w:t>
            </w:r>
          </w:p>
        </w:tc>
        <w:tc>
          <w:tcPr/>
          <w:p>
            <w:r>
              <w:t>valor livre, definido pelo vendedor</w:t>
            </w:r>
          </w:p>
        </w:tc>
        <w:tc>
          <w:tcPr/>
          <w:p>
            <w:r>
              <w:t>Cobre licença de uso, liberação de acesso e implantação. Pode ser parcelada e pode ser isentada pelo vendedor.</w:t>
            </w:r>
          </w:p>
        </w:tc>
      </w:tr>
      <w:tr>
        <w:tc>
          <w:tcPr/>
          <w:p>
            <w:r>
              <w:t>Rateio da adesão</w:t>
            </w:r>
          </w:p>
        </w:tc>
        <w:tc>
          <w:tcPr/>
          <w:p>
            <w:r>
              <w:t>50% vendedor, 50% Avalia</w:t>
            </w:r>
          </w:p>
        </w:tc>
        <w:tc>
          <w:tcPr/>
          <w:p>
            <w:r>
              <w:t>Isentar significa nenhum dos dois receber.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10% sobre o consumo realizado no mês</w:t>
            </w:r>
          </w:p>
        </w:tc>
        <w:tc>
          <w:tcPr/>
          <w:p>
            <w:r>
              <w:t>Lê o que o cliente usou, não a franquia nem o valor da fatura.</w:t>
            </w:r>
          </w:p>
        </w:tc>
      </w:tr>
      <w:tr>
        <w:tc>
          <w:tcPr/>
          <w:p>
            <w:r>
              <w:t>Adicional de excedente</w:t>
            </w:r>
          </w:p>
        </w:tc>
        <w:tc>
          <w:tcPr/>
          <w:p>
            <w:r>
              <w:t>+10 pontos, totalizando 20%</w:t>
            </w:r>
          </w:p>
        </w:tc>
        <w:tc>
          <w:tcPr/>
          <w:p>
            <w:r>
              <w:t>Aplica-se ao mês em que houver excedente.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todo dia 10</w:t>
            </w:r>
          </w:p>
        </w:tc>
        <w:tc>
          <w:tcPr/>
          <w:p>
            <w:r>
              <w:t>Data fixa de calendário, igual para todos os clientes.</w:t>
            </w:r>
          </w:p>
        </w:tc>
      </w:tr>
      <w:tr>
        <w:tc>
          <w:tcPr/>
          <w:p>
            <w:r>
              <w:t>Bloqueio por atraso</w:t>
            </w:r>
          </w:p>
        </w:tc>
        <w:tc>
          <w:tcPr/>
          <w:p>
            <w:r>
              <w:t>10 dias após o vencimento</w:t>
            </w:r>
          </w:p>
        </w:tc>
        <w:tc>
          <w:tcPr/>
          <w:p>
            <w:r>
              <w:t>Na prática, dia 20. Bloqueia consultas; o login continua liberado para regularizar.</w:t>
            </w:r>
          </w:p>
        </w:tc>
      </w:tr>
      <w:tr>
        <w:tc>
          <w:tcPr/>
          <w:p>
            <w:r>
              <w:t>Vigência do contrato</w:t>
            </w:r>
          </w:p>
        </w:tc>
        <w:tc>
          <w:tcPr/>
          <w:p>
            <w:r>
              <w:t>escolhida pelo vendedor</w:t>
            </w:r>
          </w:p>
        </w:tc>
        <w:tc>
          <w:tcPr/>
          <w:p>
            <w:r>
              <w:t>Sem vigência; 12 meses; 24 meses; ou 3 meses de carência especial para teste, seguidos de 12 ou 24 meses.</w:t>
            </w:r>
          </w:p>
        </w:tc>
      </w:tr>
      <w:tr>
        <w:tc>
          <w:tcPr/>
          <w:p>
            <w:r>
              <w:t>Imposto sobre a venda</w:t>
            </w:r>
          </w:p>
        </w:tc>
        <w:tc>
          <w:tcPr/>
          <w:p>
            <w:r>
              <w:t>27% (provisório)</w:t>
            </w:r>
          </w:p>
        </w:tc>
        <w:tc>
          <w:tcPr/>
          <w:p>
            <w:r>
              <w:t>Média estimada. Depende do regime tributário e precisa de confirmação contábil.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r>
        <w:t>A taxa de adesão substitui e unifica o que antes eram dois parâmetros separados,</w:t>
      </w:r>
    </w:p>
    <w:p>
      <w:r>
        <w:t>taxa de cadastro e taxa de licença: eram a mesma cobrança descrita duas vezes.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pPr>
        <w:pStyle w:val="Heading3"/>
      </w:pPr>
      <w:r>
        <w:t>Margem e piso de preço</w:t>
      </w:r>
    </w:p>
    <w:p>
      <w:r>
        <w:t>A administração vê a mesma matriz do catálogo sob três visões: preço de venda,</w:t>
      </w:r>
    </w:p>
    <w:p>
      <w:r>
        <w:t>custo do fornecedor e margem. As duas últimas são internas e ficam atrás da mesma</w:t>
      </w:r>
    </w:p>
    <w:p>
      <w:r>
        <w:t>restrição de acesso do catálogo — vendedor não entra.</w:t>
      </w:r>
    </w:p>
    <w:p>
      <w:pPr>
        <w:pStyle w:val="NoSpacing"/>
      </w:pPr>
      <w:r>
        <w:t>imposto = preço de venda × alíquota</w:t>
      </w:r>
    </w:p>
    <w:p>
      <w:pPr>
        <w:pStyle w:val="NoSpacing"/>
      </w:pPr>
      <w:r>
        <w:t>margem  = preço de venda − custo do fornecedor − imposto</w:t>
      </w:r>
    </w:p>
    <w:p>
      <w:pPr>
        <w:pStyle w:val="NoSpacing"/>
      </w:pPr>
      <w:r>
        <w:t>piso    = menor preço de venda cuja margem ainda não é negativa</w:t>
      </w:r>
    </w:p>
    <w:p>
      <w:r>
        <w:t>O piso não é cadastrado, é calculado: abaixo dele a venda não paga fornecedor e</w:t>
      </w:r>
    </w:p>
    <w:p>
      <w:r>
        <w:t>imposto. A tela marca em vermelho toda célula vendida abaixo do piso.</w:t>
      </w:r>
    </w:p>
    <w:p>
      <w:r>
        <w:t>Custo em branco significa custo ainda não cadastrado, e é diferente de custo</w:t>
      </w:r>
    </w:p>
    <w:p>
      <w:r>
        <w:t>zero: sem o dado, a plataforma não exibe margem nem piso em vez de exibir um</w:t>
      </w:r>
    </w:p>
    <w:p>
      <w:r>
        <w:t>número inventado. A alíquota de imposto vive no catálogo, não no código, porque</w:t>
      </w:r>
    </w:p>
    <w:p>
      <w:r>
        <w:t>muda com o regime tributário e precisa de rastro.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Edição do catálogo</w:t>
      </w:r>
    </w:p>
    <w:p>
      <w:r>
        <w:t>O catálogo é único e editável a qualquer momento pelo administrador com permissão</w:t>
      </w:r>
    </w:p>
    <w:p>
      <w:r>
        <w:t>comercial ou financeira, célula a célula ou por reajuste percentual. Toda</w:t>
      </w:r>
    </w:p>
    <w:p>
      <w:r>
        <w:t>alteração de preço, custo, franquia ou disponibilidade gera auditoria.</w:t>
      </w:r>
    </w:p>
    <w:p>
      <w:r>
        <w:t>Não há congelamento do catálogo, e isso é decisão consciente. O que impede um</w:t>
      </w:r>
    </w:p>
    <w:p>
      <w:r>
        <w:t>reajuste de hoje de alterar cobrança de ontem é cada consulta e cada fatura</w:t>
      </w:r>
    </w:p>
    <w:p>
      <w:r>
        <w:t>gravarem preço e custo no momento da emissão (seções 7 e 8). Quem cobra</w:t>
      </w:r>
    </w:p>
    <w:p>
      <w:r>
        <w:t>guarda o próprio valor; o catálogo responde apenas quanto custa hoje.</w:t>
      </w:r>
    </w:p>
    <w:p>
      <w:r>
        <w:t>Essa regra é o alicerce de todo o faturamento: se uma consulta for gravada sem o</w:t>
      </w:r>
    </w:p>
    <w:p>
      <w:r>
        <w:t>preço da época, ou se a fatura passar a ler o catálogo em vez do valor congelado</w:t>
      </w:r>
    </w:p>
    <w:p>
      <w:r>
        <w:t>no fechamento, um reajuste passa a reescrever o passado silenciosamente.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A linha do tempo da inadimplência é fixa:</w:t>
      </w:r>
    </w:p>
    <w:tbl>
      <w:tblPr>
        <w:tblStyle w:val="TableGrid"/>
      </w:tblPr>
      <w:tr>
        <w:tc>
          <w:tcPr>
            <w:shd w:fill="D9EAF7"/>
          </w:tcPr>
          <w:p>
            <w:r>
              <w:t>Dia</w:t>
            </w:r>
          </w:p>
        </w:tc>
        <w:tc>
          <w:tcPr>
            <w:shd w:fill="D9EAF7"/>
          </w:tcPr>
          <w:p>
            <w:r>
              <w:t>Evento</w:t>
            </w:r>
          </w:p>
        </w:tc>
      </w:tr>
      <w:tr>
        <w:tc>
          <w:tcPr/>
          <w:p>
            <w:r>
              <w:t>10</w:t>
            </w:r>
          </w:p>
        </w:tc>
        <w:tc>
          <w:tcPr/>
          <w:p>
            <w:r>
              <w:t>Vencimento da fatura.</w:t>
            </w:r>
          </w:p>
        </w:tc>
      </w:tr>
      <w:tr>
        <w:tc>
          <w:tcPr/>
          <w:p>
            <w:r>
              <w:t>11 a 19</w:t>
            </w:r>
          </w:p>
        </w:tc>
        <w:tc>
          <w:tcPr/>
          <w:p>
            <w:r>
              <w:t>Fatura em atraso. Consultas continuam liberadas; o cliente é avisado.</w:t>
            </w:r>
          </w:p>
        </w:tc>
      </w:tr>
      <w:tr>
        <w:tc>
          <w:tcPr/>
          <w:p>
            <w:r>
              <w:t>20</w:t>
            </w:r>
          </w:p>
        </w:tc>
        <w:tc>
          <w:tcPr/>
          <w:p>
            <w:r>
              <w:t>Bloqueio das consultas. O login permanece aberto para o cliente ver a fatura, obter a segunda via e regularizar.</w:t>
            </w:r>
          </w:p>
        </w:tc>
      </w:tr>
      <w:tr>
        <w:tc>
          <w:tcPr/>
          <w:p>
            <w:r>
              <w:t>Liquidação</w:t>
            </w:r>
          </w:p>
        </w:tc>
        <w:tc>
          <w:tcPr/>
          <w:p>
            <w:r>
              <w:t>Consultas liberadas de volta no mesmo ciclo, sem esperar a competência seguinte.</w:t>
            </w:r>
          </w:p>
        </w:tc>
      </w:tr>
    </w:tbl>
    <w:p>
      <w:r>
        <w:t>O bloqueio existe para forçar o pagamento, não para punir: por isso ele fecha a</w:t>
      </w:r>
    </w:p>
    <w:p>
      <w:r>
        <w:t>consulta e mantém o acesso à fatura. Cliente que não consegue ver o que deve não</w:t>
      </w:r>
    </w:p>
    <w:p>
      <w:r>
        <w:t>tem como pagar.</w:t>
      </w:r>
    </w:p>
    <w:p>
      <w:r>
        <w:t>O ciclo seguinte só é restaurado para contas elegíveis. Prazos de vencimento,</w:t>
      </w:r>
    </w:p>
    <w:p>
      <w:r>
        <w:t>bloqueio e reativação devem ser parametrizáveis e auditados.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já, com a integração</w:t>
      </w:r>
    </w:p>
    <w:p>
      <w:r>
        <w:t>externa desativada por feature flag. Nenhuma requisição a API, nem liberação</w:t>
      </w:r>
    </w:p>
    <w:p>
      <w:r>
        <w:t>comercial, ocorre antes da homologação jurídica, contratual e técnica. O SCR</w:t>
      </w:r>
    </w:p>
    <w:p>
      <w:r>
        <w:t>recebe nome comercial mascarado e depende ainda de autorização expressa</w:t>
      </w:r>
    </w:p>
    <w:p>
      <w:r>
        <w:t>verificável para cada consulta.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Toda fatura vence no dia 10, independentemente do dia em que a competência foi</w:t>
      </w:r>
    </w:p>
    <w:p>
      <w:r>
        <w:t>fechada ou em que o cliente aderiu. É data de calendário, não contagem a partir</w:t>
      </w:r>
    </w:p>
    <w:p>
      <w:r>
        <w:t>do fechamento: o cliente que adere no dia 28 recebe a primeira fatura no</w:t>
      </w:r>
    </w:p>
    <w:p>
      <w:r>
        <w:t>vencimento seguinte, com a competência proporcional.</w:t>
      </w:r>
    </w:p>
    <w:p>
      <w:r>
        <w:t>A taxa de adesão pode ser parcelada. Cada parcela é uma cobrança própria no</w:t>
      </w:r>
    </w:p>
    <w:p>
      <w:r>
        <w:t>Asaas, com o mesmo vencimento dia 10, e o não pagamento de uma parcela segue a</w:t>
      </w:r>
    </w:p>
    <w:p>
      <w:r>
        <w:t>mesma política de bloqueio das demais faturas.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do vendedor</w:t>
      </w:r>
    </w:p>
    <w:p>
      <w:r>
        <w:t>O painel mostra previsão de comissão, participação na adesão, repasses pagos,</w:t>
      </w:r>
    </w:p>
    <w:p>
      <w:r>
        <w:t>pendências e histórico por competência. Comissão e adesão tornam-se elegíveis</w:t>
      </w:r>
    </w:p>
    <w:p>
      <w:r>
        <w:t>somente após a liquidação da cobrança correspondente no Asaas.</w:t>
      </w:r>
    </w:p>
    <w:p>
      <w:pPr>
        <w:pStyle w:val="Heading3"/>
      </w:pPr>
      <w:r>
        <w:t>Comissão recorrente</w:t>
      </w:r>
    </w:p>
    <w:p>
      <w:r>
        <w:t>A alíquota é 10% sobre o consumo realizado no mês, uma só para todos os</w:t>
      </w:r>
    </w:p>
    <w:p>
      <w:r>
        <w:t>planos e todas as faixas.</w:t>
      </w:r>
    </w:p>
    <w:p>
      <w:r>
        <w:t>A base é o que o cliente efetivamente usou, não a franquia contratada nem o valor</w:t>
      </w:r>
    </w:p>
    <w:p>
      <w:r>
        <w:t>da fatura. Isso tem uma consequência que precisa estar clara no treinamento</w:t>
      </w:r>
    </w:p>
    <w:p>
      <w:r>
        <w:t>comercial: um cliente com consumo mínimo de R$ 900,00 que consome R$ 300,00 paga</w:t>
      </w:r>
    </w:p>
    <w:p>
      <w:r>
        <w:t>R$ 979,90 de fatura e gera R$ 30,00 de comissão, não R$ 97,99. O vendedor ganha</w:t>
      </w:r>
    </w:p>
    <w:p>
      <w:r>
        <w:t>sobre uso, e o piso da fatura protege a Avalia, não a comissão.</w:t>
      </w:r>
    </w:p>
    <w:p>
      <w:r>
        <w:t>No mês em que houver consumo excedente, a alíquota sobe 10 pontos, para 20%,</w:t>
      </w:r>
    </w:p>
    <w:p>
      <w:r>
        <w:t>e essa elevação vale para o plano como um todo naquela competência.</w:t>
      </w:r>
    </w:p>
    <w:p>
      <w:pPr>
        <w:pStyle w:val="NoSpacing"/>
      </w:pPr>
      <w:r>
        <w:t>consumo_do_mes  = valor das consultas concluídas com sucesso</w:t>
      </w:r>
    </w:p>
    <w:p>
      <w:pPr>
        <w:pStyle w:val="NoSpacing"/>
      </w:pPr>
      <w:r>
        <w:t>houve_excedente = consumo acima da franquia contratada</w:t>
      </w:r>
    </w:p>
    <w:p>
      <w:pPr>
        <w:pStyle w:val="NoSpacing"/>
      </w:pPr>
      <w:r>
        <w:t>aliquota        = houve_excedente ? 20% : 10%</w:t>
      </w:r>
    </w:p>
    <w:p>
      <w:pPr>
        <w:pStyle w:val="NoSpacing"/>
      </w:pPr>
      <w:r>
        <w:t>comissao        = aliquota × consumo_do_mes</w:t>
      </w:r>
    </w:p>
    <w:p>
      <w:r>
        <w:t>Mensalidade e taxa de adesão não entram na base da comissão. Mensalidade e</w:t>
      </w:r>
    </w:p>
    <w:p>
      <w:r>
        <w:t>consumo mínimo continuam sendo colunas separadas do plano por causa do cálculo da</w:t>
      </w:r>
    </w:p>
    <w:p>
      <w:r>
        <w:t>fatura, não mais por causa da comissão.</w:t>
      </w:r>
    </w:p>
    <w:p>
      <w:pPr>
        <w:pStyle w:val="Heading3"/>
      </w:pPr>
      <w:r>
        <w:t>Taxa de adesão</w:t>
      </w:r>
    </w:p>
    <w:p>
      <w:r>
        <w:t>O valor é livre: quem define é o vendedor, na proposta. Pode ser parcelada — uma</w:t>
      </w:r>
    </w:p>
    <w:p>
      <w:r>
        <w:t>adesão de R$ 12.000,00 em doze parcelas de R$ 1.000,00 é caso previsto — e cada</w:t>
      </w:r>
    </w:p>
    <w:p>
      <w:r>
        <w:t>parcela vira uma cobrança própria.</w:t>
      </w:r>
    </w:p>
    <w:p>
      <w:r>
        <w:t>O rateio é 50% para o vendedor e 50% para a Avalia, e cada metade só se torna</w:t>
      </w:r>
    </w:p>
    <w:p>
      <w:r>
        <w:t>elegível conforme as parcelas forem liquidadas.</w:t>
      </w:r>
    </w:p>
    <w:p>
      <w:r>
        <w:t>O vendedor pode isentar a adesão. Isentar significa que ninguém recebe: não é</w:t>
      </w:r>
    </w:p>
    <w:p>
      <w:r>
        <w:t>desconto na parte da Avalia, é ausência da cobrança inteira. O valor acordado, ou</w:t>
      </w:r>
    </w:p>
    <w:p>
      <w:r>
        <w:t>a isenção, deve constar na proposta e no contrato.</w:t>
      </w:r>
    </w:p>
    <w:p>
      <w:pPr>
        <w:pStyle w:val="Heading3"/>
      </w:pPr>
      <w:r>
        <w:t>Vigência</w:t>
      </w:r>
    </w:p>
    <w:p>
      <w:r>
        <w:t>A vigência é escolhida pelo vendedor na proposta, entre quatro opções:</w:t>
      </w:r>
    </w:p>
    <w:tbl>
      <w:tblPr>
        <w:tblStyle w:val="TableGrid"/>
      </w:tblPr>
      <w:tr>
        <w:tc>
          <w:tcPr>
            <w:shd w:fill="D9EAF7"/>
          </w:tcPr>
          <w:p>
            <w:r>
              <w:t>Opção</w:t>
            </w:r>
          </w:p>
        </w:tc>
        <w:tc>
          <w:tcPr>
            <w:shd w:fill="D9EAF7"/>
          </w:tcPr>
          <w:p>
            <w:r>
              <w:t>Efeito</w:t>
            </w:r>
          </w:p>
        </w:tc>
      </w:tr>
      <w:tr>
        <w:tc>
          <w:tcPr/>
          <w:p>
            <w:r>
              <w:t>Sem vigência</w:t>
            </w:r>
          </w:p>
        </w:tc>
        <w:tc>
          <w:tcPr/>
          <w:p>
            <w:r>
              <w:t>Cliente pode encerrar a qualquer momento.</w:t>
            </w:r>
          </w:p>
        </w:tc>
      </w:tr>
      <w:tr>
        <w:tc>
          <w:tcPr/>
          <w:p>
            <w:r>
              <w:t>12 meses</w:t>
            </w:r>
          </w:p>
        </w:tc>
        <w:tc>
          <w:tcPr/>
          <w:p>
            <w:r>
              <w:t>Vigência padrão.</w:t>
            </w:r>
          </w:p>
        </w:tc>
      </w:tr>
      <w:tr>
        <w:tc>
          <w:tcPr/>
          <w:p>
            <w:r>
              <w:t>24 meses</w:t>
            </w:r>
          </w:p>
        </w:tc>
        <w:tc>
          <w:tcPr/>
          <w:p>
            <w:r>
              <w:t>Vigência longa.</w:t>
            </w:r>
          </w:p>
        </w:tc>
      </w:tr>
      <w:tr>
        <w:tc>
          <w:tcPr/>
          <w:p>
            <w:r>
              <w:t>Carência especial</w:t>
            </w:r>
          </w:p>
        </w:tc>
        <w:tc>
          <w:tcPr/>
          <w:p>
            <w:r>
              <w:t>Três meses de acesso liberado para teste, sem vigência; ao fim do período, o contrato passa a valer por 12 ou 24 meses, definidos na assinatura.</w:t>
            </w:r>
          </w:p>
        </w:tc>
      </w:tr>
    </w:tbl>
    <w:p>
      <w:r>
        <w:t>A carência especial é período de avaliação da plataforma, não de gratuidade: as</w:t>
      </w:r>
    </w:p>
    <w:p>
      <w:r>
        <w:t>regras de cobrança de consumo continuam valendo, o que não corre é o prazo de</w:t>
      </w:r>
    </w:p>
    <w:p>
      <w:r>
        <w:t>permanência.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participação na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adesão, comissões,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Confirmar o adicional de excedente. A regra escrita é: houve excedente no</w:t>
      </w:r>
    </w:p>
    <w:p>
      <w:r>
        <w:t>  mês, a alíquota do mês inteiro vai a 20%. A leitura alternativa seria aplicar</w:t>
      </w:r>
    </w:p>
    <w:p>
      <w:r>
        <w:t>  20% só sobre a parcela excedente e 10% sobre o resto. A diferença é grande e</w:t>
      </w:r>
    </w:p>
    <w:p>
      <w:r>
        <w:t>  muda o incentivo do vendedor.</w:t>
      </w:r>
    </w:p>
    <w:p>
      <w:pPr>
        <w:pStyle w:val="ListBullet"/>
      </w:pPr>
      <w:r>
        <w:t>Confirmar a base da comissão. Está escrito consumo realizado. Cliente que</w:t>
      </w:r>
    </w:p>
    <w:p>
      <w:r>
        <w:t>  paga o mínimo sem usar gera comissão menor que o valor da fatura — confirmar se</w:t>
      </w:r>
    </w:p>
    <w:p>
      <w:r>
        <w:t>  é isso mesmo ou se a base deve ser o valor faturado de consumo.</w:t>
      </w:r>
    </w:p>
    <w:p>
      <w:pPr>
        <w:pStyle w:val="ListBullet"/>
      </w:pPr>
      <w:r>
        <w:t>Confirmar a alíquota de imposto. Os 27% são estimativa. Os 6% citados</w:t>
      </w:r>
    </w:p>
    <w:p>
      <w:r>
        <w:t>  correspondem ao ISS de serviço em muitos municípios, que é só uma parte da</w:t>
      </w:r>
    </w:p>
    <w:p>
      <w:r>
        <w:t>  carga; PIS, COFINS e tributo sobre o lucro dependem do regime. Precisa de</w:t>
      </w:r>
    </w:p>
    <w:p>
      <w:r>
        <w:t>  fechamento contábil antes de virar cálculo de margem.</w:t>
      </w:r>
    </w:p>
    <w:p>
      <w:pPr>
        <w:pStyle w:val="ListBullet"/>
      </w:pPr>
      <w:r>
        <w:t>Cadastrar o custo do fornecedor por serviço e faixa. A tela já existe; o dado é</w:t>
      </w:r>
    </w:p>
    <w:p>
      <w:r>
        <w:t>  que ainda não foi levantado. Sem ele não há margem nem piso de preço, e as 301</w:t>
      </w:r>
    </w:p>
    <w:p>
      <w:r>
        <w:t>  linhas aparecem como custo não cadastrado.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As telas de catálogo (/catalogo, restritas a administração) têm três abas:</w:t>
      </w:r>
    </w:p>
    <w:p>
      <w:pPr>
        <w:pStyle w:val="ListBullet"/>
      </w:pPr>
      <w:r>
        <w:t>Planos — cadastro de plano, faixa contratada e franquia por serviço;</w:t>
      </w:r>
    </w:p>
    <w:p>
      <w:pPr>
        <w:pStyle w:val="ListBullet"/>
      </w:pPr>
      <w:r>
        <w:t>Catálogo — a matriz de preços por faixa, em três visões (venda, custo e</w:t>
      </w:r>
    </w:p>
    <w:p>
      <w:r>
        <w:t>  margem), com edição direta, reajuste percentual e alíquota de imposto;</w:t>
      </w:r>
    </w:p>
    <w:p>
      <w:pPr>
        <w:pStyle w:val="ListBullet"/>
      </w:pPr>
      <w:r>
        <w:t>Serviços — cadastro, renomeação, categoria, ativação e trava de liberação</w:t>
      </w:r>
    </w:p>
    <w:p>
      <w:r>
        <w:t>  jurídica.</w:t>
      </w:r>
    </w:p>
    <w:p>
      <w:r>
        <w:t>Serviço não é excluído, apenas desativado: franquia de plano, consulta e fatura</w:t>
      </w:r>
    </w:p>
    <w:p>
      <w:r>
        <w:t>apontam para ele, e apagar levaria a franquia junto por cascata e deixaria</w:t>
      </w:r>
    </w:p>
    <w:p>
      <w:r>
        <w:t>histórico órfão. O código do serviço é imutável depois da criação.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 e pessoas de contato.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