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27% (provisório)</w:t>
            </w:r>
          </w:p>
        </w:tc>
        <w:tc>
          <w:tcPr/>
          <w:p>
            <w:r>
              <w:t>Média estimada. Depende do regime tributário e precisa de confirmação contábil.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já, com a integração</w:t>
      </w:r>
    </w:p>
    <w:p>
      <w:r>
        <w:t>externa desativada por feature flag. Nenhuma requisição a API, nem liberação</w:t>
      </w:r>
    </w:p>
    <w:p>
      <w:r>
        <w:t>comercial, ocorre antes da homologação jurídica, contratual e técnica. O SCR</w:t>
      </w:r>
    </w:p>
    <w:p>
      <w:r>
        <w:t>recebe nome comercial mascarado e depende ainda de autorização expressa</w:t>
      </w:r>
    </w:p>
    <w:p>
      <w:r>
        <w:t>verificável para cada consulta.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 — uma</w:t>
      </w:r>
    </w:p>
    <w:p>
      <w:r>
        <w:t>adesão de R$ 12.000,00 em doze parcelas de R$ 1.000,00 é caso previsto — e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 —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faixa: hoje está vazio, e sem ele</w:t>
      </w:r>
    </w:p>
    <w:p>
      <w:r>
        <w:t>  não há margem, piso de preço nem comissão líquida.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listam as versões,</w:t>
      </w:r>
    </w:p>
    <w:p>
      <w:r>
        <w:t>mostram a matriz de preços por faixa, ativam uma versão em rascunho e cadastram</w:t>
      </w:r>
    </w:p>
    <w:p>
      <w:r>
        <w:t>planos com a franquia de cada serviço. Falta a tela de reajuste: hoje duplicar()</w:t>
      </w:r>
    </w:p>
    <w:p>
      <w:r>
        <w:t>e a edição de preço de um rascunho só existem no model.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