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Documento de Produto — Avalia</w:t>
      </w:r>
    </w:p>
    <w:p>
      <w:pPr>
        <w:pStyle w:val="Heading2"/>
      </w:pPr>
      <w:r>
        <w:t>1. Visão do produto</w:t>
      </w:r>
    </w:p>
    <w:p>
      <w:r>
        <w:t>A Avalia é uma plataforma B2B de revenda de consultas de crédito. A operação</w:t>
      </w:r>
    </w:p>
    <w:p>
      <w:r>
        <w:t>vende planos a empresas clientes, disponibiliza consultas conforme o plano</w:t>
      </w:r>
    </w:p>
    <w:p>
      <w:r>
        <w:t>contratado e centraliza faturamento, cobrança, repasse a vendedores, atendimento</w:t>
      </w:r>
    </w:p>
    <w:p>
      <w:r>
        <w:t>e indicadores operacionais.</w:t>
      </w:r>
    </w:p>
    <w:p>
      <w:r>
        <w:t>A plataforma consome bases de crédito. Ela não expõe uma API pública para seus</w:t>
      </w:r>
    </w:p>
    <w:p>
      <w:r>
        <w:t>clientes. O cliente não visualiza qual bureau foi usado em uma consulta; ele vê</w:t>
      </w:r>
    </w:p>
    <w:p>
      <w:r>
        <w:t>somente o serviço contratado, o resultado permitido e o seu consumo.</w:t>
      </w:r>
    </w:p>
    <w:p>
      <w:pPr>
        <w:pStyle w:val="Heading2"/>
      </w:pPr>
      <w:r>
        <w:t>2. Objetivos</w:t>
      </w:r>
    </w:p>
    <w:p>
      <w:pPr>
        <w:pStyle w:val="ListBullet"/>
      </w:pPr>
      <w:r>
        <w:t>Permitir que administração e vendedores criem e gerenciem carteiras de empresas clientes.</w:t>
      </w:r>
    </w:p>
    <w:p>
      <w:pPr>
        <w:pStyle w:val="ListBullet"/>
      </w:pPr>
      <w:r>
        <w:t>Precificar planos com mensalidade, franquia, excedentes e taxa de adesão.</w:t>
      </w:r>
    </w:p>
    <w:p>
      <w:pPr>
        <w:pStyle w:val="ListBullet"/>
      </w:pPr>
      <w:r>
        <w:t>Executar consultas com rastreabilidade, controle de consumo e retenção de dados.</w:t>
      </w:r>
    </w:p>
    <w:p>
      <w:pPr>
        <w:pStyle w:val="ListBullet"/>
      </w:pPr>
      <w:r>
        <w:t>Automatizar cobrança recorrente e inadimplência por meio do Asaas.</w:t>
      </w:r>
    </w:p>
    <w:p>
      <w:pPr>
        <w:pStyle w:val="ListBullet"/>
      </w:pPr>
      <w:r>
        <w:t>Dar a cada papel um painel restrito às informações necessárias.</w:t>
      </w:r>
    </w:p>
    <w:p>
      <w:pPr>
        <w:pStyle w:val="ListBullet"/>
      </w:pPr>
      <w:r>
        <w:t>Permitir gestão de campanhas, documentos de implementação e inteligência de negócio.</w:t>
      </w:r>
    </w:p>
    <w:p>
      <w:pPr>
        <w:pStyle w:val="Heading2"/>
      </w:pPr>
      <w:r>
        <w:t>3. Papéis e permissões</w:t>
      </w:r>
    </w:p>
    <w:tbl>
      <w:tblPr>
        <w:tblStyle w:val="TableGrid"/>
      </w:tblPr>
      <w:tr>
        <w:tc>
          <w:tcPr>
            <w:shd w:fill="D9EAF7"/>
          </w:tcPr>
          <w:p>
            <w:r>
              <w:t>Papel</w:t>
            </w:r>
          </w:p>
        </w:tc>
        <w:tc>
          <w:tcPr>
            <w:shd w:fill="D9EAF7"/>
          </w:tcPr>
          <w:p>
            <w:r>
              <w:t>Responsabilidades</w:t>
            </w:r>
          </w:p>
        </w:tc>
      </w:tr>
      <w:tr>
        <w:tc>
          <w:tcPr/>
          <w:p>
            <w:r>
              <w:t>Administrador</w:t>
            </w:r>
          </w:p>
        </w:tc>
        <w:tc>
          <w:tcPr/>
          <w:p>
            <w:r>
              <w:t>Acesso concedido por permissões de comercial, financeiro, operação ou superadmin; configura catálogo, bases, campanhas e documentos e acompanha os módulos autorizados.</w:t>
            </w:r>
          </w:p>
        </w:tc>
      </w:tr>
      <w:tr>
        <w:tc>
          <w:tcPr/>
          <w:p>
            <w:r>
              <w:t>Vendedor</w:t>
            </w:r>
          </w:p>
        </w:tc>
        <w:tc>
          <w:tcPr/>
          <w:p>
            <w:r>
              <w:t>Administra apenas suas carteiras, acompanha clientes, consumo, previsão de ganhos, participação na adesão e materiais liberados.</w:t>
            </w:r>
          </w:p>
        </w:tc>
      </w:tr>
      <w:tr>
        <w:tc>
          <w:tcPr/>
          <w:p>
            <w:r>
              <w:t>Empresa cliente</w:t>
            </w:r>
          </w:p>
        </w:tc>
        <w:tc>
          <w:tcPr/>
          <w:p>
            <w:r>
              <w:t>Consulta os serviços contratados, acompanha franquia, excedentes, plano, faturas e atendimento.</w:t>
            </w:r>
          </w:p>
        </w:tc>
      </w:tr>
    </w:tbl>
    <w:p>
      <w:r>
        <w:t>As contas de operação (admin e vendedor) ficam na tabela staff; empresas ficam</w:t>
      </w:r>
    </w:p>
    <w:p>
      <w:r>
        <w:t>em clientes. As tabelas, guards, políticas e sessões são separados. Um papel</w:t>
      </w:r>
    </w:p>
    <w:p>
      <w:r>
        <w:t>nunca obtém acesso a rotas, registros ou indicadores de outro papel sem permissão explícita.</w:t>
      </w:r>
    </w:p>
    <w:p>
      <w:pPr>
        <w:pStyle w:val="Heading2"/>
      </w:pPr>
      <w:r>
        <w:t>4. Jornada de cliente</w:t>
      </w:r>
    </w:p>
    <w:p>
      <w:pPr>
        <w:pStyle w:val="ListNumber"/>
      </w:pPr>
      <w:r>
        <w:t>O vendedor fecha a venda e entrega os dados comerciais à administração.</w:t>
      </w:r>
    </w:p>
    <w:p>
      <w:pPr>
        <w:pStyle w:val="ListNumber"/>
      </w:pPr>
      <w:r>
        <w:t>O administrador cria a empresa, vincula o vendedor, configura o plano e registra a taxa de adesão.</w:t>
      </w:r>
    </w:p>
    <w:p>
      <w:pPr>
        <w:pStyle w:val="ListNumber"/>
      </w:pPr>
      <w:r>
        <w:t>A plataforma cadastra ou atualiza o cliente no Asaas e cria a cobrança correspondente.</w:t>
      </w:r>
    </w:p>
    <w:p>
      <w:pPr>
        <w:pStyle w:val="ListNumber"/>
      </w:pPr>
      <w:r>
        <w:t>O cliente recebe acesso ao portal e documentos de aceite necessários.</w:t>
      </w:r>
    </w:p>
    <w:p>
      <w:pPr>
        <w:pStyle w:val="ListNumber"/>
      </w:pPr>
      <w:r>
        <w:t>O cliente realiza consultas e acompanha consumo, franquia e excedentes.</w:t>
      </w:r>
    </w:p>
    <w:p>
      <w:pPr>
        <w:pStyle w:val="ListNumber"/>
      </w:pPr>
      <w:r>
        <w:t>No fechamento, a plataforma calcula a fatura e envia boleto com QR Code.</w:t>
      </w:r>
    </w:p>
    <w:p>
      <w:pPr>
        <w:pStyle w:val="ListNumber"/>
      </w:pPr>
      <w:r>
        <w:t>Webhooks do Asaas atualizam cobrança, baixa, atraso, reemissão e inadimplência.</w:t>
      </w:r>
    </w:p>
    <w:p>
      <w:pPr>
        <w:pStyle w:val="ListNumber"/>
      </w:pPr>
      <w:r>
        <w:t>No ciclo seguinte, o consumo é liberado conforme o estado financeiro da conta.</w:t>
      </w:r>
    </w:p>
    <w:p>
      <w:pPr>
        <w:pStyle w:val="Heading2"/>
      </w:pPr>
      <w:r>
        <w:t>5. Parâmetros comerciais</w:t>
      </w:r>
    </w:p>
    <w:p>
      <w:r>
        <w:t>Esta seção é a fonte única dos valores citados no restante do documento. Todos</w:t>
      </w:r>
    </w:p>
    <w:p>
      <w:r>
        <w:t>são provisórios até homologação comercial e, uma vez homologados, passam a viver</w:t>
      </w:r>
    </w:p>
    <w:p>
      <w:r>
        <w:t>no catálogo versionado — nunca no código.</w:t>
      </w:r>
    </w:p>
    <w:tbl>
      <w:tblPr>
        <w:tblStyle w:val="TableGrid"/>
      </w:tblPr>
      <w:tr>
        <w:tc>
          <w:tcPr>
            <w:shd w:fill="D9EAF7"/>
          </w:tcPr>
          <w:p>
            <w:r>
              <w:t>Parâmetro</w:t>
            </w:r>
          </w:p>
        </w:tc>
        <w:tc>
          <w:tcPr>
            <w:shd w:fill="D9EAF7"/>
          </w:tcPr>
          <w:p>
            <w:r>
              <w:t>Valor</w:t>
            </w:r>
          </w:p>
        </w:tc>
        <w:tc>
          <w:tcPr>
            <w:shd w:fill="D9EAF7"/>
          </w:tcPr>
          <w:p>
            <w:r>
              <w:t>Observação</w:t>
            </w:r>
          </w:p>
        </w:tc>
      </w:tr>
      <w:tr>
        <w:tc>
          <w:tcPr/>
          <w:p>
            <w:r>
              <w:t>Mensalidade da Avalia</w:t>
            </w:r>
          </w:p>
        </w:tc>
        <w:tc>
          <w:tcPr/>
          <w:p>
            <w:r>
              <w:t>R$ 79,90</w:t>
            </w:r>
          </w:p>
        </w:tc>
        <w:tc>
          <w:tcPr/>
          <w:p>
            <w:r>
              <w:t>Fixa, cobrada consumindo ou não.</w:t>
            </w:r>
          </w:p>
        </w:tc>
      </w:tr>
      <w:tr>
        <w:tc>
          <w:tcPr/>
          <w:p>
            <w:r>
              <w:t>Faixas de consumo mínimo</w:t>
            </w:r>
          </w:p>
        </w:tc>
        <w:tc>
          <w:tcPr/>
          <w:p>
            <w:r>
              <w:t>sem mínimo, R$ 75,00, R$ 200,00, R$ 500,00, R$ 900,00, R$ 1.500,00, R$ 5.000,00</w:t>
            </w:r>
          </w:p>
        </w:tc>
        <w:tc>
          <w:tcPr/>
          <w:p>
            <w:r>
              <w:t>A faixa escolhida define o preço unitário de todos os serviços.</w:t>
            </w:r>
          </w:p>
        </w:tc>
      </w:tr>
      <w:tr>
        <w:tc>
          <w:tcPr/>
          <w:p>
            <w:r>
              <w:t>Taxa de adesão</w:t>
            </w:r>
          </w:p>
        </w:tc>
        <w:tc>
          <w:tcPr/>
          <w:p>
            <w:r>
              <w:t>valor livre, definido pelo vendedor</w:t>
            </w:r>
          </w:p>
        </w:tc>
        <w:tc>
          <w:tcPr/>
          <w:p>
            <w:r>
              <w:t>Cobre licença de uso, liberação de acesso e implantação. Pode ser parcelada e pode ser isentada pelo vendedor.</w:t>
            </w:r>
          </w:p>
        </w:tc>
      </w:tr>
      <w:tr>
        <w:tc>
          <w:tcPr/>
          <w:p>
            <w:r>
              <w:t>Rateio da adesão</w:t>
            </w:r>
          </w:p>
        </w:tc>
        <w:tc>
          <w:tcPr/>
          <w:p>
            <w:r>
              <w:t>50% vendedor, 50% Avalia</w:t>
            </w:r>
          </w:p>
        </w:tc>
        <w:tc>
          <w:tcPr/>
          <w:p>
            <w:r>
              <w:t>Isentar significa nenhum dos dois receber.</w:t>
            </w:r>
          </w:p>
        </w:tc>
      </w:tr>
      <w:tr>
        <w:tc>
          <w:tcPr/>
          <w:p>
            <w:r>
              <w:t>Comissão recorrente</w:t>
            </w:r>
          </w:p>
        </w:tc>
        <w:tc>
          <w:tcPr/>
          <w:p>
            <w:r>
              <w:t>10% sobre o consumo realizado no mês</w:t>
            </w:r>
          </w:p>
        </w:tc>
        <w:tc>
          <w:tcPr/>
          <w:p>
            <w:r>
              <w:t>Lê o que o cliente usou, não a franquia nem o valor da fatura.</w:t>
            </w:r>
          </w:p>
        </w:tc>
      </w:tr>
      <w:tr>
        <w:tc>
          <w:tcPr/>
          <w:p>
            <w:r>
              <w:t>Adicional de excedente</w:t>
            </w:r>
          </w:p>
        </w:tc>
        <w:tc>
          <w:tcPr/>
          <w:p>
            <w:r>
              <w:t>+10 pontos, totalizando 20%</w:t>
            </w:r>
          </w:p>
        </w:tc>
        <w:tc>
          <w:tcPr/>
          <w:p>
            <w:r>
              <w:t>Aplica-se ao mês em que houver excedente.</w:t>
            </w:r>
          </w:p>
        </w:tc>
      </w:tr>
      <w:tr>
        <w:tc>
          <w:tcPr/>
          <w:p>
            <w:r>
              <w:t>Vencimento da fatura</w:t>
            </w:r>
          </w:p>
        </w:tc>
        <w:tc>
          <w:tcPr/>
          <w:p>
            <w:r>
              <w:t>todo dia 10</w:t>
            </w:r>
          </w:p>
        </w:tc>
        <w:tc>
          <w:tcPr/>
          <w:p>
            <w:r>
              <w:t>Data fixa de calendário, igual para todos os clientes.</w:t>
            </w:r>
          </w:p>
        </w:tc>
      </w:tr>
      <w:tr>
        <w:tc>
          <w:tcPr/>
          <w:p>
            <w:r>
              <w:t>Bloqueio por atraso</w:t>
            </w:r>
          </w:p>
        </w:tc>
        <w:tc>
          <w:tcPr/>
          <w:p>
            <w:r>
              <w:t>10 dias após o vencimento</w:t>
            </w:r>
          </w:p>
        </w:tc>
        <w:tc>
          <w:tcPr/>
          <w:p>
            <w:r>
              <w:t>Na prática, dia 20. Bloqueia consultas; o login continua liberado para regularizar.</w:t>
            </w:r>
          </w:p>
        </w:tc>
      </w:tr>
      <w:tr>
        <w:tc>
          <w:tcPr/>
          <w:p>
            <w:r>
              <w:t>Vigência do contrato</w:t>
            </w:r>
          </w:p>
        </w:tc>
        <w:tc>
          <w:tcPr/>
          <w:p>
            <w:r>
              <w:t>escolhida pelo vendedor</w:t>
            </w:r>
          </w:p>
        </w:tc>
        <w:tc>
          <w:tcPr/>
          <w:p>
            <w:r>
              <w:t>Sem vigência; 12 meses; 24 meses; ou 3 meses de carência especial para teste, seguidos de 12 ou 24 meses.</w:t>
            </w:r>
          </w:p>
        </w:tc>
      </w:tr>
      <w:tr>
        <w:tc>
          <w:tcPr/>
          <w:p>
            <w:r>
              <w:t>Imposto sobre a venda</w:t>
            </w:r>
          </w:p>
        </w:tc>
        <w:tc>
          <w:tcPr/>
          <w:p>
            <w:r>
              <w:t>27% (provisório)</w:t>
            </w:r>
          </w:p>
        </w:tc>
        <w:tc>
          <w:tcPr/>
          <w:p>
            <w:r>
              <w:t>Média estimada. Depende do regime tributário e precisa de confirmação contábil.</w:t>
            </w:r>
          </w:p>
        </w:tc>
      </w:tr>
      <w:tr>
        <w:tc>
          <w:tcPr/>
          <w:p>
            <w:r>
              <w:t>Retenção da resposta do bureau</w:t>
            </w:r>
          </w:p>
        </w:tc>
        <w:tc>
          <w:tcPr/>
          <w:p>
            <w:r>
              <w:t>180 dias</w:t>
            </w:r>
          </w:p>
        </w:tc>
        <w:tc>
          <w:tcPr/>
          <w:p>
            <w:r>
              <w:t>Metadados fiscais e auditoria são preservados.</w:t>
            </w:r>
          </w:p>
        </w:tc>
      </w:tr>
    </w:tbl>
    <w:p>
      <w:r>
        <w:t>Todos os valores financeiros são inteiros em centavos, do banco até a tela. Não</w:t>
      </w:r>
    </w:p>
    <w:p>
      <w:r>
        <w:t>se usa ponto flutuante em nenhuma etapa de cálculo, armazenamento ou exibição.</w:t>
      </w:r>
    </w:p>
    <w:p>
      <w:r>
        <w:t>A mensalidade de R$ 49,00 que aparece nos documentos de referência é histórica do</w:t>
      </w:r>
    </w:p>
    <w:p>
      <w:r>
        <w:t>fornecedor e não substitui a mensalidade da Avalia.</w:t>
      </w:r>
    </w:p>
    <w:p>
      <w:r>
        <w:t>A taxa de adesão substitui e unifica o que antes eram dois parâmetros separados,</w:t>
      </w:r>
    </w:p>
    <w:p>
      <w:r>
        <w:t>taxa de cadastro e taxa de licença: eram a mesma cobrança descrita duas vezes.</w:t>
      </w:r>
    </w:p>
    <w:p>
      <w:pPr>
        <w:pStyle w:val="Heading2"/>
      </w:pPr>
      <w:r>
        <w:t>6. Clientes, planos e consumo</w:t>
      </w:r>
    </w:p>
    <w:p>
      <w:pPr>
        <w:pStyle w:val="Heading3"/>
      </w:pPr>
      <w:r>
        <w:t>Cadastro de empresa</w:t>
      </w:r>
    </w:p>
    <w:p>
      <w:r>
        <w:t>O cadastro reúne identificação empresarial, contatos, responsável, vendedor,</w:t>
      </w:r>
    </w:p>
    <w:p>
      <w:r>
        <w:t>dados financeiros, status, plano e histórico. A administração cria a empresa a</w:t>
      </w:r>
    </w:p>
    <w:p>
      <w:r>
        <w:t>partir dos dados fechados pelo vendedor. Um vendedor não altera clientes de</w:t>
      </w:r>
    </w:p>
    <w:p>
      <w:r>
        <w:t>outra carteira.</w:t>
      </w:r>
    </w:p>
    <w:p>
      <w:r>
        <w:t>O contrato de serviço e o aceite são requisito jurídico da ativação. O cadastro</w:t>
      </w:r>
    </w:p>
    <w:p>
      <w:r>
        <w:t>exige CPF/CNPJ, razão social, endereço e situação.</w:t>
      </w:r>
    </w:p>
    <w:p>
      <w:pPr>
        <w:pStyle w:val="Heading3"/>
      </w:pPr>
      <w:r>
        <w:t>Plano e preços</w:t>
      </w:r>
    </w:p>
    <w:p>
      <w:r>
        <w:t>Cada plano combina a mensalidade fixa, uma faixa de consumo mínimo, franquia por</w:t>
      </w:r>
    </w:p>
    <w:p>
      <w:r>
        <w:t>quantidade de cada serviço, preços por serviço, regras de excedente, serviços</w:t>
      </w:r>
    </w:p>
    <w:p>
      <w:r>
        <w:t>liberados, condições comerciais, vigência e status. Os valores estão na seção 5.</w:t>
      </w:r>
    </w:p>
    <w:p>
      <w:r>
        <w:t>O preço de tabela é o valor final ao cliente da Avalia. O custo efetivo do</w:t>
      </w:r>
    </w:p>
    <w:p>
      <w:r>
        <w:t>fornecedor é interno, cadastrado separadamente, e nunca é exibido ao cliente ou</w:t>
      </w:r>
    </w:p>
    <w:p>
      <w:r>
        <w:t>ao vendedor.</w:t>
      </w:r>
    </w:p>
    <w:p>
      <w:pPr>
        <w:pStyle w:val="Heading3"/>
      </w:pPr>
      <w:r>
        <w:t>Margem e piso de preço</w:t>
      </w:r>
    </w:p>
    <w:p>
      <w:r>
        <w:t>A administração vê a mesma matriz do catálogo sob três visões: preço de venda,</w:t>
      </w:r>
    </w:p>
    <w:p>
      <w:r>
        <w:t>custo do fornecedor e margem. As duas últimas são internas e ficam atrás da mesma</w:t>
      </w:r>
    </w:p>
    <w:p>
      <w:r>
        <w:t>restrição de acesso do catálogo — vendedor não entra.</w:t>
      </w:r>
    </w:p>
    <w:p>
      <w:pPr>
        <w:pStyle w:val="NoSpacing"/>
      </w:pPr>
      <w:r>
        <w:t>imposto = preço de venda × alíquota</w:t>
      </w:r>
    </w:p>
    <w:p>
      <w:pPr>
        <w:pStyle w:val="NoSpacing"/>
      </w:pPr>
      <w:r>
        <w:t>margem  = preço de venda − custo do fornecedor − imposto</w:t>
      </w:r>
    </w:p>
    <w:p>
      <w:pPr>
        <w:pStyle w:val="NoSpacing"/>
      </w:pPr>
      <w:r>
        <w:t>piso    = menor preço de venda cuja margem ainda não é negativa</w:t>
      </w:r>
    </w:p>
    <w:p>
      <w:r>
        <w:t>O piso não é cadastrado, é calculado: abaixo dele a venda não paga fornecedor e</w:t>
      </w:r>
    </w:p>
    <w:p>
      <w:r>
        <w:t>imposto. A tela marca em vermelho toda célula vendida abaixo do piso.</w:t>
      </w:r>
    </w:p>
    <w:p>
      <w:r>
        <w:t>Custo em branco significa custo ainda não cadastrado, e é diferente de custo</w:t>
      </w:r>
    </w:p>
    <w:p>
      <w:r>
        <w:t>zero: sem o dado, a plataforma não exibe margem nem piso em vez de exibir um</w:t>
      </w:r>
    </w:p>
    <w:p>
      <w:r>
        <w:t>número inventado. A alíquota de imposto vive no catálogo, não no código, porque</w:t>
      </w:r>
    </w:p>
    <w:p>
      <w:r>
        <w:t>muda com o regime tributário e precisa de rastro.</w:t>
      </w:r>
    </w:p>
    <w:p>
      <w:r>
        <w:t>Cada serviço do catálogo tem código, descrição, preço de venda por faixa, custo</w:t>
      </w:r>
    </w:p>
    <w:p>
      <w:r>
        <w:t>interno, franquia, regras de consumo e congelamento por contrato.</w:t>
      </w:r>
    </w:p>
    <w:p>
      <w:pPr>
        <w:pStyle w:val="Heading3"/>
      </w:pPr>
      <w:r>
        <w:t>Edição do catálogo</w:t>
      </w:r>
    </w:p>
    <w:p>
      <w:r>
        <w:t>O catálogo é único e editável a qualquer momento pelo administrador com permissão</w:t>
      </w:r>
    </w:p>
    <w:p>
      <w:r>
        <w:t>comercial ou financeira, célula a célula ou por reajuste percentual. Toda</w:t>
      </w:r>
    </w:p>
    <w:p>
      <w:r>
        <w:t>alteração de preço, custo, franquia ou disponibilidade gera auditoria.</w:t>
      </w:r>
    </w:p>
    <w:p>
      <w:r>
        <w:t>Não há congelamento do catálogo, e isso é decisão consciente. O que impede um</w:t>
      </w:r>
    </w:p>
    <w:p>
      <w:r>
        <w:t>reajuste de hoje de alterar cobrança de ontem é cada consulta e cada fatura</w:t>
      </w:r>
    </w:p>
    <w:p>
      <w:r>
        <w:t>gravarem preço e custo no momento da emissão (seções 7 e 8). Quem cobra</w:t>
      </w:r>
    </w:p>
    <w:p>
      <w:r>
        <w:t>guarda o próprio valor; o catálogo responde apenas quanto custa hoje.</w:t>
      </w:r>
    </w:p>
    <w:p>
      <w:r>
        <w:t>Essa regra é o alicerce de todo o faturamento: se uma consulta for gravada sem o</w:t>
      </w:r>
    </w:p>
    <w:p>
      <w:r>
        <w:t>preço da época, ou se a fatura passar a ler o catálogo em vez do valor congelado</w:t>
      </w:r>
    </w:p>
    <w:p>
      <w:r>
        <w:t>no fechamento, um reajuste passa a reescrever o passado silenciosamente.</w:t>
      </w:r>
    </w:p>
    <w:p>
      <w:r>
        <w:t>Preço é sempre valor numérico por faixa. Nenhuma célula do catálogo aceita texto</w:t>
      </w:r>
    </w:p>
    <w:p>
      <w:r>
        <w:t>monetário, intervalo ou dois valores no mesmo campo.</w:t>
      </w:r>
    </w:p>
    <w:p>
      <w:pPr>
        <w:pStyle w:val="Heading3"/>
      </w:pPr>
      <w:r>
        <w:t>Origem dos preços de referência</w:t>
      </w:r>
    </w:p>
    <w:p>
      <w:r>
        <w:t>Os preços de partida estão nos anexos A e B, transcritos dos PDFs em temp/.</w:t>
      </w:r>
    </w:p>
    <w:p>
      <w:r>
        <w:t>Eles precisam ser homologados pelo time comercial antes da ativação e então</w:t>
      </w:r>
    </w:p>
    <w:p>
      <w:r>
        <w:t>cadastrados no catálogo, em centavos.</w:t>
      </w:r>
    </w:p>
    <w:p>
      <w:r>
        <w:t>O diretório temp/ é referência documental apenas: guarda a tabela de crédito, a</w:t>
      </w:r>
    </w:p>
    <w:p>
      <w:r>
        <w:t>tabela veicular e o contrato de referência do fornecedor, em PDF, usados na</w:t>
      </w:r>
    </w:p>
    <w:p>
      <w:r>
        <w:t>transição. Não é parte da aplicação, não é versionado e não deve ser lido pelo</w:t>
      </w:r>
    </w:p>
    <w:p>
      <w:r>
        <w:t>código em produção.</w:t>
      </w:r>
    </w:p>
    <w:p>
      <w:r>
        <w:t>Os nomes comerciais dos serviços são da Avalia. Marca, razão social e</w:t>
      </w:r>
    </w:p>
    <w:p>
      <w:r>
        <w:t>nomenclatura do fornecedor não aparecem no catálogo, no portal nem em documento</w:t>
      </w:r>
    </w:p>
    <w:p>
      <w:r>
        <w:t>gerado para o cliente.</w:t>
      </w:r>
    </w:p>
    <w:p>
      <w:pPr>
        <w:pStyle w:val="Heading3"/>
      </w:pPr>
      <w:r>
        <w:t>Cálculo mensal</w:t>
      </w:r>
    </w:p>
    <w:p>
      <w:pPr>
        <w:pStyle w:val="NoSpacing"/>
      </w:pPr>
      <w:r>
        <w:t>consumo_realizado = valor das consultas concluídas com sucesso</w:t>
      </w:r>
    </w:p>
    <w:p>
      <w:pPr>
        <w:pStyle w:val="NoSpacing"/>
      </w:pPr>
      <w:r>
        <w:t>valor_de_consumo  = max(consumo_minimo, consumo_realizado)</w:t>
      </w:r>
    </w:p>
    <w:p>
      <w:pPr>
        <w:pStyle w:val="NoSpacing"/>
      </w:pPr>
      <w:r>
        <w:t>fatura            = mensalidade + valor_de_consumo</w:t>
      </w:r>
    </w:p>
    <w:p>
      <w:r>
        <w:t>A franquia é medida por quantidade de consultas de cada serviço. Cada consulta</w:t>
      </w:r>
    </w:p>
    <w:p>
      <w:r>
        <w:t>concluída reduz uma unidade disponível e possui preço unitário no catálogo. O</w:t>
      </w:r>
    </w:p>
    <w:p>
      <w:r>
        <w:t>excedente é o consumo que ultrapassa a franquia contratada e entra de forma</w:t>
      </w:r>
    </w:p>
    <w:p>
      <w:r>
        <w:t>consolidada na fatura mensal; não há cobrança avulsa durante a consulta.</w:t>
      </w:r>
    </w:p>
    <w:p>
      <w:r>
        <w:t>O painel do cliente mostra plano e vigência, franquia contratada, utilizada e</w:t>
      </w:r>
    </w:p>
    <w:p>
      <w:r>
        <w:t>disponível, valor consumido, excedentes previstos, serviços disponíveis e a</w:t>
      </w:r>
    </w:p>
    <w:p>
      <w:r>
        <w:t>situação da última fatura. Ele não mostra fornecedor, custo interno, margem ou comissão.</w:t>
      </w:r>
    </w:p>
    <w:p>
      <w:pPr>
        <w:pStyle w:val="Heading3"/>
      </w:pPr>
      <w:r>
        <w:t>Situação da conta</w:t>
      </w:r>
    </w:p>
    <w:tbl>
      <w:tblPr>
        <w:tblStyle w:val="TableGrid"/>
      </w:tblPr>
      <w:tr>
        <w:tc>
          <w:tcPr>
            <w:shd w:fill="D9EAF7"/>
          </w:tcPr>
          <w:p>
            <w:r>
              <w:t>Situação</w:t>
            </w:r>
          </w:p>
        </w:tc>
        <w:tc>
          <w:tcPr>
            <w:shd w:fill="D9EAF7"/>
          </w:tcPr>
          <w:p>
            <w:r>
              <w:t>Login</w:t>
            </w:r>
          </w:p>
        </w:tc>
        <w:tc>
          <w:tcPr>
            <w:shd w:fill="D9EAF7"/>
          </w:tcPr>
          <w:p>
            <w:r>
              <w:t>Consulta</w:t>
            </w:r>
          </w:p>
        </w:tc>
      </w:tr>
      <w:tr>
        <w:tc>
          <w:tcPr/>
          <w:p>
            <w:r>
              <w:t>Ativo</w:t>
            </w:r>
          </w:p>
        </w:tc>
        <w:tc>
          <w:tcPr/>
          <w:p>
            <w:r>
              <w:t>Permitido</w:t>
            </w:r>
          </w:p>
        </w:tc>
        <w:tc>
          <w:tcPr/>
          <w:p>
            <w:r>
              <w:t>Permitida</w:t>
            </w:r>
          </w:p>
        </w:tc>
      </w:tr>
      <w:tr>
        <w:tc>
          <w:tcPr/>
          <w:p>
            <w:r>
              <w:t>Inadimplente</w:t>
            </w:r>
          </w:p>
        </w:tc>
        <w:tc>
          <w:tcPr/>
          <w:p>
            <w:r>
              <w:t>Permitido para regularização</w:t>
            </w:r>
          </w:p>
        </w:tc>
        <w:tc>
          <w:tcPr/>
          <w:p>
            <w:r>
              <w:t>Bloqueada</w:t>
            </w:r>
          </w:p>
        </w:tc>
      </w:tr>
      <w:tr>
        <w:tc>
          <w:tcPr/>
          <w:p>
            <w:r>
              <w:t>Bloqueado</w:t>
            </w:r>
          </w:p>
        </w:tc>
        <w:tc>
          <w:tcPr/>
          <w:p>
            <w:r>
              <w:t>Conforme decisão administrativa</w:t>
            </w:r>
          </w:p>
        </w:tc>
        <w:tc>
          <w:tcPr/>
          <w:p>
            <w:r>
              <w:t>Bloqueada</w:t>
            </w:r>
          </w:p>
        </w:tc>
      </w:tr>
      <w:tr>
        <w:tc>
          <w:tcPr/>
          <w:p>
            <w:r>
              <w:t>Inativo</w:t>
            </w:r>
          </w:p>
        </w:tc>
        <w:tc>
          <w:tcPr/>
          <w:p>
            <w:r>
              <w:t>Bloqueado</w:t>
            </w:r>
          </w:p>
        </w:tc>
        <w:tc>
          <w:tcPr/>
          <w:p>
            <w:r>
              <w:t>Bloqueada</w:t>
            </w:r>
          </w:p>
        </w:tc>
      </w:tr>
    </w:tbl>
    <w:p>
      <w:r>
        <w:t>A linha do tempo da inadimplência é fixa:</w:t>
      </w:r>
    </w:p>
    <w:tbl>
      <w:tblPr>
        <w:tblStyle w:val="TableGrid"/>
      </w:tblPr>
      <w:tr>
        <w:tc>
          <w:tcPr>
            <w:shd w:fill="D9EAF7"/>
          </w:tcPr>
          <w:p>
            <w:r>
              <w:t>Dia</w:t>
            </w:r>
          </w:p>
        </w:tc>
        <w:tc>
          <w:tcPr>
            <w:shd w:fill="D9EAF7"/>
          </w:tcPr>
          <w:p>
            <w:r>
              <w:t>Evento</w:t>
            </w:r>
          </w:p>
        </w:tc>
      </w:tr>
      <w:tr>
        <w:tc>
          <w:tcPr/>
          <w:p>
            <w:r>
              <w:t>10</w:t>
            </w:r>
          </w:p>
        </w:tc>
        <w:tc>
          <w:tcPr/>
          <w:p>
            <w:r>
              <w:t>Vencimento da fatura.</w:t>
            </w:r>
          </w:p>
        </w:tc>
      </w:tr>
      <w:tr>
        <w:tc>
          <w:tcPr/>
          <w:p>
            <w:r>
              <w:t>11 a 19</w:t>
            </w:r>
          </w:p>
        </w:tc>
        <w:tc>
          <w:tcPr/>
          <w:p>
            <w:r>
              <w:t>Fatura em atraso. Consultas continuam liberadas; o cliente é avisado.</w:t>
            </w:r>
          </w:p>
        </w:tc>
      </w:tr>
      <w:tr>
        <w:tc>
          <w:tcPr/>
          <w:p>
            <w:r>
              <w:t>20</w:t>
            </w:r>
          </w:p>
        </w:tc>
        <w:tc>
          <w:tcPr/>
          <w:p>
            <w:r>
              <w:t>Bloqueio das consultas. O login permanece aberto para o cliente ver a fatura, obter a segunda via e regularizar.</w:t>
            </w:r>
          </w:p>
        </w:tc>
      </w:tr>
      <w:tr>
        <w:tc>
          <w:tcPr/>
          <w:p>
            <w:r>
              <w:t>Liquidação</w:t>
            </w:r>
          </w:p>
        </w:tc>
        <w:tc>
          <w:tcPr/>
          <w:p>
            <w:r>
              <w:t>Consultas liberadas de volta no mesmo ciclo, sem esperar a competência seguinte.</w:t>
            </w:r>
          </w:p>
        </w:tc>
      </w:tr>
    </w:tbl>
    <w:p>
      <w:r>
        <w:t>O bloqueio existe para forçar o pagamento, não para punir: por isso ele fecha a</w:t>
      </w:r>
    </w:p>
    <w:p>
      <w:r>
        <w:t>consulta e mantém o acesso à fatura. Cliente que não consegue ver o que deve não</w:t>
      </w:r>
    </w:p>
    <w:p>
      <w:r>
        <w:t>tem como pagar.</w:t>
      </w:r>
    </w:p>
    <w:p>
      <w:r>
        <w:t>O ciclo seguinte só é restaurado para contas elegíveis. Prazos de vencimento,</w:t>
      </w:r>
    </w:p>
    <w:p>
      <w:r>
        <w:t>bloqueio e reativação devem ser parametrizáveis e auditados.</w:t>
      </w:r>
    </w:p>
    <w:p>
      <w:pPr>
        <w:pStyle w:val="Heading2"/>
      </w:pPr>
      <w:r>
        <w:t>7. Serviços e consultas</w:t>
      </w:r>
    </w:p>
    <w:p>
      <w:pPr>
        <w:pStyle w:val="Heading3"/>
      </w:pPr>
      <w:r>
        <w:t>Bases</w:t>
      </w:r>
    </w:p>
    <w:p>
      <w:r>
        <w:t>As integrações previstas para a primeira versão são SPC, Serasa, Boa Vista/SCPC,</w:t>
      </w:r>
    </w:p>
    <w:p>
      <w:r>
        <w:t>SCR e Veicular. Cada base é um conector separado, com credenciais por ambiente,</w:t>
      </w:r>
    </w:p>
    <w:p>
      <w:r>
        <w:t>timeout, tratamento de erro, custo e contrato de resposta próprios.</w:t>
      </w:r>
    </w:p>
    <w:p>
      <w:r>
        <w:t>O administrador configura bases e produtos disponíveis. Vendedores acessam</w:t>
      </w:r>
    </w:p>
    <w:p>
      <w:r>
        <w:t>somente as bases liberadas a eles. O cliente consome serviços do plano sem saber</w:t>
      </w:r>
    </w:p>
    <w:p>
      <w:r>
        <w:t>qual base realizou a pesquisa.</w:t>
      </w:r>
    </w:p>
    <w:p>
      <w:r>
        <w:t>SCR e Veicular têm catálogo e permissões implementados desde já, com a integração</w:t>
      </w:r>
    </w:p>
    <w:p>
      <w:r>
        <w:t>externa desativada por feature flag. Nenhuma requisição a API, nem liberação</w:t>
      </w:r>
    </w:p>
    <w:p>
      <w:r>
        <w:t>comercial, ocorre antes da homologação jurídica, contratual e técnica. O SCR</w:t>
      </w:r>
    </w:p>
    <w:p>
      <w:r>
        <w:t>recebe nome comercial mascarado e depende ainda de autorização expressa</w:t>
      </w:r>
    </w:p>
    <w:p>
      <w:r>
        <w:t>verificável para cada consulta.</w:t>
      </w:r>
    </w:p>
    <w:p>
      <w:pPr>
        <w:pStyle w:val="Heading3"/>
      </w:pPr>
      <w:r>
        <w:t>Serviços apresentados ao cliente</w:t>
      </w:r>
    </w:p>
    <w:p>
      <w:r>
        <w:t>O portal apresenta serviços pelo nome comercial e em botões ou cartões, por</w:t>
      </w:r>
    </w:p>
    <w:p>
      <w:r>
        <w:t>exemplo, uma consulta SCR em destaque. Antes da confirmação, o sistema informa o</w:t>
      </w:r>
    </w:p>
    <w:p>
      <w:r>
        <w:t>impacto no consumo sem revelar a base subjacente.</w:t>
      </w:r>
    </w:p>
    <w:p>
      <w:pPr>
        <w:pStyle w:val="Heading3"/>
      </w:pPr>
      <w:r>
        <w:t>Execução segura</w:t>
      </w:r>
    </w:p>
    <w:p>
      <w:r>
        <w:t>Antes de chamar o fornecedor, criar consulta com status processando, cliente,</w:t>
      </w:r>
    </w:p>
    <w:p>
      <w:r>
        <w:t>vendedor, operador, origem, serviço, documento, competência, preço e custo.</w:t>
      </w:r>
    </w:p>
    <w:p>
      <w:pPr>
        <w:pStyle w:val="ListBullet"/>
      </w:pPr>
      <w:r>
        <w:t>Sucesso: marcar ok, salvar resposta normalizada e contabilizar consumo.</w:t>
      </w:r>
    </w:p>
    <w:p>
      <w:pPr>
        <w:pStyle w:val="ListBullet"/>
      </w:pPr>
      <w:r>
        <w:t>Erro: marcar erro, não cobrar o cliente, não gerar comissão e registrar motivo técnico seguro.</w:t>
      </w:r>
    </w:p>
    <w:p>
      <w:pPr>
        <w:pStyle w:val="ListBullet"/>
      </w:pPr>
      <w:r>
        <w:t>Queda ou timeout: manter registro rastreável para reconciliação.</w:t>
      </w:r>
    </w:p>
    <w:p>
      <w:r>
        <w:t>Se o fornecedor tiver processado uma consulta que falhou antes da resposta final,</w:t>
      </w:r>
    </w:p>
    <w:p>
      <w:r>
        <w:t>o custo é absorvido pela Avalia; a empresa cliente não é cobrada.</w:t>
      </w:r>
    </w:p>
    <w:p>
      <w:r>
        <w:t>Consultas bem-sucedidas geram relatório visual e imprimível. A resposta bruta é</w:t>
      </w:r>
    </w:p>
    <w:p>
      <w:r>
        <w:t>dado sensível e fica no servidor, com acesso restrito e retenção limitada.</w:t>
      </w:r>
    </w:p>
    <w:p>
      <w:r>
        <w:t>O cliente sempre consulta terceiros. O relatório deve apresentar aviso de</w:t>
      </w:r>
    </w:p>
    <w:p>
      <w:r>
        <w:t>confidencialidade, finalidade permitida, responsabilidade do solicitante e canal</w:t>
      </w:r>
    </w:p>
    <w:p>
      <w:r>
        <w:t>para dúvidas. O aviso deve ser claro e informativo, com base legal e documento de</w:t>
      </w:r>
    </w:p>
    <w:p>
      <w:r>
        <w:t>autorização vinculados à consulta; não deve simular orientação jurídica.</w:t>
      </w:r>
    </w:p>
    <w:p>
      <w:pPr>
        <w:pStyle w:val="Heading3"/>
      </w:pPr>
      <w:r>
        <w:t>Boa Vista/Equifax</w:t>
      </w:r>
    </w:p>
    <w:p>
      <w:r>
        <w:t>A integração já mapeada usa OAuth2 client_credentials com Basic Auth e requer os</w:t>
      </w:r>
    </w:p>
    <w:p>
      <w:r>
        <w:t>cabeçalhos app e secondaryCode. O caminho conhecido é</w:t>
      </w:r>
    </w:p>
    <w:p>
      <w:r>
        <w:t>/business/reporting-orchestrator/v1/consulta. O Orchestrator não está publicado</w:t>
      </w:r>
    </w:p>
    <w:p>
      <w:r>
        <w:t>no sandbox; payload e resposta devem ser validados em ambiente de teste homologado.</w:t>
      </w:r>
    </w:p>
    <w:p>
      <w:r>
        <w:t>CPF e CNPJ são validados no servidor. O CNPJ alfanumérico segue a RFB 2.229/2024.</w:t>
      </w:r>
    </w:p>
    <w:p>
      <w:pPr>
        <w:pStyle w:val="Heading2"/>
      </w:pPr>
      <w:r>
        <w:t>8. Cobrança e Asaas</w:t>
      </w:r>
    </w:p>
    <w:p>
      <w:r>
        <w:t>O Asaas será o provedor de cadastro financeiro, cobrança e liquidação.</w:t>
      </w:r>
    </w:p>
    <w:p>
      <w:pPr>
        <w:pStyle w:val="Heading3"/>
      </w:pPr>
      <w:r>
        <w:t>Integração</w:t>
      </w:r>
    </w:p>
    <w:p>
      <w:pPr>
        <w:pStyle w:val="ListBullet"/>
      </w:pPr>
      <w:r>
        <w:t>Criar e manter um customer do Asaas para cada empresa.</w:t>
      </w:r>
    </w:p>
    <w:p>
      <w:pPr>
        <w:pStyle w:val="ListBullet"/>
      </w:pPr>
      <w:r>
        <w:t>Criar cobranças de adesão, recorrência, excedentes e ajustes.</w:t>
      </w:r>
    </w:p>
    <w:p>
      <w:pPr>
        <w:pStyle w:val="ListBullet"/>
      </w:pPr>
      <w:r>
        <w:t>Oferecer boleto com QR Code e Pix.</w:t>
      </w:r>
    </w:p>
    <w:p>
      <w:pPr>
        <w:pStyle w:val="ListBullet"/>
      </w:pPr>
      <w:r>
        <w:t>Salvar IDs externos, URLs de boleto, linha digitável, QR Code, vencimento,</w:t>
      </w:r>
    </w:p>
    <w:p>
      <w:r>
        <w:t>  valor, status e histórico.</w:t>
      </w:r>
    </w:p>
    <w:p>
      <w:pPr>
        <w:pStyle w:val="ListBullet"/>
      </w:pPr>
      <w:r>
        <w:t>Permitir ao administrador visualizar, editar, reemitir, cancelar ou baixar</w:t>
      </w:r>
    </w:p>
    <w:p>
      <w:r>
        <w:t>  cobranças de acordo com as regras do Asaas.</w:t>
      </w:r>
    </w:p>
    <w:p>
      <w:pPr>
        <w:pStyle w:val="Heading3"/>
      </w:pPr>
      <w:r>
        <w:t>Webhooks</w:t>
      </w:r>
    </w:p>
    <w:p>
      <w:r>
        <w:t>O endpoint valida segredo ou assinatura, registra evento bruto de forma segura,</w:t>
      </w:r>
    </w:p>
    <w:p>
      <w:r>
        <w:t>garante idempotência e processa em fila. Deve cobrir criação, atualização,</w:t>
      </w:r>
    </w:p>
    <w:p>
      <w:r>
        <w:t>vencimento, pagamento, atraso, estorno, cancelamento, reembolso e falhas.</w:t>
      </w:r>
    </w:p>
    <w:p>
      <w:r>
        <w:t>Um webhook não altera uma fatura diretamente sem correlação pelo ID externo e</w:t>
      </w:r>
    </w:p>
    <w:p>
      <w:r>
        <w:t>trilha de auditoria. Falhas devem ser reprocessáveis.</w:t>
      </w:r>
    </w:p>
    <w:p>
      <w:pPr>
        <w:pStyle w:val="Heading3"/>
      </w:pPr>
      <w:r>
        <w:t>Fechamento automático</w:t>
      </w:r>
    </w:p>
    <w:p>
      <w:r>
        <w:t>Um comando agendado deve:</w:t>
      </w:r>
    </w:p>
    <w:p>
      <w:pPr>
        <w:pStyle w:val="ListNumber"/>
      </w:pPr>
      <w:r>
        <w:t>Fechar competências vencidas e congelar preços, consumo, comissão e impostos.</w:t>
      </w:r>
    </w:p>
    <w:p>
      <w:pPr>
        <w:pStyle w:val="ListNumber"/>
      </w:pPr>
      <w:r>
        <w:t>Criar ou atualizar a fatura interna.</w:t>
      </w:r>
    </w:p>
    <w:p>
      <w:pPr>
        <w:pStyle w:val="ListNumber"/>
      </w:pPr>
      <w:r>
        <w:t>Solicitar a cobrança no Asaas.</w:t>
      </w:r>
    </w:p>
    <w:p>
      <w:pPr>
        <w:pStyle w:val="ListNumber"/>
      </w:pPr>
      <w:r>
        <w:t>Enviar aviso ao cliente.</w:t>
      </w:r>
    </w:p>
    <w:p>
      <w:pPr>
        <w:pStyle w:val="ListNumber"/>
      </w:pPr>
      <w:r>
        <w:t>Aplicar a política de atraso e suspensão.</w:t>
      </w:r>
    </w:p>
    <w:p>
      <w:pPr>
        <w:pStyle w:val="ListNumber"/>
      </w:pPr>
      <w:r>
        <w:t>Abrir a competência seguinte quando houver condição de acesso.</w:t>
      </w:r>
    </w:p>
    <w:p>
      <w:r>
        <w:t>O fechamento de mês em andamento exige ação administrativa explícita e auditoria.</w:t>
      </w:r>
    </w:p>
    <w:p>
      <w:r>
        <w:t>Toda fatura vence no dia 10, independentemente do dia em que a competência foi</w:t>
      </w:r>
    </w:p>
    <w:p>
      <w:r>
        <w:t>fechada ou em que o cliente aderiu. É data de calendário, não contagem a partir</w:t>
      </w:r>
    </w:p>
    <w:p>
      <w:r>
        <w:t>do fechamento: o cliente que adere no dia 28 recebe a primeira fatura no</w:t>
      </w:r>
    </w:p>
    <w:p>
      <w:r>
        <w:t>vencimento seguinte, com a competência proporcional.</w:t>
      </w:r>
    </w:p>
    <w:p>
      <w:r>
        <w:t>A taxa de adesão pode ser parcelada. Cada parcela é uma cobrança própria no</w:t>
      </w:r>
    </w:p>
    <w:p>
      <w:r>
        <w:t>Asaas, com o mesmo vencimento dia 10, e o não pagamento de uma parcela segue a</w:t>
      </w:r>
    </w:p>
    <w:p>
      <w:r>
        <w:t>mesma política de bloqueio das demais faturas.</w:t>
      </w:r>
    </w:p>
    <w:p>
      <w:pPr>
        <w:pStyle w:val="Heading2"/>
      </w:pPr>
      <w:r>
        <w:t>9. Vendedores e carteiras</w:t>
      </w:r>
    </w:p>
    <w:p>
      <w:r>
        <w:t>Cada vendedor possui carteira pessoal isolada. O administrador vê todas; o vendedor vê</w:t>
      </w:r>
    </w:p>
    <w:p>
      <w:r>
        <w:t>somente clientes, consumo, cobranças permitidas, oportunidades e indicadores da</w:t>
      </w:r>
    </w:p>
    <w:p>
      <w:r>
        <w:t>própria carteira.</w:t>
      </w:r>
    </w:p>
    <w:p>
      <w:r>
        <w:t>Carteira legada e mailing distribuído ficam fora do escopo. O sistema preserva</w:t>
      </w:r>
    </w:p>
    <w:p>
      <w:r>
        <w:t>responsável, histórico de transferências e regras de visibilidade de cada cliente.</w:t>
      </w:r>
    </w:p>
    <w:p>
      <w:pPr>
        <w:pStyle w:val="Heading3"/>
      </w:pPr>
      <w:r>
        <w:t>Ganhos do vendedor</w:t>
      </w:r>
    </w:p>
    <w:p>
      <w:r>
        <w:t>O painel mostra previsão de comissão, participação na adesão, repasses pagos,</w:t>
      </w:r>
    </w:p>
    <w:p>
      <w:r>
        <w:t>pendências e histórico por competência. Comissão e adesão tornam-se elegíveis</w:t>
      </w:r>
    </w:p>
    <w:p>
      <w:r>
        <w:t>somente após a liquidação da cobrança correspondente no Asaas.</w:t>
      </w:r>
    </w:p>
    <w:p>
      <w:pPr>
        <w:pStyle w:val="Heading3"/>
      </w:pPr>
      <w:r>
        <w:t>Comissão recorrente</w:t>
      </w:r>
    </w:p>
    <w:p>
      <w:r>
        <w:t>A alíquota é 10% sobre o consumo realizado no mês, uma só para todos os</w:t>
      </w:r>
    </w:p>
    <w:p>
      <w:r>
        <w:t>planos e todas as faixas.</w:t>
      </w:r>
    </w:p>
    <w:p>
      <w:r>
        <w:t>A base é o que o cliente efetivamente usou, não a franquia contratada nem o valor</w:t>
      </w:r>
    </w:p>
    <w:p>
      <w:r>
        <w:t>da fatura. Isso tem uma consequência que precisa estar clara no treinamento</w:t>
      </w:r>
    </w:p>
    <w:p>
      <w:r>
        <w:t>comercial: um cliente com consumo mínimo de R$ 900,00 que consome R$ 300,00 paga</w:t>
      </w:r>
    </w:p>
    <w:p>
      <w:r>
        <w:t>R$ 979,90 de fatura e gera R$ 30,00 de comissão, não R$ 97,99. O vendedor ganha</w:t>
      </w:r>
    </w:p>
    <w:p>
      <w:r>
        <w:t>sobre uso, e o piso da fatura protege a Avalia, não a comissão.</w:t>
      </w:r>
    </w:p>
    <w:p>
      <w:r>
        <w:t>No mês em que houver consumo excedente, a alíquota sobe 10 pontos, para 20%,</w:t>
      </w:r>
    </w:p>
    <w:p>
      <w:r>
        <w:t>e essa elevação vale para o plano como um todo naquela competência.</w:t>
      </w:r>
    </w:p>
    <w:p>
      <w:pPr>
        <w:pStyle w:val="NoSpacing"/>
      </w:pPr>
      <w:r>
        <w:t>consumo_do_mes  = valor das consultas concluídas com sucesso</w:t>
      </w:r>
    </w:p>
    <w:p>
      <w:pPr>
        <w:pStyle w:val="NoSpacing"/>
      </w:pPr>
      <w:r>
        <w:t>houve_excedente = consumo acima da franquia contratada</w:t>
      </w:r>
    </w:p>
    <w:p>
      <w:pPr>
        <w:pStyle w:val="NoSpacing"/>
      </w:pPr>
      <w:r>
        <w:t>aliquota        = houve_excedente ? 20% : 10%</w:t>
      </w:r>
    </w:p>
    <w:p>
      <w:pPr>
        <w:pStyle w:val="NoSpacing"/>
      </w:pPr>
      <w:r>
        <w:t>comissao        = aliquota × consumo_do_mes</w:t>
      </w:r>
    </w:p>
    <w:p>
      <w:r>
        <w:t>Mensalidade e taxa de adesão não entram na base da comissão. Mensalidade e</w:t>
      </w:r>
    </w:p>
    <w:p>
      <w:r>
        <w:t>consumo mínimo continuam sendo colunas separadas do plano por causa do cálculo da</w:t>
      </w:r>
    </w:p>
    <w:p>
      <w:r>
        <w:t>fatura, não mais por causa da comissão.</w:t>
      </w:r>
    </w:p>
    <w:p>
      <w:pPr>
        <w:pStyle w:val="Heading3"/>
      </w:pPr>
      <w:r>
        <w:t>Taxa de adesão</w:t>
      </w:r>
    </w:p>
    <w:p>
      <w:r>
        <w:t>O valor é livre: quem define é o vendedor, na proposta. Pode ser parcelada — uma</w:t>
      </w:r>
    </w:p>
    <w:p>
      <w:r>
        <w:t>adesão de R$ 12.000,00 em doze parcelas de R$ 1.000,00 é caso previsto — e cada</w:t>
      </w:r>
    </w:p>
    <w:p>
      <w:r>
        <w:t>parcela vira uma cobrança própria.</w:t>
      </w:r>
    </w:p>
    <w:p>
      <w:r>
        <w:t>O rateio é 50% para o vendedor e 50% para a Avalia, e cada metade só se torna</w:t>
      </w:r>
    </w:p>
    <w:p>
      <w:r>
        <w:t>elegível conforme as parcelas forem liquidadas.</w:t>
      </w:r>
    </w:p>
    <w:p>
      <w:r>
        <w:t>O vendedor pode isentar a adesão. Isentar significa que ninguém recebe: não é</w:t>
      </w:r>
    </w:p>
    <w:p>
      <w:r>
        <w:t>desconto na parte da Avalia, é ausência da cobrança inteira. O valor acordado, ou</w:t>
      </w:r>
    </w:p>
    <w:p>
      <w:r>
        <w:t>a isenção, deve constar na proposta e no contrato.</w:t>
      </w:r>
    </w:p>
    <w:p>
      <w:pPr>
        <w:pStyle w:val="Heading3"/>
      </w:pPr>
      <w:r>
        <w:t>Vigência</w:t>
      </w:r>
    </w:p>
    <w:p>
      <w:r>
        <w:t>A vigência é escolhida pelo vendedor na proposta, entre quatro opções:</w:t>
      </w:r>
    </w:p>
    <w:tbl>
      <w:tblPr>
        <w:tblStyle w:val="TableGrid"/>
      </w:tblPr>
      <w:tr>
        <w:tc>
          <w:tcPr>
            <w:shd w:fill="D9EAF7"/>
          </w:tcPr>
          <w:p>
            <w:r>
              <w:t>Opção</w:t>
            </w:r>
          </w:p>
        </w:tc>
        <w:tc>
          <w:tcPr>
            <w:shd w:fill="D9EAF7"/>
          </w:tcPr>
          <w:p>
            <w:r>
              <w:t>Efeito</w:t>
            </w:r>
          </w:p>
        </w:tc>
      </w:tr>
      <w:tr>
        <w:tc>
          <w:tcPr/>
          <w:p>
            <w:r>
              <w:t>Sem vigência</w:t>
            </w:r>
          </w:p>
        </w:tc>
        <w:tc>
          <w:tcPr/>
          <w:p>
            <w:r>
              <w:t>Cliente pode encerrar a qualquer momento.</w:t>
            </w:r>
          </w:p>
        </w:tc>
      </w:tr>
      <w:tr>
        <w:tc>
          <w:tcPr/>
          <w:p>
            <w:r>
              <w:t>12 meses</w:t>
            </w:r>
          </w:p>
        </w:tc>
        <w:tc>
          <w:tcPr/>
          <w:p>
            <w:r>
              <w:t>Vigência padrão.</w:t>
            </w:r>
          </w:p>
        </w:tc>
      </w:tr>
      <w:tr>
        <w:tc>
          <w:tcPr/>
          <w:p>
            <w:r>
              <w:t>24 meses</w:t>
            </w:r>
          </w:p>
        </w:tc>
        <w:tc>
          <w:tcPr/>
          <w:p>
            <w:r>
              <w:t>Vigência longa.</w:t>
            </w:r>
          </w:p>
        </w:tc>
      </w:tr>
      <w:tr>
        <w:tc>
          <w:tcPr/>
          <w:p>
            <w:r>
              <w:t>Carência especial</w:t>
            </w:r>
          </w:p>
        </w:tc>
        <w:tc>
          <w:tcPr/>
          <w:p>
            <w:r>
              <w:t>Três meses de acesso liberado para teste, sem vigência; ao fim do período, o contrato passa a valer por 12 ou 24 meses, definidos na assinatura.</w:t>
            </w:r>
          </w:p>
        </w:tc>
      </w:tr>
    </w:tbl>
    <w:p>
      <w:r>
        <w:t>A carência especial é período de avaliação da plataforma, não de gratuidade: as</w:t>
      </w:r>
    </w:p>
    <w:p>
      <w:r>
        <w:t>regras de cobrança de consumo continuam valendo, o que não corre é o prazo de</w:t>
      </w:r>
    </w:p>
    <w:p>
      <w:r>
        <w:t>permanência.</w:t>
      </w:r>
    </w:p>
    <w:p>
      <w:r>
        <w:t>Cliente que não pagou não gera comissão; se atrasar, o vendedor aguarda a</w:t>
      </w:r>
    </w:p>
    <w:p>
      <w:r>
        <w:t>liquidação e é responsável pelo relacionamento e acompanhamento da cobrança.</w:t>
      </w:r>
    </w:p>
    <w:p>
      <w:r>
        <w:t>Enquanto o vendedor for PJ ativo, a venda é recorrente; após seu desligamento, a</w:t>
      </w:r>
    </w:p>
    <w:p>
      <w:r>
        <w:t>carteira permanece com a Avalia e não gera novas comissões para ele.</w:t>
      </w:r>
    </w:p>
    <w:p>
      <w:r>
        <w:t>A plataforma registra custos fiscais, notas fiscais e taxa administrativa para</w:t>
      </w:r>
    </w:p>
    <w:p>
      <w:r>
        <w:t>apuração de repasses. A fórmula de descontos e repasse deve ser configurável,</w:t>
      </w:r>
    </w:p>
    <w:p>
      <w:r>
        <w:t>congelada no fechamento e auditada.</w:t>
      </w:r>
    </w:p>
    <w:p>
      <w:pPr>
        <w:pStyle w:val="Heading2"/>
      </w:pPr>
      <w:r>
        <w:t>10. Campanhas sazonais</w:t>
      </w:r>
    </w:p>
    <w:p>
      <w:r>
        <w:t>O administrador configura campanhas para clientes específicos ou segmentos. Uma</w:t>
      </w:r>
    </w:p>
    <w:p>
      <w:r>
        <w:t>campanha tem nome, período, público elegível, oferta, regras de preço, serviços,</w:t>
      </w:r>
    </w:p>
    <w:p>
      <w:r>
        <w:t>limite de uso, prioridade, estado e termo aplicável.</w:t>
      </w:r>
    </w:p>
    <w:p>
      <w:r>
        <w:t>O cálculo registra a campanha aplicada a cada venda ou consulta para que</w:t>
      </w:r>
    </w:p>
    <w:p>
      <w:r>
        <w:t>alterações futuras não mudem valores históricos.</w:t>
      </w:r>
    </w:p>
    <w:p>
      <w:pPr>
        <w:pStyle w:val="Heading2"/>
      </w:pPr>
      <w:r>
        <w:t>11. Atendimento e documentos</w:t>
      </w:r>
    </w:p>
    <w:p>
      <w:pPr>
        <w:pStyle w:val="Heading3"/>
      </w:pPr>
      <w:r>
        <w:t>Atendimento</w:t>
      </w:r>
    </w:p>
    <w:p>
      <w:r>
        <w:t>O portal do cliente oferece acesso direto ao SAC pelo WhatsApp +55 34 99117-6599.</w:t>
      </w:r>
    </w:p>
    <w:p>
      <w:r>
        <w:t>O link abre conversa com mensagem contextual contendo, quando aplicável,</w:t>
      </w:r>
    </w:p>
    <w:p>
      <w:r>
        <w:t>identificador da empresa, fatura ou consulta. Não enviar dados pessoais ou</w:t>
      </w:r>
    </w:p>
    <w:p>
      <w:r>
        <w:t>resultado de crédito na URL.</w:t>
      </w:r>
    </w:p>
    <w:p>
      <w:r>
        <w:t>Posteriormente, chamados internos podem incluir status, responsável, prazo e</w:t>
      </w:r>
    </w:p>
    <w:p>
      <w:r>
        <w:t>histórico, sem substituir o canal principal.</w:t>
      </w:r>
    </w:p>
    <w:p>
      <w:pPr>
        <w:pStyle w:val="Heading3"/>
      </w:pPr>
      <w:r>
        <w:t>Base de implementação</w:t>
      </w:r>
    </w:p>
    <w:p>
      <w:r>
        <w:t>Uma seção administrativa disponibiliza versões controladas de PDFs:</w:t>
      </w:r>
    </w:p>
    <w:p>
      <w:pPr>
        <w:pStyle w:val="ListBullet"/>
      </w:pPr>
      <w:r>
        <w:t>contratos de cliente;</w:t>
      </w:r>
    </w:p>
    <w:p>
      <w:pPr>
        <w:pStyle w:val="ListBullet"/>
      </w:pPr>
      <w:r>
        <w:t>termos de aceite;</w:t>
      </w:r>
    </w:p>
    <w:p>
      <w:pPr>
        <w:pStyle w:val="ListBullet"/>
      </w:pPr>
      <w:r>
        <w:t>termo de confidencialidade;</w:t>
      </w:r>
    </w:p>
    <w:p>
      <w:pPr>
        <w:pStyle w:val="ListBullet"/>
      </w:pPr>
      <w:r>
        <w:t>termo de conduta ética corporativa e anticorrupção;</w:t>
      </w:r>
    </w:p>
    <w:p>
      <w:pPr>
        <w:pStyle w:val="ListBullet"/>
      </w:pPr>
      <w:r>
        <w:t>orientações de LGPD;</w:t>
      </w:r>
    </w:p>
    <w:p>
      <w:pPr>
        <w:pStyle w:val="ListBullet"/>
      </w:pPr>
      <w:r>
        <w:t>POP de emissão de nota fiscal para vendedor PJ;</w:t>
      </w:r>
    </w:p>
    <w:p>
      <w:pPr>
        <w:pStyle w:val="ListBullet"/>
      </w:pPr>
      <w:r>
        <w:t>POP de faturamento de parceiros.</w:t>
      </w:r>
    </w:p>
    <w:p>
      <w:r>
        <w:t>Os arquivos possuem versão, categoria, vigência, público, status e trilha de</w:t>
      </w:r>
    </w:p>
    <w:p>
      <w:r>
        <w:t>aceite ou download. O administrador define os acessos. Contratos gerados</w:t>
      </w:r>
    </w:p>
    <w:p>
      <w:r>
        <w:t>registram a versão usada e os valores comerciais congelados. Nesta fase,</w:t>
      </w:r>
    </w:p>
    <w:p>
      <w:r>
        <w:t>documentos são disponibilizados para download e aceite; assinatura eletrônica</w:t>
      </w:r>
    </w:p>
    <w:p>
      <w:r>
        <w:t>integrada fica fora do escopo inicial.</w:t>
      </w:r>
    </w:p>
    <w:p>
      <w:pPr>
        <w:pStyle w:val="Heading2"/>
      </w:pPr>
      <w:r>
        <w:t>12. Painéis e BI</w:t>
      </w:r>
    </w:p>
    <w:tbl>
      <w:tblPr>
        <w:tblStyle w:val="TableGrid"/>
      </w:tblPr>
      <w:tr>
        <w:tc>
          <w:tcPr>
            <w:shd w:fill="D9EAF7"/>
          </w:tcPr>
          <w:p>
            <w:r>
              <w:t>Painel</w:t>
            </w:r>
          </w:p>
        </w:tc>
        <w:tc>
          <w:tcPr>
            <w:shd w:fill="D9EAF7"/>
          </w:tcPr>
          <w:p>
            <w:r>
              <w:t>Conteúdo</w:t>
            </w:r>
          </w:p>
        </w:tc>
      </w:tr>
      <w:tr>
        <w:tc>
          <w:tcPr/>
          <w:p>
            <w:r>
              <w:t>Administração</w:t>
            </w:r>
          </w:p>
        </w:tc>
        <w:tc>
          <w:tcPr/>
          <w:p>
            <w:r>
              <w:t>Consumo por cliente, vendedor, base, serviço e competência; faturamento previsto e realizado; inadimplência; margem; comissões; campanhas; cobranças Asaas e integrações pendentes.</w:t>
            </w:r>
          </w:p>
        </w:tc>
      </w:tr>
      <w:tr>
        <w:tc>
          <w:tcPr/>
          <w:p>
            <w:r>
              <w:t>Vendedor</w:t>
            </w:r>
          </w:p>
        </w:tc>
        <w:tc>
          <w:tcPr/>
          <w:p>
            <w:r>
              <w:t>Carteira, consumo de clientes, previsão de ganhos, participação na adesão, situação de pagamento, metas, campanhas e bases liberadas.</w:t>
            </w:r>
          </w:p>
        </w:tc>
      </w:tr>
      <w:tr>
        <w:tc>
          <w:tcPr/>
          <w:p>
            <w:r>
              <w:t>Cliente</w:t>
            </w:r>
          </w:p>
        </w:tc>
        <w:tc>
          <w:tcPr/>
          <w:p>
            <w:r>
              <w:t>Plano, consumo, franquia, consultas disponíveis, excedentes, serviços, faturas e atendimento.</w:t>
            </w:r>
          </w:p>
        </w:tc>
      </w:tr>
    </w:tbl>
    <w:p>
      <w:r>
        <w:t>As métricas possuem filtros por período, vendedor, cliente, serviço, base,</w:t>
      </w:r>
    </w:p>
    <w:p>
      <w:r>
        <w:t>campanha e situação financeira, sempre respeitando permissões.</w:t>
      </w:r>
    </w:p>
    <w:p>
      <w:pPr>
        <w:pStyle w:val="Heading2"/>
      </w:pPr>
      <w:r>
        <w:t>13. Dados e entidades</w:t>
      </w:r>
    </w:p>
    <w:tbl>
      <w:tblPr>
        <w:tblStyle w:val="TableGrid"/>
      </w:tblPr>
      <w:tr>
        <w:tc>
          <w:tcPr>
            <w:shd w:fill="D9EAF7"/>
          </w:tcPr>
          <w:p>
            <w:r>
              <w:t>Entidade</w:t>
            </w:r>
          </w:p>
        </w:tc>
        <w:tc>
          <w:tcPr>
            <w:shd w:fill="D9EAF7"/>
          </w:tcPr>
          <w:p>
            <w:r>
              <w:t>Responsabilidade</w:t>
            </w:r>
          </w:p>
        </w:tc>
      </w:tr>
      <w:tr>
        <w:tc>
          <w:tcPr/>
          <w:p>
            <w:r>
              <w:t>clientes e dados complementares</w:t>
            </w:r>
          </w:p>
        </w:tc>
        <w:tc>
          <w:tcPr/>
          <w:p>
            <w:r>
              <w:t>Empresa, contatos, vendedor, situação, vínculo comercial e permissões.</w:t>
            </w:r>
          </w:p>
        </w:tc>
      </w:tr>
      <w:tr>
        <w:tc>
          <w:tcPr/>
          <w:p>
            <w:r>
              <w:t>planos, precos, servicos e franquias_plano</w:t>
            </w:r>
          </w:p>
        </w:tc>
        <w:tc>
          <w:tcPr/>
          <w:p>
            <w:r>
              <w:t>Catálogo, quantidade incluída, regras de consumo e preço.</w:t>
            </w:r>
          </w:p>
        </w:tc>
      </w:tr>
      <w:tr>
        <w:tc>
          <w:tcPr/>
          <w:p>
            <w:r>
              <w:t>consultas</w:t>
            </w:r>
          </w:p>
        </w:tc>
        <w:tc>
          <w:tcPr/>
          <w:p>
            <w:r>
              <w:t>Solicitação, resultado, custo, preço, status, competência e retenção.</w:t>
            </w:r>
          </w:p>
        </w:tc>
      </w:tr>
      <w:tr>
        <w:tc>
          <w:tcPr/>
          <w:p>
            <w:r>
              <w:t>faturas e itens_fatura</w:t>
            </w:r>
          </w:p>
        </w:tc>
        <w:tc>
          <w:tcPr/>
          <w:p>
            <w:r>
              <w:t>Valores congelados, vencimento, situação e composição.</w:t>
            </w:r>
          </w:p>
        </w:tc>
      </w:tr>
      <w:tr>
        <w:tc>
          <w:tcPr/>
          <w:p>
            <w:r>
              <w:t>cobrancas_asaas e eventos_asaas</w:t>
            </w:r>
          </w:p>
        </w:tc>
        <w:tc>
          <w:tcPr/>
          <w:p>
            <w:r>
              <w:t>Correlação externa, histórico e idempotência.</w:t>
            </w:r>
          </w:p>
        </w:tc>
      </w:tr>
      <w:tr>
        <w:tc>
          <w:tcPr/>
          <w:p>
            <w:r>
              <w:t>comissoes, bonus_cadastro e repasses</w:t>
            </w:r>
          </w:p>
        </w:tc>
        <w:tc>
          <w:tcPr/>
          <w:p>
            <w:r>
              <w:t>Apuração após liquidação, descontos, pagamento e documentos fiscais.</w:t>
            </w:r>
          </w:p>
        </w:tc>
      </w:tr>
      <w:tr>
        <w:tc>
          <w:tcPr/>
          <w:p>
            <w:r>
              <w:t>campanhas e elegibilidade</w:t>
            </w:r>
          </w:p>
        </w:tc>
        <w:tc>
          <w:tcPr/>
          <w:p>
            <w:r>
              <w:t>Regras promocionais e histórico de aplicação.</w:t>
            </w:r>
          </w:p>
        </w:tc>
      </w:tr>
      <w:tr>
        <w:tc>
          <w:tcPr/>
          <w:p>
            <w:r>
              <w:t>documentos e aceites_documento</w:t>
            </w:r>
          </w:p>
        </w:tc>
        <w:tc>
          <w:tcPr/>
          <w:p>
            <w:r>
              <w:t>Materiais, versões, acesso e aceite.</w:t>
            </w:r>
          </w:p>
        </w:tc>
      </w:tr>
      <w:tr>
        <w:tc>
          <w:tcPr/>
          <w:p>
            <w:r>
              <w:t>chamados</w:t>
            </w:r>
          </w:p>
        </w:tc>
        <w:tc>
          <w:tcPr/>
          <w:p>
            <w:r>
              <w:t>Evolução opcional do atendimento.</w:t>
            </w:r>
          </w:p>
        </w:tc>
      </w:tr>
      <w:tr>
        <w:tc>
          <w:tcPr/>
          <w:p>
            <w:r>
              <w:t>auditoria</w:t>
            </w:r>
          </w:p>
        </w:tc>
        <w:tc>
          <w:tcPr/>
          <w:p>
            <w:r>
              <w:t>Rastro de ações administrativas e sensíveis.</w:t>
            </w:r>
          </w:p>
        </w:tc>
      </w:tr>
    </w:tbl>
    <w:p>
      <w:r>
        <w:t>Dados pessoais e resultados de crédito exigem menor privilégio, controle de</w:t>
      </w:r>
    </w:p>
    <w:p>
      <w:r>
        <w:t>acesso, retenção e criptografia quando aplicável.</w:t>
      </w:r>
    </w:p>
    <w:p>
      <w:pPr>
        <w:pStyle w:val="Heading2"/>
      </w:pPr>
      <w:r>
        <w:t>14. Segurança, LGPD e auditoria</w:t>
      </w:r>
    </w:p>
    <w:p>
      <w:pPr>
        <w:pStyle w:val="ListBullet"/>
      </w:pPr>
      <w:r>
        <w:t>Senhas usam hashing do Laravel; sessões são regeneradas e revogáveis por sessao_versao.</w:t>
      </w:r>
    </w:p>
    <w:p>
      <w:pPr>
        <w:pStyle w:val="ListBullet"/>
      </w:pPr>
      <w:r>
        <w:t>Limitar login por conta e IP com bloqueio progressivo.</w:t>
      </w:r>
    </w:p>
    <w:p>
      <w:pPr>
        <w:pStyle w:val="ListBullet"/>
      </w:pPr>
      <w:r>
        <w:t>Nunca registrar senhas, tokens, autorizações, cookies ou chaves de API em log.</w:t>
      </w:r>
    </w:p>
    <w:p>
      <w:pPr>
        <w:pStyle w:val="ListBullet"/>
      </w:pPr>
      <w:r>
        <w:t>Separar segredos por ambiente e validar configuração insegura no deploy.</w:t>
      </w:r>
    </w:p>
    <w:p>
      <w:pPr>
        <w:pStyle w:val="ListBullet"/>
      </w:pPr>
      <w:r>
        <w:t>Expurgar resposta de bureau conforme a retenção da seção 5, preservando metadados fiscais e auditoria.</w:t>
      </w:r>
    </w:p>
    <w:p>
      <w:pPr>
        <w:pStyle w:val="ListBullet"/>
      </w:pPr>
      <w:r>
        <w:t>Cada consulta deve ter finalidade e responsável rastreáveis.</w:t>
      </w:r>
    </w:p>
    <w:p>
      <w:pPr>
        <w:pStyle w:val="ListBullet"/>
      </w:pPr>
      <w:r>
        <w:t>Auditoria não pode impedir a operação principal caso a gravação falhe.</w:t>
      </w:r>
    </w:p>
    <w:p>
      <w:pPr>
        <w:pStyle w:val="Heading2"/>
      </w:pPr>
      <w:r>
        <w:t>15. Entrega por fases</w:t>
      </w:r>
    </w:p>
    <w:tbl>
      <w:tblPr>
        <w:tblStyle w:val="TableGrid"/>
      </w:tblPr>
      <w:tr>
        <w:tc>
          <w:tcPr>
            <w:shd w:fill="D9EAF7"/>
          </w:tcPr>
          <w:p>
            <w:r>
              <w:t>Fase</w:t>
            </w:r>
          </w:p>
        </w:tc>
        <w:tc>
          <w:tcPr>
            <w:shd w:fill="D9EAF7"/>
          </w:tcPr>
          <w:p>
            <w:r>
              <w:t>Escopo</w:t>
            </w:r>
          </w:p>
        </w:tc>
      </w:tr>
      <w:tr>
        <w:tc>
          <w:tcPr/>
          <w:p>
            <w:r>
              <w:t>Fundação</w:t>
            </w:r>
          </w:p>
        </w:tc>
        <w:tc>
          <w:tcPr/>
          <w:p>
            <w:r>
              <w:t>Usuários, clientes, planos, preços, políticas, auditoria e catálogo.</w:t>
            </w:r>
          </w:p>
        </w:tc>
      </w:tr>
      <w:tr>
        <w:tc>
          <w:tcPr/>
          <w:p>
            <w:r>
              <w:t>Consultas</w:t>
            </w:r>
          </w:p>
        </w:tc>
        <w:tc>
          <w:tcPr/>
          <w:p>
            <w:r>
              <w:t>Conectores, serviços, consumo, relatórios, retenção e painel de cliente.</w:t>
            </w:r>
          </w:p>
        </w:tc>
      </w:tr>
      <w:tr>
        <w:tc>
          <w:tcPr/>
          <w:p>
            <w:r>
              <w:t>Financeiro</w:t>
            </w:r>
          </w:p>
        </w:tc>
        <w:tc>
          <w:tcPr/>
          <w:p>
            <w:r>
              <w:t>Faturas, fechamento automático, Asaas, webhooks, boleto, QR Code, inadimplência e reativação.</w:t>
            </w:r>
          </w:p>
        </w:tc>
      </w:tr>
      <w:tr>
        <w:tc>
          <w:tcPr/>
          <w:p>
            <w:r>
              <w:t>Comercial</w:t>
            </w:r>
          </w:p>
        </w:tc>
        <w:tc>
          <w:tcPr/>
          <w:p>
            <w:r>
              <w:t>Carteiras, taxa de adesão, comissões, repasses e campanhas.</w:t>
            </w:r>
          </w:p>
        </w:tc>
      </w:tr>
      <w:tr>
        <w:tc>
          <w:tcPr/>
          <w:p>
            <w:r>
              <w:t>Operação</w:t>
            </w:r>
          </w:p>
        </w:tc>
        <w:tc>
          <w:tcPr/>
          <w:p>
            <w:r>
              <w:t>Documentos, atendimento, indicadores e BI.</w:t>
            </w:r>
          </w:p>
        </w:tc>
      </w:tr>
    </w:tbl>
    <w:p>
      <w:r>
        <w:t>Cada fase inclui migrations, políticas, testes automatizados, filas, tratamento de</w:t>
      </w:r>
    </w:p>
    <w:p>
      <w:r>
        <w:t>falhas, logs seguros e documentação de operação.</w:t>
      </w:r>
    </w:p>
    <w:p>
      <w:pPr>
        <w:pStyle w:val="Heading2"/>
      </w:pPr>
      <w:r>
        <w:t>16. Decisões pendentes</w:t>
      </w:r>
    </w:p>
    <w:p>
      <w:pPr>
        <w:pStyle w:val="ListBullet"/>
      </w:pPr>
      <w:r>
        <w:t>Confirmar o adicional de excedente. A regra escrita é: houve excedente no</w:t>
      </w:r>
    </w:p>
    <w:p>
      <w:r>
        <w:t>  mês, a alíquota do mês inteiro vai a 20%. A leitura alternativa seria aplicar</w:t>
      </w:r>
    </w:p>
    <w:p>
      <w:r>
        <w:t>  20% só sobre a parcela excedente e 10% sobre o resto. A diferença é grande e</w:t>
      </w:r>
    </w:p>
    <w:p>
      <w:r>
        <w:t>  muda o incentivo do vendedor.</w:t>
      </w:r>
    </w:p>
    <w:p>
      <w:pPr>
        <w:pStyle w:val="ListBullet"/>
      </w:pPr>
      <w:r>
        <w:t>Confirmar a base da comissão. Está escrito consumo realizado. Cliente que</w:t>
      </w:r>
    </w:p>
    <w:p>
      <w:r>
        <w:t>  paga o mínimo sem usar gera comissão menor que o valor da fatura — confirmar se</w:t>
      </w:r>
    </w:p>
    <w:p>
      <w:r>
        <w:t>  é isso mesmo ou se a base deve ser o valor faturado de consumo.</w:t>
      </w:r>
    </w:p>
    <w:p>
      <w:pPr>
        <w:pStyle w:val="ListBullet"/>
      </w:pPr>
      <w:r>
        <w:t>Confirmar a alíquota de imposto. Os 27% são estimativa. Os 6% citados</w:t>
      </w:r>
    </w:p>
    <w:p>
      <w:r>
        <w:t>  correspondem ao ISS de serviço em muitos municípios, que é só uma parte da</w:t>
      </w:r>
    </w:p>
    <w:p>
      <w:r>
        <w:t>  carga; PIS, COFINS e tributo sobre o lucro dependem do regime. Precisa de</w:t>
      </w:r>
    </w:p>
    <w:p>
      <w:r>
        <w:t>  fechamento contábil antes de virar cálculo de margem.</w:t>
      </w:r>
    </w:p>
    <w:p>
      <w:pPr>
        <w:pStyle w:val="ListBullet"/>
      </w:pPr>
      <w:r>
        <w:t>Cadastrar o custo do fornecedor por serviço e faixa. A tela já existe; o dado é</w:t>
      </w:r>
    </w:p>
    <w:p>
      <w:r>
        <w:t>  que ainda não foi levantado. Sem ele não há margem nem piso de preço, e as 301</w:t>
      </w:r>
    </w:p>
    <w:p>
      <w:r>
        <w:t>  linhas aparecem como custo não cadastrado.</w:t>
      </w:r>
    </w:p>
    <w:p>
      <w:pPr>
        <w:pStyle w:val="ListBullet"/>
      </w:pPr>
      <w:r>
        <w:t>Homologar comercialmente os preços dos anexos A e B e a margem sobre o custo do fornecedor.</w:t>
      </w:r>
    </w:p>
    <w:p>
      <w:pPr>
        <w:pStyle w:val="ListBullet"/>
      </w:pPr>
      <w:r>
        <w:t>Definir a quantidade incluída na franquia de cada serviço, por faixa.</w:t>
      </w:r>
    </w:p>
    <w:p>
      <w:pPr>
        <w:pStyle w:val="ListBullet"/>
      </w:pPr>
      <w:r>
        <w:t>Definir quais serviços dos anexos entram no catálogo inicial e quais ficam desativados.</w:t>
      </w:r>
    </w:p>
    <w:p>
      <w:pPr>
        <w:pStyle w:val="ListBullet"/>
      </w:pPr>
      <w:r>
        <w:t>Formalizar fórmulas de imposto, taxa administrativa e repasse.</w:t>
      </w:r>
    </w:p>
    <w:p>
      <w:pPr>
        <w:pStyle w:val="ListBullet"/>
      </w:pPr>
      <w:r>
        <w:t>Confirmar conectores, contratos e credenciais de SPC, Serasa, Boa Vista/SCPC e SCR.</w:t>
      </w:r>
    </w:p>
    <w:p>
      <w:pPr>
        <w:pStyle w:val="ListBullet"/>
      </w:pPr>
      <w:r>
        <w:t>Definir política comercial de campanhas e reativação após inadimplência.</w:t>
      </w:r>
    </w:p>
    <w:p>
      <w:pPr>
        <w:pStyle w:val="ListBullet"/>
      </w:pPr>
      <w:r>
        <w:t>Validar documentos jurídicos, LGPD, base legal de consulta e fluxos de aceite.</w:t>
      </w:r>
    </w:p>
    <w:p>
      <w:pPr>
        <w:pStyle w:val="Heading2"/>
      </w:pPr>
      <w:r>
        <w:t>17. Estado atual do repositório</w:t>
      </w:r>
    </w:p>
    <w:p>
      <w:r>
        <w:t>Acesso: staff (contas de administração e vendedores), clientes (empresas</w:t>
      </w:r>
    </w:p>
    <w:p>
      <w:r>
        <w:t>contratantes com login, situação e controle de sessão), tentativas_login</w:t>
      </w:r>
    </w:p>
    <w:p>
      <w:r>
        <w:t>(bloqueio progressivo por conta e origem) e sessions.</w:t>
      </w:r>
    </w:p>
    <w:p>
      <w:r>
        <w:t>Catálogo: versoes_catalogo (tabela de preços datada, com situação e</w:t>
      </w:r>
    </w:p>
    <w:p>
      <w:r>
        <w:t>congelamento), servicos (código, nome comercial, categoria e trava de</w:t>
      </w:r>
    </w:p>
    <w:p>
      <w:r>
        <w:t>liberação), precos (preço de venda e custo interno por serviço e faixa, dentro</w:t>
      </w:r>
    </w:p>
    <w:p>
      <w:r>
        <w:t>de uma versão), planos (versão contratada, mensalidade, consumo mínimo) e</w:t>
      </w:r>
    </w:p>
    <w:p>
      <w:r>
        <w:t>franquias_plano (quantidade incluída por serviço).</w:t>
      </w:r>
    </w:p>
    <w:p>
      <w:r>
        <w:t>Os preços dos anexos A e B entram pelo CatalogoSeeder como rascunho, a</w:t>
      </w:r>
    </w:p>
    <w:p>
      <w:r>
        <w:t>partir de database/seeders/dados/, gerado por tools/gera_precos_catalogo.py.</w:t>
      </w:r>
    </w:p>
    <w:p>
      <w:r>
        <w:t>Ativar a versão é ação administrativa consciente — o seeder nunca ativa.</w:t>
      </w:r>
    </w:p>
    <w:p>
      <w:r>
        <w:t>As telas de catálogo (/catalogo, restritas a administração) listam as versões,</w:t>
      </w:r>
    </w:p>
    <w:p>
      <w:r>
        <w:t>mostram a matriz de preços por faixa, ativam uma versão em rascunho e cadastram</w:t>
      </w:r>
    </w:p>
    <w:p>
      <w:r>
        <w:t>planos com a franquia de cada serviço. Falta a tela de reajuste: hoje duplicar()</w:t>
      </w:r>
    </w:p>
    <w:p>
      <w:r>
        <w:t>e a edição de preço de um rascunho só existem no model.</w:t>
      </w:r>
    </w:p>
    <w:p>
      <w:r>
        <w:t>Ainda futuros: consultas, faturas e itens_fatura, cobrancas_asaas e</w:t>
      </w:r>
    </w:p>
    <w:p>
      <w:r>
        <w:t>eventos_asaas, comissoes, bonus_cadastro e repasses, campanhas e</w:t>
      </w:r>
    </w:p>
    <w:p>
      <w:r>
        <w:t>elegibilidade, documentos e aceites_documento, chamados.</w:t>
      </w:r>
    </w:p>
    <w:p>
      <w:r>
        <w:t>A navegação já expõe Consultas, Histórico, Empresas clientes, Financeiro e</w:t>
      </w:r>
    </w:p>
    <w:p>
      <w:r>
        <w:t>Auditoria como módulos futuros (emBreve). Isso reflete o plano estrutural, mas</w:t>
      </w:r>
    </w:p>
    <w:p>
      <w:r>
        <w:t>permite que a entrega seja feita por fases sem quebrar o fluxo de uso.</w:t>
      </w:r>
    </w:p>
    <w:p>
      <w:pPr>
        <w:pStyle w:val="Heading2"/>
      </w:pPr>
      <w:r>
        <w:t>Anexo A — Preços de referência: crédito</w:t>
      </w:r>
    </w:p>
    <w:p>
      <w:pPr>
        <w:pStyle w:val="Quote"/>
      </w:pPr>
      <w:r>
        <w:t>Transcrito da tabela de crédito do fornecedor (temp/). Valores unitários</w:t>
      </w:r>
    </w:p>
    <w:p>
      <w:pPr>
        <w:pStyle w:val="Quote"/>
      </w:pPr>
      <w:r>
        <w:t>em reais, por faixa de consumo mínimo contratada. Provisórios até homologação</w:t>
      </w:r>
    </w:p>
    <w:p>
      <w:pPr>
        <w:pStyle w:val="Quote"/>
      </w:pPr>
      <w:r>
        <w:t>comercial. Serviços marcados com * dependem de liberação do SCR.</w:t>
      </w:r>
    </w:p>
    <w:tbl>
      <w:tblPr>
        <w:tblStyle w:val="TableGrid"/>
      </w:tblPr>
      <w:tr>
        <w:tc>
          <w:tcPr>
            <w:shd w:fill="D9EAF7"/>
          </w:tcPr>
          <w:p>
            <w:r>
              <w:t>Serviço</w:t>
            </w:r>
          </w:p>
        </w:tc>
        <w:tc>
          <w:tcPr>
            <w:shd w:fill="D9EAF7"/>
          </w:tcPr>
          <w:p>
            <w:r>
              <w:t>Sem mínimo</w:t>
            </w:r>
          </w:p>
        </w:tc>
        <w:tc>
          <w:tcPr>
            <w:shd w:fill="D9EAF7"/>
          </w:tcPr>
          <w:p>
            <w:r>
              <w:t>75</w:t>
            </w:r>
          </w:p>
        </w:tc>
        <w:tc>
          <w:tcPr>
            <w:shd w:fill="D9EAF7"/>
          </w:tcPr>
          <w:p>
            <w:r>
              <w:t>200</w:t>
            </w:r>
          </w:p>
        </w:tc>
        <w:tc>
          <w:tcPr>
            <w:shd w:fill="D9EAF7"/>
          </w:tcPr>
          <w:p>
            <w:r>
              <w:t>500</w:t>
            </w:r>
          </w:p>
        </w:tc>
        <w:tc>
          <w:tcPr>
            <w:shd w:fill="D9EAF7"/>
          </w:tcPr>
          <w:p>
            <w:r>
              <w:t>900</w:t>
            </w:r>
          </w:p>
        </w:tc>
        <w:tc>
          <w:tcPr>
            <w:shd w:fill="D9EAF7"/>
          </w:tcPr>
          <w:p>
            <w:r>
              <w:t>1.500</w:t>
            </w:r>
          </w:p>
        </w:tc>
        <w:tc>
          <w:tcPr>
            <w:shd w:fill="D9EAF7"/>
          </w:tcPr>
          <w:p>
            <w:r>
              <w:t>5.000</w:t>
            </w:r>
          </w:p>
        </w:tc>
      </w:tr>
      <w:tr>
        <w:tc>
          <w:tcPr/>
          <w:p>
            <w:r>
              <w:t>Cheques sem fundos — Banco Central PF/PJ</w:t>
            </w:r>
          </w:p>
        </w:tc>
        <w:tc>
          <w:tcPr/>
          <w:p>
            <w:r>
              <w:t>2,09</w:t>
            </w:r>
          </w:p>
        </w:tc>
        <w:tc>
          <w:tcPr/>
          <w:p>
            <w:r>
              <w:t>1,88</w:t>
            </w:r>
          </w:p>
        </w:tc>
        <w:tc>
          <w:tcPr/>
          <w:p>
            <w:r>
              <w:t>1,70</w:t>
            </w:r>
          </w:p>
        </w:tc>
        <w:tc>
          <w:tcPr/>
          <w:p>
            <w:r>
              <w:t>1,53</w:t>
            </w:r>
          </w:p>
        </w:tc>
        <w:tc>
          <w:tcPr/>
          <w:p>
            <w:r>
              <w:t>1,37</w:t>
            </w:r>
          </w:p>
        </w:tc>
        <w:tc>
          <w:tcPr/>
          <w:p>
            <w:r>
              <w:t>1,24</w:t>
            </w:r>
          </w:p>
        </w:tc>
        <w:tc>
          <w:tcPr/>
          <w:p>
            <w:r>
              <w:t>0,98</w:t>
            </w:r>
          </w:p>
        </w:tc>
      </w:tr>
      <w:tr>
        <w:tc>
          <w:tcPr/>
          <w:p>
            <w:r>
              <w:t>Ações judiciais — nacional PF/PJ</w:t>
            </w:r>
          </w:p>
        </w:tc>
        <w:tc>
          <w:tcPr/>
          <w:p>
            <w:r>
              <w:t>5,94</w:t>
            </w:r>
          </w:p>
        </w:tc>
        <w:tc>
          <w:tcPr/>
          <w:p>
            <w:r>
              <w:t>5,22</w:t>
            </w:r>
          </w:p>
        </w:tc>
        <w:tc>
          <w:tcPr/>
          <w:p>
            <w:r>
              <w:t>4,60</w:t>
            </w:r>
          </w:p>
        </w:tc>
        <w:tc>
          <w:tcPr/>
          <w:p>
            <w:r>
              <w:t>4,05</w:t>
            </w:r>
          </w:p>
        </w:tc>
        <w:tc>
          <w:tcPr/>
          <w:p>
            <w:r>
              <w:t>3,56</w:t>
            </w:r>
          </w:p>
        </w:tc>
        <w:tc>
          <w:tcPr/>
          <w:p>
            <w:r>
              <w:t>3,13</w:t>
            </w:r>
          </w:p>
        </w:tc>
        <w:tc>
          <w:tcPr/>
          <w:p>
            <w:r>
              <w:t>2,34</w:t>
            </w:r>
          </w:p>
        </w:tc>
      </w:tr>
      <w:tr>
        <w:tc>
          <w:tcPr/>
          <w:p>
            <w:r>
              <w:t>SCPC BVS PF/PJ — Base III</w:t>
            </w:r>
          </w:p>
        </w:tc>
        <w:tc>
          <w:tcPr/>
          <w:p>
            <w:r>
              <w:t>6,31</w:t>
            </w:r>
          </w:p>
        </w:tc>
        <w:tc>
          <w:tcPr/>
          <w:p>
            <w:r>
              <w:t>5,94</w:t>
            </w:r>
          </w:p>
        </w:tc>
        <w:tc>
          <w:tcPr/>
          <w:p>
            <w:r>
              <w:t>5,58</w:t>
            </w:r>
          </w:p>
        </w:tc>
        <w:tc>
          <w:tcPr/>
          <w:p>
            <w:r>
              <w:t>5,24</w:t>
            </w:r>
          </w:p>
        </w:tc>
        <w:tc>
          <w:tcPr/>
          <w:p>
            <w:r>
              <w:t>4,93</w:t>
            </w:r>
          </w:p>
        </w:tc>
        <w:tc>
          <w:tcPr/>
          <w:p>
            <w:r>
              <w:t>4,63</w:t>
            </w:r>
          </w:p>
        </w:tc>
        <w:tc>
          <w:tcPr/>
          <w:p>
            <w:r>
              <w:t>3,70</w:t>
            </w:r>
          </w:p>
        </w:tc>
      </w:tr>
      <w:tr>
        <w:tc>
          <w:tcPr/>
          <w:p>
            <w:r>
              <w:t>Relatório Plus PF/PJ + cartórios e CCF Bacen — Base III</w:t>
            </w:r>
          </w:p>
        </w:tc>
        <w:tc>
          <w:tcPr/>
          <w:p>
            <w:r>
              <w:t>7,81</w:t>
            </w:r>
          </w:p>
        </w:tc>
        <w:tc>
          <w:tcPr/>
          <w:p>
            <w:r>
              <w:t>7,42</w:t>
            </w:r>
          </w:p>
        </w:tc>
        <w:tc>
          <w:tcPr/>
          <w:p>
            <w:r>
              <w:t>7,05</w:t>
            </w:r>
          </w:p>
        </w:tc>
        <w:tc>
          <w:tcPr/>
          <w:p>
            <w:r>
              <w:t>6,70</w:t>
            </w:r>
          </w:p>
        </w:tc>
        <w:tc>
          <w:tcPr/>
          <w:p>
            <w:r>
              <w:t>6,36</w:t>
            </w:r>
          </w:p>
        </w:tc>
        <w:tc>
          <w:tcPr/>
          <w:p>
            <w:r>
              <w:t>6,04</w:t>
            </w:r>
          </w:p>
        </w:tc>
        <w:tc>
          <w:tcPr/>
          <w:p>
            <w:r>
              <w:t>5,40</w:t>
            </w:r>
          </w:p>
        </w:tc>
      </w:tr>
      <w:tr>
        <w:tc>
          <w:tcPr/>
          <w:p>
            <w:r>
              <w:t>Crédito Net Básica PF/PJ — Base I</w:t>
            </w:r>
          </w:p>
        </w:tc>
        <w:tc>
          <w:tcPr/>
          <w:p>
            <w:r>
              <w:t>15,93</w:t>
            </w:r>
          </w:p>
        </w:tc>
        <w:tc>
          <w:tcPr/>
          <w:p>
            <w:r>
              <w:t>15,13</w:t>
            </w:r>
          </w:p>
        </w:tc>
        <w:tc>
          <w:tcPr/>
          <w:p>
            <w:r>
              <w:t>14,37</w:t>
            </w:r>
          </w:p>
        </w:tc>
        <w:tc>
          <w:tcPr/>
          <w:p>
            <w:r>
              <w:t>13,66</w:t>
            </w:r>
          </w:p>
        </w:tc>
        <w:tc>
          <w:tcPr/>
          <w:p>
            <w:r>
              <w:t>12,97</w:t>
            </w:r>
          </w:p>
        </w:tc>
        <w:tc>
          <w:tcPr/>
          <w:p>
            <w:r>
              <w:t>12,32</w:t>
            </w:r>
          </w:p>
        </w:tc>
        <w:tc>
          <w:tcPr/>
          <w:p>
            <w:r>
              <w:t>10,97</w:t>
            </w:r>
          </w:p>
        </w:tc>
      </w:tr>
      <w:tr>
        <w:tc>
          <w:tcPr/>
          <w:p>
            <w:r>
              <w:t>Mix PF/PJ — Base I e II</w:t>
            </w:r>
          </w:p>
        </w:tc>
        <w:tc>
          <w:tcPr/>
          <w:p>
            <w:r>
              <w:t>18,52</w:t>
            </w:r>
          </w:p>
        </w:tc>
        <w:tc>
          <w:tcPr/>
          <w:p>
            <w:r>
              <w:t>17,41</w:t>
            </w:r>
          </w:p>
        </w:tc>
        <w:tc>
          <w:tcPr/>
          <w:p>
            <w:r>
              <w:t>16,37</w:t>
            </w:r>
          </w:p>
        </w:tc>
        <w:tc>
          <w:tcPr/>
          <w:p>
            <w:r>
              <w:t>15,39</w:t>
            </w:r>
          </w:p>
        </w:tc>
        <w:tc>
          <w:tcPr/>
          <w:p>
            <w:r>
              <w:t>14,46</w:t>
            </w:r>
          </w:p>
        </w:tc>
        <w:tc>
          <w:tcPr/>
          <w:p>
            <w:r>
              <w:t>13,60</w:t>
            </w:r>
          </w:p>
        </w:tc>
        <w:tc>
          <w:tcPr/>
          <w:p>
            <w:r>
              <w:t>12,01</w:t>
            </w:r>
          </w:p>
        </w:tc>
      </w:tr>
      <w:tr>
        <w:tc>
          <w:tcPr/>
          <w:p>
            <w:r>
              <w:t>Crédito Net PF/PJ — Base I e III</w:t>
            </w:r>
          </w:p>
        </w:tc>
        <w:tc>
          <w:tcPr/>
          <w:p>
            <w:r>
              <w:t>18,97</w:t>
            </w:r>
          </w:p>
        </w:tc>
        <w:tc>
          <w:tcPr/>
          <w:p>
            <w:r>
              <w:t>17,83</w:t>
            </w:r>
          </w:p>
        </w:tc>
        <w:tc>
          <w:tcPr/>
          <w:p>
            <w:r>
              <w:t>16,76</w:t>
            </w:r>
          </w:p>
        </w:tc>
        <w:tc>
          <w:tcPr/>
          <w:p>
            <w:r>
              <w:t>15,75</w:t>
            </w:r>
          </w:p>
        </w:tc>
        <w:tc>
          <w:tcPr/>
          <w:p>
            <w:r>
              <w:t>14,81</w:t>
            </w:r>
          </w:p>
        </w:tc>
        <w:tc>
          <w:tcPr/>
          <w:p>
            <w:r>
              <w:t>13,92</w:t>
            </w:r>
          </w:p>
        </w:tc>
        <w:tc>
          <w:tcPr/>
          <w:p>
            <w:r>
              <w:t>12,26</w:t>
            </w:r>
          </w:p>
        </w:tc>
      </w:tr>
      <w:tr>
        <w:tc>
          <w:tcPr/>
          <w:p>
            <w:r>
              <w:t>Crédito Net Top + cartórios e CCF Bacen — Base I e III</w:t>
            </w:r>
          </w:p>
        </w:tc>
        <w:tc>
          <w:tcPr/>
          <w:p>
            <w:r>
              <w:t>21,91</w:t>
            </w:r>
          </w:p>
        </w:tc>
        <w:tc>
          <w:tcPr/>
          <w:p>
            <w:r>
              <w:t>20,59</w:t>
            </w:r>
          </w:p>
        </w:tc>
        <w:tc>
          <w:tcPr/>
          <w:p>
            <w:r>
              <w:t>19,36</w:t>
            </w:r>
          </w:p>
        </w:tc>
        <w:tc>
          <w:tcPr/>
          <w:p>
            <w:r>
              <w:t>18,20</w:t>
            </w:r>
          </w:p>
        </w:tc>
        <w:tc>
          <w:tcPr/>
          <w:p>
            <w:r>
              <w:t>17,10</w:t>
            </w:r>
          </w:p>
        </w:tc>
        <w:tc>
          <w:tcPr/>
          <w:p>
            <w:r>
              <w:t>16,08</w:t>
            </w:r>
          </w:p>
        </w:tc>
        <w:tc>
          <w:tcPr/>
          <w:p>
            <w:r>
              <w:t>14,21</w:t>
            </w:r>
          </w:p>
        </w:tc>
      </w:tr>
      <w:tr>
        <w:tc>
          <w:tcPr/>
          <w:p>
            <w:r>
              <w:t>Relatório Score Positivo + filtros — Base III</w:t>
            </w:r>
          </w:p>
        </w:tc>
        <w:tc>
          <w:tcPr/>
          <w:p>
            <w:r>
              <w:t>9,93</w:t>
            </w:r>
          </w:p>
        </w:tc>
        <w:tc>
          <w:tcPr/>
          <w:p>
            <w:r>
              <w:t>9,44</w:t>
            </w:r>
          </w:p>
        </w:tc>
        <w:tc>
          <w:tcPr/>
          <w:p>
            <w:r>
              <w:t>8,97</w:t>
            </w:r>
          </w:p>
        </w:tc>
        <w:tc>
          <w:tcPr/>
          <w:p>
            <w:r>
              <w:t>8,52</w:t>
            </w:r>
          </w:p>
        </w:tc>
        <w:tc>
          <w:tcPr/>
          <w:p>
            <w:r>
              <w:t>8,09</w:t>
            </w:r>
          </w:p>
        </w:tc>
        <w:tc>
          <w:tcPr/>
          <w:p>
            <w:r>
              <w:t>7,69</w:t>
            </w:r>
          </w:p>
        </w:tc>
        <w:tc>
          <w:tcPr/>
          <w:p>
            <w:r>
              <w:t>6,94</w:t>
            </w:r>
          </w:p>
        </w:tc>
      </w:tr>
      <w:tr>
        <w:tc>
          <w:tcPr/>
          <w:p>
            <w:r>
              <w:t>Risco de Crédito Top PF/PJ + filtros — Base I</w:t>
            </w:r>
          </w:p>
        </w:tc>
        <w:tc>
          <w:tcPr/>
          <w:p>
            <w:r>
              <w:t>20,95</w:t>
            </w:r>
          </w:p>
        </w:tc>
        <w:tc>
          <w:tcPr/>
          <w:p>
            <w:r>
              <w:t>19,69</w:t>
            </w:r>
          </w:p>
        </w:tc>
        <w:tc>
          <w:tcPr/>
          <w:p>
            <w:r>
              <w:t>18,51</w:t>
            </w:r>
          </w:p>
        </w:tc>
        <w:tc>
          <w:tcPr/>
          <w:p>
            <w:r>
              <w:t>17,40</w:t>
            </w:r>
          </w:p>
        </w:tc>
        <w:tc>
          <w:tcPr/>
          <w:p>
            <w:r>
              <w:t>16,36</w:t>
            </w:r>
          </w:p>
        </w:tc>
        <w:tc>
          <w:tcPr/>
          <w:p>
            <w:r>
              <w:t>15,38</w:t>
            </w:r>
          </w:p>
        </w:tc>
        <w:tc>
          <w:tcPr/>
          <w:p>
            <w:r>
              <w:t>13,59</w:t>
            </w:r>
          </w:p>
        </w:tc>
      </w:tr>
      <w:tr>
        <w:tc>
          <w:tcPr/>
          <w:p>
            <w:r>
              <w:t>Relatório Top PF/PJ + filtros — Base I e III</w:t>
            </w:r>
          </w:p>
        </w:tc>
        <w:tc>
          <w:tcPr/>
          <w:p>
            <w:r>
              <w:t>28,57</w:t>
            </w:r>
          </w:p>
        </w:tc>
        <w:tc>
          <w:tcPr/>
          <w:p>
            <w:r>
              <w:t>27,43</w:t>
            </w:r>
          </w:p>
        </w:tc>
        <w:tc>
          <w:tcPr/>
          <w:p>
            <w:r>
              <w:t>26,33</w:t>
            </w:r>
          </w:p>
        </w:tc>
        <w:tc>
          <w:tcPr/>
          <w:p>
            <w:r>
              <w:t>25,28</w:t>
            </w:r>
          </w:p>
        </w:tc>
        <w:tc>
          <w:tcPr/>
          <w:p>
            <w:r>
              <w:t>24,27</w:t>
            </w:r>
          </w:p>
        </w:tc>
        <w:tc>
          <w:tcPr/>
          <w:p>
            <w:r>
              <w:t>23,30</w:t>
            </w:r>
          </w:p>
        </w:tc>
        <w:tc>
          <w:tcPr/>
          <w:p>
            <w:r>
              <w:t>21,25</w:t>
            </w:r>
          </w:p>
        </w:tc>
      </w:tr>
      <w:tr>
        <w:tc>
          <w:tcPr/>
          <w:p>
            <w:r>
              <w:t>Relatório Top + SCR Bacen — Base I e III *</w:t>
            </w:r>
          </w:p>
        </w:tc>
        <w:tc>
          <w:tcPr/>
          <w:p>
            <w:r>
              <w:t>44,50</w:t>
            </w:r>
          </w:p>
        </w:tc>
        <w:tc>
          <w:tcPr/>
          <w:p>
            <w:r>
              <w:t>40,94</w:t>
            </w:r>
          </w:p>
        </w:tc>
        <w:tc>
          <w:tcPr/>
          <w:p>
            <w:r>
              <w:t>37,67</w:t>
            </w:r>
          </w:p>
        </w:tc>
        <w:tc>
          <w:tcPr/>
          <w:p>
            <w:r>
              <w:t>34,65</w:t>
            </w:r>
          </w:p>
        </w:tc>
        <w:tc>
          <w:tcPr/>
          <w:p>
            <w:r>
              <w:t>31,88</w:t>
            </w:r>
          </w:p>
        </w:tc>
        <w:tc>
          <w:tcPr/>
          <w:p>
            <w:r>
              <w:t>29,33</w:t>
            </w:r>
          </w:p>
        </w:tc>
        <w:tc>
          <w:tcPr/>
          <w:p>
            <w:r>
              <w:t>26,99</w:t>
            </w:r>
          </w:p>
        </w:tc>
      </w:tr>
      <w:tr>
        <w:tc>
          <w:tcPr/>
          <w:p>
            <w:r>
              <w:t>Maxi Top PF/PJ + score e filtros — Base I e II</w:t>
            </w:r>
          </w:p>
        </w:tc>
        <w:tc>
          <w:tcPr/>
          <w:p>
            <w:r>
              <w:t>28,15</w:t>
            </w:r>
          </w:p>
        </w:tc>
        <w:tc>
          <w:tcPr/>
          <w:p>
            <w:r>
              <w:t>27,03</w:t>
            </w:r>
          </w:p>
        </w:tc>
        <w:tc>
          <w:tcPr/>
          <w:p>
            <w:r>
              <w:t>25,95</w:t>
            </w:r>
          </w:p>
        </w:tc>
        <w:tc>
          <w:tcPr/>
          <w:p>
            <w:r>
              <w:t>24,91</w:t>
            </w:r>
          </w:p>
        </w:tc>
        <w:tc>
          <w:tcPr/>
          <w:p>
            <w:r>
              <w:t>23,91</w:t>
            </w:r>
          </w:p>
        </w:tc>
        <w:tc>
          <w:tcPr/>
          <w:p>
            <w:r>
              <w:t>22,96</w:t>
            </w:r>
          </w:p>
        </w:tc>
        <w:tc>
          <w:tcPr/>
          <w:p>
            <w:r>
              <w:t>20,94</w:t>
            </w:r>
          </w:p>
        </w:tc>
      </w:tr>
      <w:tr>
        <w:tc>
          <w:tcPr/>
          <w:p>
            <w:r>
              <w:t>Relatório Prime Básica + cartórios e CCF Bacen — Base I, II e III</w:t>
            </w:r>
          </w:p>
        </w:tc>
        <w:tc>
          <w:tcPr/>
          <w:p>
            <w:r>
              <w:t>26,70</w:t>
            </w:r>
          </w:p>
        </w:tc>
        <w:tc>
          <w:tcPr/>
          <w:p>
            <w:r>
              <w:t>25,10</w:t>
            </w:r>
          </w:p>
        </w:tc>
        <w:tc>
          <w:tcPr/>
          <w:p>
            <w:r>
              <w:t>23,59</w:t>
            </w:r>
          </w:p>
        </w:tc>
        <w:tc>
          <w:tcPr/>
          <w:p>
            <w:r>
              <w:t>22,18</w:t>
            </w:r>
          </w:p>
        </w:tc>
        <w:tc>
          <w:tcPr/>
          <w:p>
            <w:r>
              <w:t>20,85</w:t>
            </w:r>
          </w:p>
        </w:tc>
        <w:tc>
          <w:tcPr/>
          <w:p>
            <w:r>
              <w:t>19,60</w:t>
            </w:r>
          </w:p>
        </w:tc>
        <w:tc>
          <w:tcPr/>
          <w:p>
            <w:r>
              <w:t>17,09</w:t>
            </w:r>
          </w:p>
        </w:tc>
      </w:tr>
      <w:tr>
        <w:tc>
          <w:tcPr/>
          <w:p>
            <w:r>
              <w:t>Relatório Prime Completa + filtros — Base I, II e III</w:t>
            </w:r>
          </w:p>
        </w:tc>
        <w:tc>
          <w:tcPr/>
          <w:p>
            <w:r>
              <w:t>37,05</w:t>
            </w:r>
          </w:p>
        </w:tc>
        <w:tc>
          <w:tcPr/>
          <w:p>
            <w:r>
              <w:t>35,20</w:t>
            </w:r>
          </w:p>
        </w:tc>
        <w:tc>
          <w:tcPr/>
          <w:p>
            <w:r>
              <w:t>33,44</w:t>
            </w:r>
          </w:p>
        </w:tc>
        <w:tc>
          <w:tcPr/>
          <w:p>
            <w:r>
              <w:t>31,77</w:t>
            </w:r>
          </w:p>
        </w:tc>
        <w:tc>
          <w:tcPr/>
          <w:p>
            <w:r>
              <w:t>30,18</w:t>
            </w:r>
          </w:p>
        </w:tc>
        <w:tc>
          <w:tcPr/>
          <w:p>
            <w:r>
              <w:t>28,67</w:t>
            </w:r>
          </w:p>
        </w:tc>
        <w:tc>
          <w:tcPr/>
          <w:p>
            <w:r>
              <w:t>25,60</w:t>
            </w:r>
          </w:p>
        </w:tc>
      </w:tr>
      <w:tr>
        <w:tc>
          <w:tcPr/>
          <w:p>
            <w:r>
              <w:t>Relatório Prime Completa + SCR Bacen — Base I, II e III *</w:t>
            </w:r>
          </w:p>
        </w:tc>
        <w:tc>
          <w:tcPr/>
          <w:p>
            <w:r>
              <w:t>52,89</w:t>
            </w:r>
          </w:p>
        </w:tc>
        <w:tc>
          <w:tcPr/>
          <w:p>
            <w:r>
              <w:t>48,66</w:t>
            </w:r>
          </w:p>
        </w:tc>
        <w:tc>
          <w:tcPr/>
          <w:p>
            <w:r>
              <w:t>44,77</w:t>
            </w:r>
          </w:p>
        </w:tc>
        <w:tc>
          <w:tcPr/>
          <w:p>
            <w:r>
              <w:t>41,18</w:t>
            </w:r>
          </w:p>
        </w:tc>
        <w:tc>
          <w:tcPr/>
          <w:p>
            <w:r>
              <w:t>37,89</w:t>
            </w:r>
          </w:p>
        </w:tc>
        <w:tc>
          <w:tcPr/>
          <w:p>
            <w:r>
              <w:t>34,86</w:t>
            </w:r>
          </w:p>
        </w:tc>
        <w:tc>
          <w:tcPr/>
          <w:p>
            <w:r>
              <w:t>32,42</w:t>
            </w:r>
          </w:p>
        </w:tc>
      </w:tr>
      <w:tr>
        <w:tc>
          <w:tcPr/>
          <w:p>
            <w:r>
              <w:t>SCR Bacen + score PF/PJ *</w:t>
            </w:r>
          </w:p>
        </w:tc>
        <w:tc>
          <w:tcPr/>
          <w:p>
            <w:r>
              <w:t>20,03</w:t>
            </w:r>
          </w:p>
        </w:tc>
        <w:tc>
          <w:tcPr/>
          <w:p>
            <w:r>
              <w:t>18,83</w:t>
            </w:r>
          </w:p>
        </w:tc>
        <w:tc>
          <w:tcPr/>
          <w:p>
            <w:r>
              <w:t>17,70</w:t>
            </w:r>
          </w:p>
        </w:tc>
        <w:tc>
          <w:tcPr/>
          <w:p>
            <w:r>
              <w:t>16,64</w:t>
            </w:r>
          </w:p>
        </w:tc>
        <w:tc>
          <w:tcPr/>
          <w:p>
            <w:r>
              <w:t>15,64</w:t>
            </w:r>
          </w:p>
        </w:tc>
        <w:tc>
          <w:tcPr/>
          <w:p>
            <w:r>
              <w:t>14,70</w:t>
            </w:r>
          </w:p>
        </w:tc>
        <w:tc>
          <w:tcPr/>
          <w:p>
            <w:r>
              <w:t>12,99</w:t>
            </w:r>
          </w:p>
        </w:tc>
      </w:tr>
      <w:tr>
        <w:tc>
          <w:tcPr/>
          <w:p>
            <w:r>
              <w:t>Cadastro especial PF — endereço, telefone, e-mail, trabalho, renda</w:t>
            </w:r>
          </w:p>
        </w:tc>
        <w:tc>
          <w:tcPr/>
          <w:p>
            <w:r>
              <w:t>3,03</w:t>
            </w:r>
          </w:p>
        </w:tc>
        <w:tc>
          <w:tcPr/>
          <w:p>
            <w:r>
              <w:t>2,73</w:t>
            </w:r>
          </w:p>
        </w:tc>
        <w:tc>
          <w:tcPr/>
          <w:p>
            <w:r>
              <w:t>2,46</w:t>
            </w:r>
          </w:p>
        </w:tc>
        <w:tc>
          <w:tcPr/>
          <w:p>
            <w:r>
              <w:t>2,21</w:t>
            </w:r>
          </w:p>
        </w:tc>
        <w:tc>
          <w:tcPr/>
          <w:p>
            <w:r>
              <w:t>1,99</w:t>
            </w:r>
          </w:p>
        </w:tc>
        <w:tc>
          <w:tcPr/>
          <w:p>
            <w:r>
              <w:t>1,79</w:t>
            </w:r>
          </w:p>
        </w:tc>
        <w:tc>
          <w:tcPr/>
          <w:p>
            <w:r>
              <w:t>1,45</w:t>
            </w:r>
          </w:p>
        </w:tc>
      </w:tr>
      <w:tr>
        <w:tc>
          <w:tcPr/>
          <w:p>
            <w:r>
              <w:t>Cadastro especial PJ — dados da empresa, sócios, regime fiscal, faturamento</w:t>
            </w:r>
          </w:p>
        </w:tc>
        <w:tc>
          <w:tcPr/>
          <w:p>
            <w:r>
              <w:t>3,03</w:t>
            </w:r>
          </w:p>
        </w:tc>
        <w:tc>
          <w:tcPr/>
          <w:p>
            <w:r>
              <w:t>2,73</w:t>
            </w:r>
          </w:p>
        </w:tc>
        <w:tc>
          <w:tcPr/>
          <w:p>
            <w:r>
              <w:t>2,46</w:t>
            </w:r>
          </w:p>
        </w:tc>
        <w:tc>
          <w:tcPr/>
          <w:p>
            <w:r>
              <w:t>2,21</w:t>
            </w:r>
          </w:p>
        </w:tc>
        <w:tc>
          <w:tcPr/>
          <w:p>
            <w:r>
              <w:t>1,99</w:t>
            </w:r>
          </w:p>
        </w:tc>
        <w:tc>
          <w:tcPr/>
          <w:p>
            <w:r>
              <w:t>1,79</w:t>
            </w:r>
          </w:p>
        </w:tc>
        <w:tc>
          <w:tcPr/>
          <w:p>
            <w:r>
              <w:t>1,45</w:t>
            </w:r>
          </w:p>
        </w:tc>
      </w:tr>
      <w:tr>
        <w:tc>
          <w:tcPr/>
          <w:p>
            <w:r>
              <w:t>Telefones por CPF/CNPJ</w:t>
            </w:r>
          </w:p>
        </w:tc>
        <w:tc>
          <w:tcPr/>
          <w:p>
            <w:r>
              <w:t>1,11</w:t>
            </w:r>
          </w:p>
        </w:tc>
        <w:tc>
          <w:tcPr/>
          <w:p>
            <w:r>
              <w:t>1,00</w:t>
            </w:r>
          </w:p>
        </w:tc>
        <w:tc>
          <w:tcPr/>
          <w:p>
            <w:r>
              <w:t>0,90</w:t>
            </w:r>
          </w:p>
        </w:tc>
        <w:tc>
          <w:tcPr/>
          <w:p>
            <w:r>
              <w:t>0,81</w:t>
            </w:r>
          </w:p>
        </w:tc>
        <w:tc>
          <w:tcPr/>
          <w:p>
            <w:r>
              <w:t>0,73</w:t>
            </w:r>
          </w:p>
        </w:tc>
        <w:tc>
          <w:tcPr/>
          <w:p>
            <w:r>
              <w:t>0,66</w:t>
            </w:r>
          </w:p>
        </w:tc>
        <w:tc>
          <w:tcPr/>
          <w:p>
            <w:r>
              <w:t>0,53</w:t>
            </w:r>
          </w:p>
        </w:tc>
      </w:tr>
      <w:tr>
        <w:tc>
          <w:tcPr/>
          <w:p>
            <w:r>
              <w:t>Endereços por CPF/CNPJ</w:t>
            </w:r>
          </w:p>
        </w:tc>
        <w:tc>
          <w:tcPr/>
          <w:p>
            <w:r>
              <w:t>1,11</w:t>
            </w:r>
          </w:p>
        </w:tc>
        <w:tc>
          <w:tcPr/>
          <w:p>
            <w:r>
              <w:t>1,00</w:t>
            </w:r>
          </w:p>
        </w:tc>
        <w:tc>
          <w:tcPr/>
          <w:p>
            <w:r>
              <w:t>0,90</w:t>
            </w:r>
          </w:p>
        </w:tc>
        <w:tc>
          <w:tcPr/>
          <w:p>
            <w:r>
              <w:t>0,81</w:t>
            </w:r>
          </w:p>
        </w:tc>
        <w:tc>
          <w:tcPr/>
          <w:p>
            <w:r>
              <w:t>0,73</w:t>
            </w:r>
          </w:p>
        </w:tc>
        <w:tc>
          <w:tcPr/>
          <w:p>
            <w:r>
              <w:t>0,66</w:t>
            </w:r>
          </w:p>
        </w:tc>
        <w:tc>
          <w:tcPr/>
          <w:p>
            <w:r>
              <w:t>0,53</w:t>
            </w:r>
          </w:p>
        </w:tc>
      </w:tr>
      <w:tr>
        <w:tc>
          <w:tcPr/>
          <w:p>
            <w:r>
              <w:t>InfoBusca por CPF/CNPJ — telefone, endereço e e-mails</w:t>
            </w:r>
          </w:p>
        </w:tc>
        <w:tc>
          <w:tcPr/>
          <w:p>
            <w:r>
              <w:t>2,07</w:t>
            </w:r>
          </w:p>
        </w:tc>
        <w:tc>
          <w:tcPr/>
          <w:p>
            <w:r>
              <w:t>1,86</w:t>
            </w:r>
          </w:p>
        </w:tc>
        <w:tc>
          <w:tcPr/>
          <w:p>
            <w:r>
              <w:t>1,67</w:t>
            </w:r>
          </w:p>
        </w:tc>
        <w:tc>
          <w:tcPr/>
          <w:p>
            <w:r>
              <w:t>1,51</w:t>
            </w:r>
          </w:p>
        </w:tc>
        <w:tc>
          <w:tcPr/>
          <w:p>
            <w:r>
              <w:t>1,36</w:t>
            </w:r>
          </w:p>
        </w:tc>
        <w:tc>
          <w:tcPr/>
          <w:p>
            <w:r>
              <w:t>1,22</w:t>
            </w:r>
          </w:p>
        </w:tc>
        <w:tc>
          <w:tcPr/>
          <w:p>
            <w:r>
              <w:t>0,99</w:t>
            </w:r>
          </w:p>
        </w:tc>
      </w:tr>
      <w:tr>
        <w:tc>
          <w:tcPr/>
          <w:p>
            <w:r>
              <w:t>InfoBusca por nome (mostra CPF)</w:t>
            </w:r>
          </w:p>
        </w:tc>
        <w:tc>
          <w:tcPr/>
          <w:p>
            <w:r>
              <w:t>2,07</w:t>
            </w:r>
          </w:p>
        </w:tc>
        <w:tc>
          <w:tcPr/>
          <w:p>
            <w:r>
              <w:t>1,86</w:t>
            </w:r>
          </w:p>
        </w:tc>
        <w:tc>
          <w:tcPr/>
          <w:p>
            <w:r>
              <w:t>1,67</w:t>
            </w:r>
          </w:p>
        </w:tc>
        <w:tc>
          <w:tcPr/>
          <w:p>
            <w:r>
              <w:t>1,51</w:t>
            </w:r>
          </w:p>
        </w:tc>
        <w:tc>
          <w:tcPr/>
          <w:p>
            <w:r>
              <w:t>1,36</w:t>
            </w:r>
          </w:p>
        </w:tc>
        <w:tc>
          <w:tcPr/>
          <w:p>
            <w:r>
              <w:t>1,22</w:t>
            </w:r>
          </w:p>
        </w:tc>
        <w:tc>
          <w:tcPr/>
          <w:p>
            <w:r>
              <w:t>0,99</w:t>
            </w:r>
          </w:p>
        </w:tc>
      </w:tr>
      <w:tr>
        <w:tc>
          <w:tcPr/>
          <w:p>
            <w:r>
              <w:t>Localizador por telefone (mostra nome e CPF/CNPJ)</w:t>
            </w:r>
          </w:p>
        </w:tc>
        <w:tc>
          <w:tcPr/>
          <w:p>
            <w:r>
              <w:t>2,07</w:t>
            </w:r>
          </w:p>
        </w:tc>
        <w:tc>
          <w:tcPr/>
          <w:p>
            <w:r>
              <w:t>1,86</w:t>
            </w:r>
          </w:p>
        </w:tc>
        <w:tc>
          <w:tcPr/>
          <w:p>
            <w:r>
              <w:t>1,67</w:t>
            </w:r>
          </w:p>
        </w:tc>
        <w:tc>
          <w:tcPr/>
          <w:p>
            <w:r>
              <w:t>1,51</w:t>
            </w:r>
          </w:p>
        </w:tc>
        <w:tc>
          <w:tcPr/>
          <w:p>
            <w:r>
              <w:t>1,36</w:t>
            </w:r>
          </w:p>
        </w:tc>
        <w:tc>
          <w:tcPr/>
          <w:p>
            <w:r>
              <w:t>1,22</w:t>
            </w:r>
          </w:p>
        </w:tc>
        <w:tc>
          <w:tcPr/>
          <w:p>
            <w:r>
              <w:t>0,99</w:t>
            </w:r>
          </w:p>
        </w:tc>
      </w:tr>
      <w:tr>
        <w:tc>
          <w:tcPr/>
          <w:p>
            <w:r>
              <w:t>Localizador por CEP (mostra nomes e CPF/CNPJ)</w:t>
            </w:r>
          </w:p>
        </w:tc>
        <w:tc>
          <w:tcPr/>
          <w:p>
            <w:r>
              <w:t>2,07</w:t>
            </w:r>
          </w:p>
        </w:tc>
        <w:tc>
          <w:tcPr/>
          <w:p>
            <w:r>
              <w:t>1,86</w:t>
            </w:r>
          </w:p>
        </w:tc>
        <w:tc>
          <w:tcPr/>
          <w:p>
            <w:r>
              <w:t>1,67</w:t>
            </w:r>
          </w:p>
        </w:tc>
        <w:tc>
          <w:tcPr/>
          <w:p>
            <w:r>
              <w:t>1,51</w:t>
            </w:r>
          </w:p>
        </w:tc>
        <w:tc>
          <w:tcPr/>
          <w:p>
            <w:r>
              <w:t>1,36</w:t>
            </w:r>
          </w:p>
        </w:tc>
        <w:tc>
          <w:tcPr/>
          <w:p>
            <w:r>
              <w:t>1,22</w:t>
            </w:r>
          </w:p>
        </w:tc>
        <w:tc>
          <w:tcPr/>
          <w:p>
            <w:r>
              <w:t>0,99</w:t>
            </w:r>
          </w:p>
        </w:tc>
      </w:tr>
      <w:tr>
        <w:tc>
          <w:tcPr/>
          <w:p>
            <w:r>
              <w:t>Negativação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  <w:tc>
          <w:tcPr/>
          <w:p>
            <w:r>
              <w:t>17,90</w:t>
            </w:r>
          </w:p>
        </w:tc>
      </w:tr>
    </w:tbl>
    <w:p>
      <w:r>
        <w:t>Os filtros extras citados nos nomes são score, faturamento e renda presumida,</w:t>
      </w:r>
    </w:p>
    <w:p>
      <w:r>
        <w:t>pontualidade de pagamento, balanço máximo e mínimo, quantidade de funcionários,</w:t>
      </w:r>
    </w:p>
    <w:p>
      <w:r>
        <w:t>endereços, telefones e pessoas de contato.</w:t>
      </w:r>
    </w:p>
    <w:p>
      <w:pPr>
        <w:pStyle w:val="Heading2"/>
      </w:pPr>
      <w:r>
        <w:t>Anexo B — Preços de referência: veicular</w:t>
      </w:r>
    </w:p>
    <w:p>
      <w:pPr>
        <w:pStyle w:val="Quote"/>
      </w:pPr>
      <w:r>
        <w:t>Transcrito da tabela veicular do fornecedor (temp/). Mesmas regras do</w:t>
      </w:r>
    </w:p>
    <w:p>
      <w:pPr>
        <w:pStyle w:val="Quote"/>
      </w:pPr>
      <w:r>
        <w:t>anexo A.</w:t>
      </w:r>
    </w:p>
    <w:tbl>
      <w:tblPr>
        <w:tblStyle w:val="TableGrid"/>
      </w:tblPr>
      <w:tr>
        <w:tc>
          <w:tcPr>
            <w:shd w:fill="D9EAF7"/>
          </w:tcPr>
          <w:p>
            <w:r>
              <w:t>Serviço</w:t>
            </w:r>
          </w:p>
        </w:tc>
        <w:tc>
          <w:tcPr>
            <w:shd w:fill="D9EAF7"/>
          </w:tcPr>
          <w:p>
            <w:r>
              <w:t>Sem mínimo</w:t>
            </w:r>
          </w:p>
        </w:tc>
        <w:tc>
          <w:tcPr>
            <w:shd w:fill="D9EAF7"/>
          </w:tcPr>
          <w:p>
            <w:r>
              <w:t>75</w:t>
            </w:r>
          </w:p>
        </w:tc>
        <w:tc>
          <w:tcPr>
            <w:shd w:fill="D9EAF7"/>
          </w:tcPr>
          <w:p>
            <w:r>
              <w:t>200</w:t>
            </w:r>
          </w:p>
        </w:tc>
        <w:tc>
          <w:tcPr>
            <w:shd w:fill="D9EAF7"/>
          </w:tcPr>
          <w:p>
            <w:r>
              <w:t>500</w:t>
            </w:r>
          </w:p>
        </w:tc>
        <w:tc>
          <w:tcPr>
            <w:shd w:fill="D9EAF7"/>
          </w:tcPr>
          <w:p>
            <w:r>
              <w:t>900</w:t>
            </w:r>
          </w:p>
        </w:tc>
        <w:tc>
          <w:tcPr>
            <w:shd w:fill="D9EAF7"/>
          </w:tcPr>
          <w:p>
            <w:r>
              <w:t>1.500</w:t>
            </w:r>
          </w:p>
        </w:tc>
        <w:tc>
          <w:tcPr>
            <w:shd w:fill="D9EAF7"/>
          </w:tcPr>
          <w:p>
            <w:r>
              <w:t>5.000</w:t>
            </w:r>
          </w:p>
        </w:tc>
      </w:tr>
      <w:tr>
        <w:tc>
          <w:tcPr/>
          <w:p>
            <w:r>
              <w:t>Localiza veículos por CPF/CNPJ</w:t>
            </w:r>
          </w:p>
        </w:tc>
        <w:tc>
          <w:tcPr/>
          <w:p>
            <w:r>
              <w:t>21,56</w:t>
            </w:r>
          </w:p>
        </w:tc>
        <w:tc>
          <w:tcPr/>
          <w:p>
            <w:r>
              <w:t>20,48</w:t>
            </w:r>
          </w:p>
        </w:tc>
        <w:tc>
          <w:tcPr/>
          <w:p>
            <w:r>
              <w:t>19,46</w:t>
            </w:r>
          </w:p>
        </w:tc>
        <w:tc>
          <w:tcPr/>
          <w:p>
            <w:r>
              <w:t>18,49</w:t>
            </w:r>
          </w:p>
        </w:tc>
        <w:tc>
          <w:tcPr/>
          <w:p>
            <w:r>
              <w:t>17,56</w:t>
            </w:r>
          </w:p>
        </w:tc>
        <w:tc>
          <w:tcPr/>
          <w:p>
            <w:r>
              <w:t>16,68</w:t>
            </w:r>
          </w:p>
        </w:tc>
        <w:tc>
          <w:tcPr/>
          <w:p>
            <w:r>
              <w:t>14,26</w:t>
            </w:r>
          </w:p>
        </w:tc>
      </w:tr>
      <w:tr>
        <w:tc>
          <w:tcPr/>
          <w:p>
            <w:r>
              <w:t>Histórico de proprietário (somente São Paulo)</w:t>
            </w:r>
          </w:p>
        </w:tc>
        <w:tc>
          <w:tcPr/>
          <w:p>
            <w:r>
              <w:t>14,30</w:t>
            </w:r>
          </w:p>
        </w:tc>
        <w:tc>
          <w:tcPr/>
          <w:p>
            <w:r>
              <w:t>13,87</w:t>
            </w:r>
          </w:p>
        </w:tc>
        <w:tc>
          <w:tcPr/>
          <w:p>
            <w:r>
              <w:t>13,45</w:t>
            </w:r>
          </w:p>
        </w:tc>
        <w:tc>
          <w:tcPr/>
          <w:p>
            <w:r>
              <w:t>13,05</w:t>
            </w:r>
          </w:p>
        </w:tc>
        <w:tc>
          <w:tcPr/>
          <w:p>
            <w:r>
              <w:t>12,66</w:t>
            </w:r>
          </w:p>
        </w:tc>
        <w:tc>
          <w:tcPr/>
          <w:p>
            <w:r>
              <w:t>12,28</w:t>
            </w:r>
          </w:p>
        </w:tc>
        <w:tc>
          <w:tcPr/>
          <w:p>
            <w:r>
              <w:t>11,55</w:t>
            </w:r>
          </w:p>
        </w:tc>
      </w:tr>
      <w:tr>
        <w:tc>
          <w:tcPr/>
          <w:p>
            <w:r>
              <w:t>Proprietário atual</w:t>
            </w:r>
          </w:p>
        </w:tc>
        <w:tc>
          <w:tcPr/>
          <w:p>
            <w:r>
              <w:t>5,94</w:t>
            </w:r>
          </w:p>
        </w:tc>
        <w:tc>
          <w:tcPr/>
          <w:p>
            <w:r>
              <w:t>5,76</w:t>
            </w:r>
          </w:p>
        </w:tc>
        <w:tc>
          <w:tcPr/>
          <w:p>
            <w:r>
              <w:t>5,59</w:t>
            </w:r>
          </w:p>
        </w:tc>
        <w:tc>
          <w:tcPr/>
          <w:p>
            <w:r>
              <w:t>5,42</w:t>
            </w:r>
          </w:p>
        </w:tc>
        <w:tc>
          <w:tcPr/>
          <w:p>
            <w:r>
              <w:t>5,26</w:t>
            </w:r>
          </w:p>
        </w:tc>
        <w:tc>
          <w:tcPr/>
          <w:p>
            <w:r>
              <w:t>5,10</w:t>
            </w:r>
          </w:p>
        </w:tc>
        <w:tc>
          <w:tcPr/>
          <w:p>
            <w:r>
              <w:t>4,80</w:t>
            </w:r>
          </w:p>
        </w:tc>
      </w:tr>
      <w:tr>
        <w:tc>
          <w:tcPr/>
          <w:p>
            <w:r>
              <w:t>Agregados</w:t>
            </w:r>
          </w:p>
        </w:tc>
        <w:tc>
          <w:tcPr/>
          <w:p>
            <w:r>
              <w:t>3,63</w:t>
            </w:r>
          </w:p>
        </w:tc>
        <w:tc>
          <w:tcPr/>
          <w:p>
            <w:r>
              <w:t>3,52</w:t>
            </w:r>
          </w:p>
        </w:tc>
        <w:tc>
          <w:tcPr/>
          <w:p>
            <w:r>
              <w:t>3,42</w:t>
            </w:r>
          </w:p>
        </w:tc>
        <w:tc>
          <w:tcPr/>
          <w:p>
            <w:r>
              <w:t>3,31</w:t>
            </w:r>
          </w:p>
        </w:tc>
        <w:tc>
          <w:tcPr/>
          <w:p>
            <w:r>
              <w:t>3,21</w:t>
            </w:r>
          </w:p>
        </w:tc>
        <w:tc>
          <w:tcPr/>
          <w:p>
            <w:r>
              <w:t>3,12</w:t>
            </w:r>
          </w:p>
        </w:tc>
        <w:tc>
          <w:tcPr/>
          <w:p>
            <w:r>
              <w:t>2,93</w:t>
            </w:r>
          </w:p>
        </w:tc>
      </w:tr>
      <w:tr>
        <w:tc>
          <w:tcPr/>
          <w:p>
            <w:r>
              <w:t>RenaJud</w:t>
            </w:r>
          </w:p>
        </w:tc>
        <w:tc>
          <w:tcPr/>
          <w:p>
            <w:r>
              <w:t>10,55</w:t>
            </w:r>
          </w:p>
        </w:tc>
        <w:tc>
          <w:tcPr/>
          <w:p>
            <w:r>
              <w:t>10,13</w:t>
            </w:r>
          </w:p>
        </w:tc>
        <w:tc>
          <w:tcPr/>
          <w:p>
            <w:r>
              <w:t>9,73</w:t>
            </w:r>
          </w:p>
        </w:tc>
        <w:tc>
          <w:tcPr/>
          <w:p>
            <w:r>
              <w:t>9,34</w:t>
            </w:r>
          </w:p>
        </w:tc>
        <w:tc>
          <w:tcPr/>
          <w:p>
            <w:r>
              <w:t>8,96</w:t>
            </w:r>
          </w:p>
        </w:tc>
        <w:tc>
          <w:tcPr/>
          <w:p>
            <w:r>
              <w:t>8,61</w:t>
            </w:r>
          </w:p>
        </w:tc>
        <w:tc>
          <w:tcPr/>
          <w:p>
            <w:r>
              <w:t>7,93</w:t>
            </w:r>
          </w:p>
        </w:tc>
      </w:tr>
      <w:tr>
        <w:tc>
          <w:tcPr/>
          <w:p>
            <w:r>
              <w:t>RenaInf — infrações completa</w:t>
            </w:r>
          </w:p>
        </w:tc>
        <w:tc>
          <w:tcPr/>
          <w:p>
            <w:r>
              <w:t>8,97</w:t>
            </w:r>
          </w:p>
        </w:tc>
        <w:tc>
          <w:tcPr/>
          <w:p>
            <w:r>
              <w:t>8,61</w:t>
            </w:r>
          </w:p>
        </w:tc>
        <w:tc>
          <w:tcPr/>
          <w:p>
            <w:r>
              <w:t>8,27</w:t>
            </w:r>
          </w:p>
        </w:tc>
        <w:tc>
          <w:tcPr/>
          <w:p>
            <w:r>
              <w:t>7,94</w:t>
            </w:r>
          </w:p>
        </w:tc>
        <w:tc>
          <w:tcPr/>
          <w:p>
            <w:r>
              <w:t>7,62</w:t>
            </w:r>
          </w:p>
        </w:tc>
        <w:tc>
          <w:tcPr/>
          <w:p>
            <w:r>
              <w:t>7,31</w:t>
            </w:r>
          </w:p>
        </w:tc>
        <w:tc>
          <w:tcPr/>
          <w:p>
            <w:r>
              <w:t>6,74</w:t>
            </w:r>
          </w:p>
        </w:tc>
      </w:tr>
      <w:tr>
        <w:tc>
          <w:tcPr/>
          <w:p>
            <w:r>
              <w:t>CRLV — documento de licenciamento</w:t>
            </w:r>
          </w:p>
        </w:tc>
        <w:tc>
          <w:tcPr/>
          <w:p>
            <w:r>
              <w:t>23,78</w:t>
            </w:r>
          </w:p>
        </w:tc>
        <w:tc>
          <w:tcPr/>
          <w:p>
            <w:r>
              <w:t>23,07</w:t>
            </w:r>
          </w:p>
        </w:tc>
        <w:tc>
          <w:tcPr/>
          <w:p>
            <w:r>
              <w:t>22,37</w:t>
            </w:r>
          </w:p>
        </w:tc>
        <w:tc>
          <w:tcPr/>
          <w:p>
            <w:r>
              <w:t>21,70</w:t>
            </w:r>
          </w:p>
        </w:tc>
        <w:tc>
          <w:tcPr/>
          <w:p>
            <w:r>
              <w:t>21,05</w:t>
            </w:r>
          </w:p>
        </w:tc>
        <w:tc>
          <w:tcPr/>
          <w:p>
            <w:r>
              <w:t>20,42</w:t>
            </w:r>
          </w:p>
        </w:tc>
        <w:tc>
          <w:tcPr/>
          <w:p>
            <w:r>
              <w:t>19,21</w:t>
            </w:r>
          </w:p>
        </w:tc>
      </w:tr>
      <w:tr>
        <w:tc>
          <w:tcPr/>
          <w:p>
            <w:r>
              <w:t>BIN — base estadual e nacional</w:t>
            </w:r>
          </w:p>
        </w:tc>
        <w:tc>
          <w:tcPr/>
          <w:p>
            <w:r>
              <w:t>5,96</w:t>
            </w:r>
          </w:p>
        </w:tc>
        <w:tc>
          <w:tcPr/>
          <w:p>
            <w:r>
              <w:t>5,72</w:t>
            </w:r>
          </w:p>
        </w:tc>
        <w:tc>
          <w:tcPr/>
          <w:p>
            <w:r>
              <w:t>5,49</w:t>
            </w:r>
          </w:p>
        </w:tc>
        <w:tc>
          <w:tcPr/>
          <w:p>
            <w:r>
              <w:t>5,27</w:t>
            </w:r>
          </w:p>
        </w:tc>
        <w:tc>
          <w:tcPr/>
          <w:p>
            <w:r>
              <w:t>5,06</w:t>
            </w:r>
          </w:p>
        </w:tc>
        <w:tc>
          <w:tcPr/>
          <w:p>
            <w:r>
              <w:t>4,86</w:t>
            </w:r>
          </w:p>
        </w:tc>
        <w:tc>
          <w:tcPr/>
          <w:p>
            <w:r>
              <w:t>4,48</w:t>
            </w:r>
          </w:p>
        </w:tc>
      </w:tr>
      <w:tr>
        <w:tc>
          <w:tcPr/>
          <w:p>
            <w:r>
              <w:t>Leilão — Base I</w:t>
            </w:r>
          </w:p>
        </w:tc>
        <w:tc>
          <w:tcPr/>
          <w:p>
            <w:r>
              <w:t>11,94</w:t>
            </w:r>
          </w:p>
        </w:tc>
        <w:tc>
          <w:tcPr/>
          <w:p>
            <w:r>
              <w:t>11,58</w:t>
            </w:r>
          </w:p>
        </w:tc>
        <w:tc>
          <w:tcPr/>
          <w:p>
            <w:r>
              <w:t>11,23</w:t>
            </w:r>
          </w:p>
        </w:tc>
        <w:tc>
          <w:tcPr/>
          <w:p>
            <w:r>
              <w:t>10,89</w:t>
            </w:r>
          </w:p>
        </w:tc>
        <w:tc>
          <w:tcPr/>
          <w:p>
            <w:r>
              <w:t>10,57</w:t>
            </w:r>
          </w:p>
        </w:tc>
        <w:tc>
          <w:tcPr/>
          <w:p>
            <w:r>
              <w:t>10,25</w:t>
            </w:r>
          </w:p>
        </w:tc>
        <w:tc>
          <w:tcPr/>
          <w:p>
            <w:r>
              <w:t>9,54</w:t>
            </w:r>
          </w:p>
        </w:tc>
      </w:tr>
      <w:tr>
        <w:tc>
          <w:tcPr/>
          <w:p>
            <w:r>
              <w:t>Leilão conjugado completo + score do veículo — Base II</w:t>
            </w:r>
          </w:p>
        </w:tc>
        <w:tc>
          <w:tcPr/>
          <w:p>
            <w:r>
              <w:t>21,95</w:t>
            </w:r>
          </w:p>
        </w:tc>
        <w:tc>
          <w:tcPr/>
          <w:p>
            <w:r>
              <w:t>21,29</w:t>
            </w:r>
          </w:p>
        </w:tc>
        <w:tc>
          <w:tcPr/>
          <w:p>
            <w:r>
              <w:t>20,65</w:t>
            </w:r>
          </w:p>
        </w:tc>
        <w:tc>
          <w:tcPr/>
          <w:p>
            <w:r>
              <w:t>20,03</w:t>
            </w:r>
          </w:p>
        </w:tc>
        <w:tc>
          <w:tcPr/>
          <w:p>
            <w:r>
              <w:t>19,43</w:t>
            </w:r>
          </w:p>
        </w:tc>
        <w:tc>
          <w:tcPr/>
          <w:p>
            <w:r>
              <w:t>18,84</w:t>
            </w:r>
          </w:p>
        </w:tc>
        <w:tc>
          <w:tcPr/>
          <w:p>
            <w:r>
              <w:t>17,55</w:t>
            </w:r>
          </w:p>
        </w:tc>
      </w:tr>
      <w:tr>
        <w:tc>
          <w:tcPr/>
          <w:p>
            <w:r>
              <w:t>CSV — certificado de segurança veicular</w:t>
            </w:r>
          </w:p>
        </w:tc>
        <w:tc>
          <w:tcPr/>
          <w:p>
            <w:r>
              <w:t>7,95</w:t>
            </w:r>
          </w:p>
        </w:tc>
        <w:tc>
          <w:tcPr/>
          <w:p>
            <w:r>
              <w:t>7,71</w:t>
            </w:r>
          </w:p>
        </w:tc>
        <w:tc>
          <w:tcPr/>
          <w:p>
            <w:r>
              <w:t>7,48</w:t>
            </w:r>
          </w:p>
        </w:tc>
        <w:tc>
          <w:tcPr/>
          <w:p>
            <w:r>
              <w:t>7,25</w:t>
            </w:r>
          </w:p>
        </w:tc>
        <w:tc>
          <w:tcPr/>
          <w:p>
            <w:r>
              <w:t>7,03</w:t>
            </w:r>
          </w:p>
        </w:tc>
        <w:tc>
          <w:tcPr/>
          <w:p>
            <w:r>
              <w:t>6,82</w:t>
            </w:r>
          </w:p>
        </w:tc>
        <w:tc>
          <w:tcPr/>
          <w:p>
            <w:r>
              <w:t>6,35</w:t>
            </w:r>
          </w:p>
        </w:tc>
      </w:tr>
      <w:tr>
        <w:tc>
          <w:tcPr/>
          <w:p>
            <w:r>
              <w:t>Histórico de roubo e furto</w:t>
            </w:r>
          </w:p>
        </w:tc>
        <w:tc>
          <w:tcPr/>
          <w:p>
            <w:r>
              <w:t>7,99</w:t>
            </w:r>
          </w:p>
        </w:tc>
        <w:tc>
          <w:tcPr/>
          <w:p>
            <w:r>
              <w:t>7,67</w:t>
            </w:r>
          </w:p>
        </w:tc>
        <w:tc>
          <w:tcPr/>
          <w:p>
            <w:r>
              <w:t>7,37</w:t>
            </w:r>
          </w:p>
        </w:tc>
        <w:tc>
          <w:tcPr/>
          <w:p>
            <w:r>
              <w:t>7,07</w:t>
            </w:r>
          </w:p>
        </w:tc>
        <w:tc>
          <w:tcPr/>
          <w:p>
            <w:r>
              <w:t>6,79</w:t>
            </w:r>
          </w:p>
        </w:tc>
        <w:tc>
          <w:tcPr/>
          <w:p>
            <w:r>
              <w:t>6,52</w:t>
            </w:r>
          </w:p>
        </w:tc>
        <w:tc>
          <w:tcPr/>
          <w:p>
            <w:r>
              <w:t>5,94</w:t>
            </w:r>
          </w:p>
        </w:tc>
      </w:tr>
      <w:tr>
        <w:tc>
          <w:tcPr/>
          <w:p>
            <w:r>
              <w:t>Gravame indicativo</w:t>
            </w:r>
          </w:p>
        </w:tc>
        <w:tc>
          <w:tcPr/>
          <w:p>
            <w:r>
              <w:t>7,95</w:t>
            </w:r>
          </w:p>
        </w:tc>
        <w:tc>
          <w:tcPr/>
          <w:p>
            <w:r>
              <w:t>7,63</w:t>
            </w:r>
          </w:p>
        </w:tc>
        <w:tc>
          <w:tcPr/>
          <w:p>
            <w:r>
              <w:t>7,32</w:t>
            </w:r>
          </w:p>
        </w:tc>
        <w:tc>
          <w:tcPr/>
          <w:p>
            <w:r>
              <w:t>7,03</w:t>
            </w:r>
          </w:p>
        </w:tc>
        <w:tc>
          <w:tcPr/>
          <w:p>
            <w:r>
              <w:t>6,75</w:t>
            </w:r>
          </w:p>
        </w:tc>
        <w:tc>
          <w:tcPr/>
          <w:p>
            <w:r>
              <w:t>6,48</w:t>
            </w:r>
          </w:p>
        </w:tc>
        <w:tc>
          <w:tcPr/>
          <w:p>
            <w:r>
              <w:t>5,97</w:t>
            </w:r>
          </w:p>
        </w:tc>
      </w:tr>
      <w:tr>
        <w:tc>
          <w:tcPr/>
          <w:p>
            <w:r>
              <w:t>Gravame indicativo + agregados</w:t>
            </w:r>
          </w:p>
        </w:tc>
        <w:tc>
          <w:tcPr/>
          <w:p>
            <w:r>
              <w:t>11,00</w:t>
            </w:r>
          </w:p>
        </w:tc>
        <w:tc>
          <w:tcPr/>
          <w:p>
            <w:r>
              <w:t>10,56</w:t>
            </w:r>
          </w:p>
        </w:tc>
        <w:tc>
          <w:tcPr/>
          <w:p>
            <w:r>
              <w:t>10,14</w:t>
            </w:r>
          </w:p>
        </w:tc>
        <w:tc>
          <w:tcPr/>
          <w:p>
            <w:r>
              <w:t>9,73</w:t>
            </w:r>
          </w:p>
        </w:tc>
        <w:tc>
          <w:tcPr/>
          <w:p>
            <w:r>
              <w:t>9,34</w:t>
            </w:r>
          </w:p>
        </w:tc>
        <w:tc>
          <w:tcPr/>
          <w:p>
            <w:r>
              <w:t>8,97</w:t>
            </w:r>
          </w:p>
        </w:tc>
        <w:tc>
          <w:tcPr/>
          <w:p>
            <w:r>
              <w:t>8,27</w:t>
            </w:r>
          </w:p>
        </w:tc>
      </w:tr>
      <w:tr>
        <w:tc>
          <w:tcPr/>
          <w:p>
            <w:r>
              <w:t>Confere RG/CNH</w:t>
            </w:r>
          </w:p>
        </w:tc>
        <w:tc>
          <w:tcPr/>
          <w:p>
            <w:r>
              <w:t>5,88</w:t>
            </w:r>
          </w:p>
        </w:tc>
        <w:tc>
          <w:tcPr/>
          <w:p>
            <w:r>
              <w:t>5,70</w:t>
            </w:r>
          </w:p>
        </w:tc>
        <w:tc>
          <w:tcPr/>
          <w:p>
            <w:r>
              <w:t>5,53</w:t>
            </w:r>
          </w:p>
        </w:tc>
        <w:tc>
          <w:tcPr/>
          <w:p>
            <w:r>
              <w:t>5,37</w:t>
            </w:r>
          </w:p>
        </w:tc>
        <w:tc>
          <w:tcPr/>
          <w:p>
            <w:r>
              <w:t>5,21</w:t>
            </w:r>
          </w:p>
        </w:tc>
        <w:tc>
          <w:tcPr/>
          <w:p>
            <w:r>
              <w:t>5,05</w:t>
            </w:r>
          </w:p>
        </w:tc>
        <w:tc>
          <w:tcPr/>
          <w:p>
            <w:r>
              <w:t>4,75</w:t>
            </w:r>
          </w:p>
        </w:tc>
      </w:tr>
      <w:tr>
        <w:tc>
          <w:tcPr/>
          <w:p>
            <w:r>
              <w:t>Precificador / decodificador</w:t>
            </w:r>
          </w:p>
        </w:tc>
        <w:tc>
          <w:tcPr/>
          <w:p>
            <w:r>
              <w:t>5,95</w:t>
            </w:r>
          </w:p>
        </w:tc>
        <w:tc>
          <w:tcPr/>
          <w:p>
            <w:r>
              <w:t>5,77</w:t>
            </w:r>
          </w:p>
        </w:tc>
        <w:tc>
          <w:tcPr/>
          <w:p>
            <w:r>
              <w:t>5,60</w:t>
            </w:r>
          </w:p>
        </w:tc>
        <w:tc>
          <w:tcPr/>
          <w:p>
            <w:r>
              <w:t>5,43</w:t>
            </w:r>
          </w:p>
        </w:tc>
        <w:tc>
          <w:tcPr/>
          <w:p>
            <w:r>
              <w:t>5,27</w:t>
            </w:r>
          </w:p>
        </w:tc>
        <w:tc>
          <w:tcPr/>
          <w:p>
            <w:r>
              <w:t>5,11</w:t>
            </w:r>
          </w:p>
        </w:tc>
        <w:tc>
          <w:tcPr/>
          <w:p>
            <w:r>
              <w:t>4,81</w:t>
            </w:r>
          </w:p>
        </w:tc>
      </w:tr>
      <w:tr>
        <w:tc>
          <w:tcPr/>
          <w:p>
            <w:r>
              <w:t>VIP Car — informação completa do veículo</w:t>
            </w:r>
          </w:p>
        </w:tc>
        <w:tc>
          <w:tcPr/>
          <w:p>
            <w:r>
              <w:t>55,30</w:t>
            </w:r>
          </w:p>
        </w:tc>
        <w:tc>
          <w:tcPr/>
          <w:p>
            <w:r>
              <w:t>53,64</w:t>
            </w:r>
          </w:p>
        </w:tc>
        <w:tc>
          <w:tcPr/>
          <w:p>
            <w:r>
              <w:t>52,03</w:t>
            </w:r>
          </w:p>
        </w:tc>
        <w:tc>
          <w:tcPr/>
          <w:p>
            <w:r>
              <w:t>50,47</w:t>
            </w:r>
          </w:p>
        </w:tc>
        <w:tc>
          <w:tcPr/>
          <w:p>
            <w:r>
              <w:t>48,96</w:t>
            </w:r>
          </w:p>
        </w:tc>
        <w:tc>
          <w:tcPr/>
          <w:p>
            <w:r>
              <w:t>47,49</w:t>
            </w:r>
          </w:p>
        </w:tc>
        <w:tc>
          <w:tcPr/>
          <w:p>
            <w:r>
              <w:t>44,68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Bullet">
    <w:name w:val="List Bullet"/>
  </w:style>
  <w:style w:type="paragraph" w:styleId="ListNumber">
    <w:name w:val="List Number"/>
  </w:style>
  <w:style w:type="paragraph" w:styleId="Quote">
    <w:name w:val="Quote"/>
  </w:style>
  <w:style w:type="paragraph" w:styleId="NoSpacing">
    <w:name w:val="No Spacing"/>
  </w:style>
  <w:style w:type="table" w:styleId="TableGrid">
    <w:name w:val="Table Grid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