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97"/>
        <w:gridCol w:w="1817"/>
        <w:gridCol w:w="1794"/>
        <w:gridCol w:w="1825"/>
        <w:gridCol w:w="1817"/>
      </w:tblGrid>
      <w:tr w:rsidR="00C65335" w:rsidTr="00C65335">
        <w:tc>
          <w:tcPr>
            <w:tcW w:w="1870" w:type="dxa"/>
          </w:tcPr>
          <w:p w:rsidR="00C65335" w:rsidRPr="00C65335" w:rsidRDefault="00C65335" w:rsidP="00C65335">
            <w:pPr>
              <w:jc w:val="center"/>
              <w:rPr>
                <w:b/>
                <w:sz w:val="28"/>
              </w:rPr>
            </w:pPr>
            <w:r w:rsidRPr="00C65335">
              <w:rPr>
                <w:b/>
                <w:sz w:val="28"/>
              </w:rPr>
              <w:t>Java</w:t>
            </w:r>
          </w:p>
        </w:tc>
        <w:tc>
          <w:tcPr>
            <w:tcW w:w="1870" w:type="dxa"/>
          </w:tcPr>
          <w:p w:rsidR="00C65335" w:rsidRPr="00C65335" w:rsidRDefault="00C65335" w:rsidP="00C65335">
            <w:pPr>
              <w:jc w:val="center"/>
              <w:rPr>
                <w:b/>
                <w:sz w:val="28"/>
              </w:rPr>
            </w:pPr>
            <w:r>
              <w:rPr>
                <w:b/>
                <w:sz w:val="28"/>
              </w:rPr>
              <w:t>ASP.net</w:t>
            </w:r>
          </w:p>
        </w:tc>
        <w:tc>
          <w:tcPr>
            <w:tcW w:w="1870" w:type="dxa"/>
          </w:tcPr>
          <w:p w:rsidR="00C65335" w:rsidRPr="00C65335" w:rsidRDefault="00C65335" w:rsidP="00C65335">
            <w:pPr>
              <w:jc w:val="center"/>
              <w:rPr>
                <w:b/>
                <w:sz w:val="28"/>
              </w:rPr>
            </w:pPr>
            <w:r>
              <w:rPr>
                <w:b/>
                <w:sz w:val="28"/>
              </w:rPr>
              <w:t>PHP</w:t>
            </w:r>
          </w:p>
        </w:tc>
        <w:tc>
          <w:tcPr>
            <w:tcW w:w="1870" w:type="dxa"/>
          </w:tcPr>
          <w:p w:rsidR="00C65335" w:rsidRPr="00C65335" w:rsidRDefault="00C65335" w:rsidP="00C65335">
            <w:pPr>
              <w:jc w:val="center"/>
              <w:rPr>
                <w:b/>
                <w:sz w:val="28"/>
              </w:rPr>
            </w:pPr>
            <w:r>
              <w:rPr>
                <w:b/>
                <w:sz w:val="28"/>
              </w:rPr>
              <w:t>Ruby</w:t>
            </w:r>
          </w:p>
        </w:tc>
        <w:tc>
          <w:tcPr>
            <w:tcW w:w="1870" w:type="dxa"/>
          </w:tcPr>
          <w:p w:rsidR="00C65335" w:rsidRPr="00C65335" w:rsidRDefault="00C65335" w:rsidP="00C65335">
            <w:pPr>
              <w:jc w:val="center"/>
              <w:rPr>
                <w:b/>
                <w:sz w:val="28"/>
              </w:rPr>
            </w:pPr>
            <w:r>
              <w:rPr>
                <w:b/>
                <w:sz w:val="28"/>
              </w:rPr>
              <w:t>Lisp</w:t>
            </w:r>
          </w:p>
        </w:tc>
      </w:tr>
      <w:tr w:rsidR="00C65335" w:rsidTr="00C65335">
        <w:tc>
          <w:tcPr>
            <w:tcW w:w="1870" w:type="dxa"/>
          </w:tcPr>
          <w:p w:rsidR="00C65335" w:rsidRDefault="00C65335" w:rsidP="00C65335">
            <w:pPr>
              <w:jc w:val="both"/>
            </w:pPr>
            <w:r>
              <w:t>-</w:t>
            </w:r>
            <w:r w:rsidRPr="00C65335">
              <w:t>Programming language "beautiful" is central to all developers that their products are not related to Microsoft (The developer focuses only on the outside of the .NET experience). Origins of the Java development is primarily from C and C + + but with a model object-oriented basic and more distinct. Java also is ranked first in the list of popular programming languages of TIOBE</w:t>
            </w:r>
            <w:r>
              <w:t>.</w:t>
            </w:r>
          </w:p>
          <w:p w:rsidR="00C65335" w:rsidRDefault="00C65335" w:rsidP="00C65335">
            <w:pPr>
              <w:jc w:val="both"/>
            </w:pPr>
            <w:r>
              <w:t>-</w:t>
            </w:r>
            <w:r w:rsidRPr="00C65335">
              <w:t>Currently, Java is used very widely, mostly written applications on the Internet (game, app or web functions) in order to exploit its full potential in the field of telecommunications, television, online, and individual computers. Java platform is also key to the formation and development of the Android operating system, Google Play app library, Amazon appstore or that we can use to design the app, mobile app developers.</w:t>
            </w:r>
          </w:p>
        </w:tc>
        <w:tc>
          <w:tcPr>
            <w:tcW w:w="1870" w:type="dxa"/>
          </w:tcPr>
          <w:p w:rsidR="00C65335" w:rsidRDefault="00C65335" w:rsidP="00C65335">
            <w:pPr>
              <w:jc w:val="both"/>
            </w:pPr>
            <w:r>
              <w:t>-</w:t>
            </w:r>
            <w:r w:rsidRPr="00C65335">
              <w:t>This language is an essential part of the .NET Framework, developers So that is creating products related to Microsoft, the C # language they share is used frequently in coding their lives.</w:t>
            </w:r>
          </w:p>
          <w:p w:rsidR="00C65335" w:rsidRDefault="00C65335" w:rsidP="00C65335">
            <w:pPr>
              <w:jc w:val="both"/>
            </w:pPr>
            <w:r>
              <w:t>-ASP.net is built on purpose to create one modern programming language, simple, purpose and object oriented.</w:t>
            </w:r>
          </w:p>
          <w:p w:rsidR="00C65335" w:rsidRDefault="00C65335" w:rsidP="00C65335">
            <w:pPr>
              <w:jc w:val="both"/>
            </w:pPr>
            <w:r>
              <w:t>-ASP.net programmers are used to build software applications on OS window, platform .NET framework</w:t>
            </w:r>
          </w:p>
        </w:tc>
        <w:tc>
          <w:tcPr>
            <w:tcW w:w="1870" w:type="dxa"/>
          </w:tcPr>
          <w:p w:rsidR="00C65335" w:rsidRDefault="00C65335" w:rsidP="00C65335">
            <w:pPr>
              <w:jc w:val="both"/>
            </w:pPr>
            <w:r>
              <w:t>-</w:t>
            </w:r>
            <w:r w:rsidRPr="00C65335">
              <w:t>It is a common language, was sixth in the list of TIOBE. High speed PHP scripting with caching, augmented with compiled code plug-ins (such as can be done with Perl and PHP). PHP is a language that is looking forward to the future with the explosion of the popularity of your web page can be viewed at website design joint purchasing.</w:t>
            </w:r>
          </w:p>
        </w:tc>
        <w:tc>
          <w:tcPr>
            <w:tcW w:w="1870" w:type="dxa"/>
          </w:tcPr>
          <w:p w:rsidR="00C65335" w:rsidRDefault="00C65335" w:rsidP="00C65335">
            <w:pPr>
              <w:jc w:val="both"/>
            </w:pPr>
            <w:r>
              <w:t>-Ruby is a programming language object-oriented, capable of mapping. Syntax affected by Ada and Perl with characteristics of Smalltalk object-oriented, and also share some characteristics in common with Python, Lisp, Dylan and CLU. Ruby is the language interpreter single phase.</w:t>
            </w:r>
          </w:p>
          <w:p w:rsidR="00C65335" w:rsidRDefault="00C65335" w:rsidP="00C65335">
            <w:pPr>
              <w:jc w:val="both"/>
            </w:pPr>
            <w:r>
              <w:t>-Ruby provides programming model, including functional programming, object-oriented, imperative, reflexes. It uses a type system and automatic changes memory management.</w:t>
            </w:r>
          </w:p>
        </w:tc>
        <w:tc>
          <w:tcPr>
            <w:tcW w:w="1870" w:type="dxa"/>
          </w:tcPr>
          <w:p w:rsidR="00C65335" w:rsidRDefault="00C65335" w:rsidP="00C65335">
            <w:pPr>
              <w:jc w:val="both"/>
            </w:pPr>
            <w:r>
              <w:t>-Lisp is a programming language data structure platform is the linked list (a linked list). Lisp is known as one of the programming language typical function, although sometimes still be writing Lisp programs towards procedures. On the form, the command syntax is very special Lisp with parentheses and prefix notation written.</w:t>
            </w:r>
          </w:p>
          <w:p w:rsidR="00C65335" w:rsidRDefault="00C65335" w:rsidP="00C65335">
            <w:pPr>
              <w:jc w:val="both"/>
            </w:pPr>
            <w:r>
              <w:t>-Lisp is dedicated language in the industry of artificial intelligence in the United States. Even in the United States affected by it are crowding out other commonly used language in the field of artificial intelligence is Prolog.</w:t>
            </w:r>
          </w:p>
        </w:tc>
      </w:tr>
    </w:tbl>
    <w:p w:rsidR="0059462E" w:rsidRDefault="0059462E" w:rsidP="00C65335"/>
    <w:p w:rsidR="0059462E" w:rsidRDefault="0059462E" w:rsidP="00C65335"/>
    <w:tbl>
      <w:tblPr>
        <w:tblStyle w:val="TableGrid"/>
        <w:tblW w:w="0" w:type="auto"/>
        <w:tblLook w:val="04A0" w:firstRow="1" w:lastRow="0" w:firstColumn="1" w:lastColumn="0" w:noHBand="0" w:noVBand="1"/>
      </w:tblPr>
      <w:tblGrid>
        <w:gridCol w:w="1559"/>
        <w:gridCol w:w="1559"/>
        <w:gridCol w:w="1558"/>
        <w:gridCol w:w="1558"/>
        <w:gridCol w:w="1558"/>
        <w:gridCol w:w="1558"/>
      </w:tblGrid>
      <w:tr w:rsidR="0059462E" w:rsidTr="0059462E">
        <w:tc>
          <w:tcPr>
            <w:tcW w:w="1559" w:type="dxa"/>
          </w:tcPr>
          <w:p w:rsidR="0059462E" w:rsidRDefault="0059462E" w:rsidP="00C65335"/>
        </w:tc>
        <w:tc>
          <w:tcPr>
            <w:tcW w:w="1559" w:type="dxa"/>
          </w:tcPr>
          <w:p w:rsidR="0059462E" w:rsidRPr="00622E03" w:rsidRDefault="0059462E" w:rsidP="00622E03">
            <w:pPr>
              <w:jc w:val="center"/>
              <w:rPr>
                <w:b/>
              </w:rPr>
            </w:pPr>
            <w:r w:rsidRPr="00622E03">
              <w:rPr>
                <w:b/>
              </w:rPr>
              <w:t>Java</w:t>
            </w:r>
          </w:p>
        </w:tc>
        <w:tc>
          <w:tcPr>
            <w:tcW w:w="1558" w:type="dxa"/>
          </w:tcPr>
          <w:p w:rsidR="0059462E" w:rsidRPr="00622E03" w:rsidRDefault="0059462E" w:rsidP="00622E03">
            <w:pPr>
              <w:jc w:val="center"/>
              <w:rPr>
                <w:b/>
              </w:rPr>
            </w:pPr>
            <w:r w:rsidRPr="00622E03">
              <w:rPr>
                <w:b/>
              </w:rPr>
              <w:t>ASP.net</w:t>
            </w:r>
          </w:p>
        </w:tc>
        <w:tc>
          <w:tcPr>
            <w:tcW w:w="1558" w:type="dxa"/>
          </w:tcPr>
          <w:p w:rsidR="0059462E" w:rsidRPr="00622E03" w:rsidRDefault="0059462E" w:rsidP="00622E03">
            <w:pPr>
              <w:jc w:val="center"/>
              <w:rPr>
                <w:b/>
              </w:rPr>
            </w:pPr>
            <w:r w:rsidRPr="00622E03">
              <w:rPr>
                <w:b/>
              </w:rPr>
              <w:t>PHP</w:t>
            </w:r>
          </w:p>
        </w:tc>
        <w:tc>
          <w:tcPr>
            <w:tcW w:w="1558" w:type="dxa"/>
          </w:tcPr>
          <w:p w:rsidR="0059462E" w:rsidRPr="00622E03" w:rsidRDefault="0059462E" w:rsidP="00622E03">
            <w:pPr>
              <w:jc w:val="center"/>
              <w:rPr>
                <w:b/>
              </w:rPr>
            </w:pPr>
            <w:r w:rsidRPr="00622E03">
              <w:rPr>
                <w:b/>
              </w:rPr>
              <w:t>Ruby</w:t>
            </w:r>
          </w:p>
        </w:tc>
        <w:tc>
          <w:tcPr>
            <w:tcW w:w="1558" w:type="dxa"/>
          </w:tcPr>
          <w:p w:rsidR="0059462E" w:rsidRPr="00622E03" w:rsidRDefault="0059462E" w:rsidP="00622E03">
            <w:pPr>
              <w:jc w:val="center"/>
              <w:rPr>
                <w:b/>
              </w:rPr>
            </w:pPr>
            <w:r w:rsidRPr="00622E03">
              <w:rPr>
                <w:b/>
              </w:rPr>
              <w:t>Lisp</w:t>
            </w:r>
          </w:p>
        </w:tc>
      </w:tr>
      <w:tr w:rsidR="0059462E" w:rsidTr="0059462E">
        <w:tc>
          <w:tcPr>
            <w:tcW w:w="1559" w:type="dxa"/>
          </w:tcPr>
          <w:p w:rsidR="0059462E" w:rsidRPr="00622E03" w:rsidRDefault="0059462E" w:rsidP="00C65335">
            <w:pPr>
              <w:rPr>
                <w:b/>
                <w:i/>
              </w:rPr>
            </w:pPr>
            <w:r w:rsidRPr="00622E03">
              <w:rPr>
                <w:b/>
                <w:i/>
              </w:rPr>
              <w:t>Runs on OS</w:t>
            </w:r>
          </w:p>
        </w:tc>
        <w:tc>
          <w:tcPr>
            <w:tcW w:w="1559" w:type="dxa"/>
          </w:tcPr>
          <w:p w:rsidR="0059462E" w:rsidRDefault="0059462E" w:rsidP="00622E03">
            <w:pPr>
              <w:jc w:val="center"/>
            </w:pPr>
            <w:r>
              <w:t>5</w:t>
            </w:r>
          </w:p>
        </w:tc>
        <w:tc>
          <w:tcPr>
            <w:tcW w:w="1558" w:type="dxa"/>
          </w:tcPr>
          <w:p w:rsidR="0059462E" w:rsidRDefault="0059462E" w:rsidP="00622E03">
            <w:pPr>
              <w:jc w:val="center"/>
            </w:pPr>
            <w:r>
              <w:t>4</w:t>
            </w:r>
          </w:p>
        </w:tc>
        <w:tc>
          <w:tcPr>
            <w:tcW w:w="1558" w:type="dxa"/>
          </w:tcPr>
          <w:p w:rsidR="0059462E" w:rsidRDefault="00622E03" w:rsidP="00622E03">
            <w:pPr>
              <w:jc w:val="center"/>
            </w:pPr>
            <w:r>
              <w:t>5</w:t>
            </w:r>
          </w:p>
        </w:tc>
        <w:tc>
          <w:tcPr>
            <w:tcW w:w="1558" w:type="dxa"/>
          </w:tcPr>
          <w:p w:rsidR="0059462E" w:rsidRDefault="0059462E" w:rsidP="00622E03">
            <w:pPr>
              <w:jc w:val="center"/>
            </w:pPr>
            <w:r>
              <w:t>3</w:t>
            </w:r>
          </w:p>
        </w:tc>
        <w:tc>
          <w:tcPr>
            <w:tcW w:w="1558" w:type="dxa"/>
          </w:tcPr>
          <w:p w:rsidR="0059462E" w:rsidRDefault="0059462E" w:rsidP="00622E03">
            <w:pPr>
              <w:jc w:val="center"/>
            </w:pPr>
            <w:r>
              <w:t>3</w:t>
            </w:r>
          </w:p>
        </w:tc>
      </w:tr>
      <w:tr w:rsidR="0059462E" w:rsidTr="0059462E">
        <w:tc>
          <w:tcPr>
            <w:tcW w:w="1559" w:type="dxa"/>
          </w:tcPr>
          <w:p w:rsidR="0059462E" w:rsidRPr="00622E03" w:rsidRDefault="0059462E" w:rsidP="00C65335">
            <w:pPr>
              <w:rPr>
                <w:b/>
                <w:i/>
              </w:rPr>
            </w:pPr>
            <w:r w:rsidRPr="00622E03">
              <w:rPr>
                <w:b/>
                <w:i/>
              </w:rPr>
              <w:t>Multiple framework</w:t>
            </w:r>
          </w:p>
        </w:tc>
        <w:tc>
          <w:tcPr>
            <w:tcW w:w="1559" w:type="dxa"/>
          </w:tcPr>
          <w:p w:rsidR="0059462E" w:rsidRDefault="0059462E" w:rsidP="00622E03">
            <w:pPr>
              <w:jc w:val="center"/>
            </w:pPr>
            <w:r>
              <w:t>2</w:t>
            </w:r>
          </w:p>
        </w:tc>
        <w:tc>
          <w:tcPr>
            <w:tcW w:w="1558" w:type="dxa"/>
          </w:tcPr>
          <w:p w:rsidR="0059462E" w:rsidRDefault="0059462E" w:rsidP="00622E03">
            <w:pPr>
              <w:jc w:val="center"/>
            </w:pPr>
            <w:r>
              <w:t>5</w:t>
            </w:r>
          </w:p>
        </w:tc>
        <w:tc>
          <w:tcPr>
            <w:tcW w:w="1558" w:type="dxa"/>
          </w:tcPr>
          <w:p w:rsidR="0059462E" w:rsidRDefault="0059462E" w:rsidP="00622E03">
            <w:pPr>
              <w:jc w:val="center"/>
            </w:pPr>
            <w:r>
              <w:t>4</w:t>
            </w:r>
          </w:p>
        </w:tc>
        <w:tc>
          <w:tcPr>
            <w:tcW w:w="1558" w:type="dxa"/>
          </w:tcPr>
          <w:p w:rsidR="0059462E" w:rsidRDefault="0059462E" w:rsidP="00622E03">
            <w:pPr>
              <w:jc w:val="center"/>
            </w:pPr>
            <w:r>
              <w:t>3</w:t>
            </w:r>
          </w:p>
        </w:tc>
        <w:tc>
          <w:tcPr>
            <w:tcW w:w="1558" w:type="dxa"/>
          </w:tcPr>
          <w:p w:rsidR="0059462E" w:rsidRDefault="0059462E" w:rsidP="00622E03">
            <w:pPr>
              <w:jc w:val="center"/>
            </w:pPr>
            <w:r>
              <w:t>3</w:t>
            </w:r>
          </w:p>
        </w:tc>
      </w:tr>
      <w:tr w:rsidR="0059462E" w:rsidTr="0059462E">
        <w:tc>
          <w:tcPr>
            <w:tcW w:w="1559" w:type="dxa"/>
          </w:tcPr>
          <w:p w:rsidR="0059462E" w:rsidRPr="00622E03" w:rsidRDefault="0059462E" w:rsidP="00C65335">
            <w:pPr>
              <w:rPr>
                <w:b/>
                <w:i/>
              </w:rPr>
            </w:pPr>
            <w:r w:rsidRPr="00622E03">
              <w:rPr>
                <w:b/>
                <w:i/>
              </w:rPr>
              <w:t>License costs</w:t>
            </w:r>
          </w:p>
        </w:tc>
        <w:tc>
          <w:tcPr>
            <w:tcW w:w="1559" w:type="dxa"/>
          </w:tcPr>
          <w:p w:rsidR="0059462E" w:rsidRDefault="0059462E" w:rsidP="00622E03">
            <w:pPr>
              <w:jc w:val="center"/>
            </w:pPr>
            <w:r>
              <w:t>5</w:t>
            </w:r>
          </w:p>
        </w:tc>
        <w:tc>
          <w:tcPr>
            <w:tcW w:w="1558" w:type="dxa"/>
          </w:tcPr>
          <w:p w:rsidR="0059462E" w:rsidRDefault="0059462E" w:rsidP="00622E03">
            <w:pPr>
              <w:jc w:val="center"/>
            </w:pPr>
            <w:r>
              <w:t>4</w:t>
            </w:r>
          </w:p>
        </w:tc>
        <w:tc>
          <w:tcPr>
            <w:tcW w:w="1558" w:type="dxa"/>
          </w:tcPr>
          <w:p w:rsidR="0059462E" w:rsidRDefault="0059462E" w:rsidP="00622E03">
            <w:pPr>
              <w:jc w:val="center"/>
            </w:pPr>
            <w:r>
              <w:t>5</w:t>
            </w:r>
          </w:p>
        </w:tc>
        <w:tc>
          <w:tcPr>
            <w:tcW w:w="1558" w:type="dxa"/>
          </w:tcPr>
          <w:p w:rsidR="0059462E" w:rsidRDefault="0059462E" w:rsidP="00622E03">
            <w:pPr>
              <w:jc w:val="center"/>
            </w:pPr>
            <w:r>
              <w:t>2</w:t>
            </w:r>
          </w:p>
        </w:tc>
        <w:tc>
          <w:tcPr>
            <w:tcW w:w="1558" w:type="dxa"/>
          </w:tcPr>
          <w:p w:rsidR="0059462E" w:rsidRDefault="0059462E" w:rsidP="00622E03">
            <w:pPr>
              <w:jc w:val="center"/>
            </w:pPr>
            <w:r>
              <w:t>2</w:t>
            </w:r>
          </w:p>
        </w:tc>
      </w:tr>
      <w:tr w:rsidR="0059462E" w:rsidTr="0059462E">
        <w:tc>
          <w:tcPr>
            <w:tcW w:w="1559" w:type="dxa"/>
          </w:tcPr>
          <w:p w:rsidR="0059462E" w:rsidRPr="00622E03" w:rsidRDefault="0059462E" w:rsidP="00C65335">
            <w:pPr>
              <w:rPr>
                <w:b/>
                <w:i/>
              </w:rPr>
            </w:pPr>
            <w:r w:rsidRPr="00622E03">
              <w:rPr>
                <w:b/>
                <w:i/>
              </w:rPr>
              <w:t>Use convenient</w:t>
            </w:r>
          </w:p>
        </w:tc>
        <w:tc>
          <w:tcPr>
            <w:tcW w:w="1559" w:type="dxa"/>
          </w:tcPr>
          <w:p w:rsidR="0059462E" w:rsidRDefault="0059462E" w:rsidP="00622E03">
            <w:pPr>
              <w:jc w:val="center"/>
            </w:pPr>
            <w:r>
              <w:t>4</w:t>
            </w:r>
          </w:p>
        </w:tc>
        <w:tc>
          <w:tcPr>
            <w:tcW w:w="1558" w:type="dxa"/>
          </w:tcPr>
          <w:p w:rsidR="0059462E" w:rsidRDefault="0059462E" w:rsidP="00622E03">
            <w:pPr>
              <w:jc w:val="center"/>
            </w:pPr>
            <w:r>
              <w:t>5</w:t>
            </w:r>
          </w:p>
        </w:tc>
        <w:tc>
          <w:tcPr>
            <w:tcW w:w="1558" w:type="dxa"/>
          </w:tcPr>
          <w:p w:rsidR="0059462E" w:rsidRDefault="0059462E" w:rsidP="00622E03">
            <w:pPr>
              <w:jc w:val="center"/>
            </w:pPr>
            <w:r>
              <w:t>4</w:t>
            </w:r>
          </w:p>
        </w:tc>
        <w:tc>
          <w:tcPr>
            <w:tcW w:w="1558" w:type="dxa"/>
          </w:tcPr>
          <w:p w:rsidR="0059462E" w:rsidRDefault="0059462E" w:rsidP="00622E03">
            <w:pPr>
              <w:jc w:val="center"/>
            </w:pPr>
            <w:r>
              <w:t>4</w:t>
            </w:r>
          </w:p>
        </w:tc>
        <w:tc>
          <w:tcPr>
            <w:tcW w:w="1558" w:type="dxa"/>
          </w:tcPr>
          <w:p w:rsidR="0059462E" w:rsidRDefault="0059462E" w:rsidP="00622E03">
            <w:pPr>
              <w:jc w:val="center"/>
            </w:pPr>
            <w:r>
              <w:t>4</w:t>
            </w:r>
          </w:p>
        </w:tc>
      </w:tr>
      <w:tr w:rsidR="0059462E" w:rsidTr="0059462E">
        <w:tc>
          <w:tcPr>
            <w:tcW w:w="1559" w:type="dxa"/>
          </w:tcPr>
          <w:p w:rsidR="0059462E" w:rsidRPr="00622E03" w:rsidRDefault="0059462E" w:rsidP="00C65335">
            <w:pPr>
              <w:rPr>
                <w:b/>
                <w:i/>
              </w:rPr>
            </w:pPr>
            <w:r w:rsidRPr="00622E03">
              <w:rPr>
                <w:b/>
                <w:i/>
              </w:rPr>
              <w:t>Common</w:t>
            </w:r>
          </w:p>
        </w:tc>
        <w:tc>
          <w:tcPr>
            <w:tcW w:w="1559" w:type="dxa"/>
          </w:tcPr>
          <w:p w:rsidR="0059462E" w:rsidRDefault="00622E03" w:rsidP="00622E03">
            <w:pPr>
              <w:jc w:val="center"/>
            </w:pPr>
            <w:r>
              <w:t>3</w:t>
            </w:r>
          </w:p>
        </w:tc>
        <w:tc>
          <w:tcPr>
            <w:tcW w:w="1558" w:type="dxa"/>
          </w:tcPr>
          <w:p w:rsidR="0059462E" w:rsidRDefault="00622E03" w:rsidP="00622E03">
            <w:pPr>
              <w:jc w:val="center"/>
            </w:pPr>
            <w:r>
              <w:t>5</w:t>
            </w:r>
          </w:p>
        </w:tc>
        <w:tc>
          <w:tcPr>
            <w:tcW w:w="1558" w:type="dxa"/>
          </w:tcPr>
          <w:p w:rsidR="0059462E" w:rsidRDefault="00622E03" w:rsidP="00622E03">
            <w:pPr>
              <w:jc w:val="center"/>
            </w:pPr>
            <w:r>
              <w:t>5</w:t>
            </w:r>
          </w:p>
        </w:tc>
        <w:tc>
          <w:tcPr>
            <w:tcW w:w="1558" w:type="dxa"/>
          </w:tcPr>
          <w:p w:rsidR="0059462E" w:rsidRDefault="00622E03" w:rsidP="00622E03">
            <w:pPr>
              <w:jc w:val="center"/>
            </w:pPr>
            <w:r>
              <w:t>3</w:t>
            </w:r>
          </w:p>
        </w:tc>
        <w:tc>
          <w:tcPr>
            <w:tcW w:w="1558" w:type="dxa"/>
          </w:tcPr>
          <w:p w:rsidR="0059462E" w:rsidRDefault="00622E03" w:rsidP="00622E03">
            <w:pPr>
              <w:jc w:val="center"/>
            </w:pPr>
            <w:r>
              <w:t>3</w:t>
            </w:r>
          </w:p>
        </w:tc>
      </w:tr>
      <w:tr w:rsidR="00622E03" w:rsidTr="0059462E">
        <w:tc>
          <w:tcPr>
            <w:tcW w:w="1559" w:type="dxa"/>
          </w:tcPr>
          <w:p w:rsidR="00622E03" w:rsidRPr="00622E03" w:rsidRDefault="00622E03" w:rsidP="00C65335">
            <w:pPr>
              <w:rPr>
                <w:b/>
                <w:i/>
              </w:rPr>
            </w:pPr>
            <w:r>
              <w:rPr>
                <w:b/>
                <w:i/>
              </w:rPr>
              <w:t>Total</w:t>
            </w:r>
          </w:p>
        </w:tc>
        <w:tc>
          <w:tcPr>
            <w:tcW w:w="1559" w:type="dxa"/>
          </w:tcPr>
          <w:p w:rsidR="00622E03" w:rsidRDefault="00622E03" w:rsidP="00622E03">
            <w:pPr>
              <w:jc w:val="center"/>
            </w:pPr>
            <w:r>
              <w:t>19</w:t>
            </w:r>
          </w:p>
        </w:tc>
        <w:tc>
          <w:tcPr>
            <w:tcW w:w="1558" w:type="dxa"/>
          </w:tcPr>
          <w:p w:rsidR="00622E03" w:rsidRPr="00622E03" w:rsidRDefault="00622E03" w:rsidP="00622E03">
            <w:pPr>
              <w:jc w:val="center"/>
              <w:rPr>
                <w:color w:val="FF0000"/>
              </w:rPr>
            </w:pPr>
            <w:r w:rsidRPr="00622E03">
              <w:rPr>
                <w:color w:val="FF0000"/>
              </w:rPr>
              <w:t>23</w:t>
            </w:r>
          </w:p>
        </w:tc>
        <w:tc>
          <w:tcPr>
            <w:tcW w:w="1558" w:type="dxa"/>
          </w:tcPr>
          <w:p w:rsidR="00622E03" w:rsidRPr="00622E03" w:rsidRDefault="00622E03" w:rsidP="00622E03">
            <w:pPr>
              <w:jc w:val="center"/>
              <w:rPr>
                <w:color w:val="FF0000"/>
              </w:rPr>
            </w:pPr>
            <w:r w:rsidRPr="00622E03">
              <w:rPr>
                <w:color w:val="FF0000"/>
              </w:rPr>
              <w:t>23</w:t>
            </w:r>
          </w:p>
        </w:tc>
        <w:tc>
          <w:tcPr>
            <w:tcW w:w="1558" w:type="dxa"/>
          </w:tcPr>
          <w:p w:rsidR="00622E03" w:rsidRDefault="00622E03" w:rsidP="00622E03">
            <w:pPr>
              <w:jc w:val="center"/>
            </w:pPr>
            <w:r>
              <w:t>15</w:t>
            </w:r>
          </w:p>
        </w:tc>
        <w:tc>
          <w:tcPr>
            <w:tcW w:w="1558" w:type="dxa"/>
          </w:tcPr>
          <w:p w:rsidR="00622E03" w:rsidRDefault="00622E03" w:rsidP="00622E03">
            <w:pPr>
              <w:jc w:val="center"/>
            </w:pPr>
            <w:r>
              <w:t>15</w:t>
            </w:r>
          </w:p>
        </w:tc>
      </w:tr>
    </w:tbl>
    <w:p w:rsidR="00622E03" w:rsidRDefault="00622E03" w:rsidP="00C65335"/>
    <w:p w:rsidR="00BE4AEF" w:rsidRPr="00BE4AEF" w:rsidRDefault="00BE4AEF" w:rsidP="00C65335">
      <w:pPr>
        <w:rPr>
          <w:b/>
        </w:rPr>
      </w:pPr>
      <w:r w:rsidRPr="00BE4AEF">
        <w:rPr>
          <w:b/>
        </w:rPr>
        <w:t xml:space="preserve">References: </w:t>
      </w:r>
    </w:p>
    <w:p w:rsidR="00BE4AEF" w:rsidRDefault="002F284B" w:rsidP="00C65335">
      <w:hyperlink r:id="rId5" w:history="1">
        <w:r w:rsidR="00BE4AEF" w:rsidRPr="00420F76">
          <w:rPr>
            <w:rStyle w:val="Hyperlink"/>
          </w:rPr>
          <w:t>http://ftico.fpt.edu.vn/15-ng%C3%B4n-ng%E1%BB%AF-l%E1%BA%ADp-tr%C3%ACnh-thi%E1%BA%BFt-k%E1%BA%BF-web-ph%E1%BB%95-bi%E1%BA%BFn-nh%E1%BA%A5t.aspx</w:t>
        </w:r>
      </w:hyperlink>
    </w:p>
    <w:p w:rsidR="00BE4AEF" w:rsidRDefault="002F284B" w:rsidP="00C65335">
      <w:hyperlink r:id="rId6" w:history="1">
        <w:r w:rsidR="00BE4AEF" w:rsidRPr="00420F76">
          <w:rPr>
            <w:rStyle w:val="Hyperlink"/>
          </w:rPr>
          <w:t>http://webtienich.vn/so-sanh-thiet-ke-web-voi-3-ngon-ngu-lap-trinh-pho-bien/n2824.html</w:t>
        </w:r>
      </w:hyperlink>
    </w:p>
    <w:p w:rsidR="00BE4AEF" w:rsidRDefault="002F284B" w:rsidP="00C65335">
      <w:hyperlink r:id="rId7" w:history="1">
        <w:r w:rsidR="00BE4AEF" w:rsidRPr="00420F76">
          <w:rPr>
            <w:rStyle w:val="Hyperlink"/>
          </w:rPr>
          <w:t>http://itplus-academy.edu.vn/10-Ngon-ngu-lap-trinh-giup-ban-co-co-hoi-san-viec-luong-cao.html</w:t>
        </w:r>
      </w:hyperlink>
    </w:p>
    <w:p w:rsidR="00BE4AEF" w:rsidRDefault="002F284B" w:rsidP="00C65335">
      <w:hyperlink r:id="rId8" w:history="1">
        <w:r w:rsidR="00BE4AEF" w:rsidRPr="00420F76">
          <w:rPr>
            <w:rStyle w:val="Hyperlink"/>
          </w:rPr>
          <w:t>http://genk.vn/top-15-ngon-ngu-lap-trinh-pho-bien-nhat-the-gioi-ban-da-biet-het-chua-20160916131206725.chn</w:t>
        </w:r>
      </w:hyperlink>
    </w:p>
    <w:p w:rsidR="00622E03" w:rsidRPr="00622E03" w:rsidRDefault="00622E03" w:rsidP="00C65335">
      <w:pPr>
        <w:rPr>
          <w:b/>
        </w:rPr>
      </w:pPr>
      <w:r w:rsidRPr="00622E03">
        <w:rPr>
          <w:b/>
        </w:rPr>
        <w:t>Evaluation Criteria:</w:t>
      </w:r>
    </w:p>
    <w:p w:rsidR="00622E03" w:rsidRDefault="00622E03" w:rsidP="000A6EE0">
      <w:pPr>
        <w:pStyle w:val="ListParagraph"/>
        <w:numPr>
          <w:ilvl w:val="0"/>
          <w:numId w:val="2"/>
        </w:numPr>
      </w:pPr>
      <w:r>
        <w:t xml:space="preserve">1: </w:t>
      </w:r>
      <w:r w:rsidR="000A6EE0">
        <w:t>C</w:t>
      </w:r>
      <w:r w:rsidR="000A6EE0" w:rsidRPr="000A6EE0">
        <w:t>ompletely unsatisfied</w:t>
      </w:r>
    </w:p>
    <w:p w:rsidR="00622E03" w:rsidRDefault="00622E03" w:rsidP="000A6EE0">
      <w:pPr>
        <w:pStyle w:val="ListParagraph"/>
        <w:numPr>
          <w:ilvl w:val="0"/>
          <w:numId w:val="2"/>
        </w:numPr>
      </w:pPr>
      <w:r>
        <w:t xml:space="preserve">2: </w:t>
      </w:r>
      <w:r w:rsidR="000A6EE0">
        <w:t>D</w:t>
      </w:r>
      <w:r w:rsidR="000A6EE0" w:rsidRPr="000A6EE0">
        <w:t>issatisfaction</w:t>
      </w:r>
    </w:p>
    <w:p w:rsidR="00622E03" w:rsidRDefault="00622E03" w:rsidP="00622E03">
      <w:pPr>
        <w:pStyle w:val="ListParagraph"/>
        <w:numPr>
          <w:ilvl w:val="0"/>
          <w:numId w:val="2"/>
        </w:numPr>
      </w:pPr>
      <w:r>
        <w:t xml:space="preserve">3: </w:t>
      </w:r>
      <w:r w:rsidRPr="00622E03">
        <w:t>Normal</w:t>
      </w:r>
    </w:p>
    <w:p w:rsidR="00622E03" w:rsidRDefault="00622E03" w:rsidP="00622E03">
      <w:pPr>
        <w:pStyle w:val="ListParagraph"/>
        <w:numPr>
          <w:ilvl w:val="0"/>
          <w:numId w:val="2"/>
        </w:numPr>
      </w:pPr>
      <w:r>
        <w:t xml:space="preserve">4: </w:t>
      </w:r>
      <w:r w:rsidRPr="00622E03">
        <w:t>Satisfied</w:t>
      </w:r>
    </w:p>
    <w:p w:rsidR="00622E03" w:rsidRDefault="00622E03" w:rsidP="00622E03">
      <w:pPr>
        <w:pStyle w:val="ListParagraph"/>
        <w:numPr>
          <w:ilvl w:val="0"/>
          <w:numId w:val="2"/>
        </w:numPr>
      </w:pPr>
      <w:r>
        <w:t xml:space="preserve">5: </w:t>
      </w:r>
      <w:r w:rsidRPr="00622E03">
        <w:t>Very satisfied</w:t>
      </w:r>
    </w:p>
    <w:p w:rsidR="00622E03" w:rsidRDefault="00622E03" w:rsidP="00622E03">
      <w:r w:rsidRPr="00622E03">
        <w:t>We take the point evaluation criteria based on the feedback satisfied using the programming language.</w:t>
      </w:r>
      <w:r>
        <w:t xml:space="preserve"> </w:t>
      </w:r>
      <w:r w:rsidRPr="00622E03">
        <w:t>On sites offer</w:t>
      </w:r>
      <w:r>
        <w:t>.</w:t>
      </w:r>
    </w:p>
    <w:p w:rsidR="002F284B" w:rsidRDefault="002F284B" w:rsidP="00622E03"/>
    <w:tbl>
      <w:tblPr>
        <w:tblW w:w="9346" w:type="dxa"/>
        <w:tblCellMar>
          <w:left w:w="0" w:type="dxa"/>
          <w:right w:w="0" w:type="dxa"/>
        </w:tblCellMar>
        <w:tblLook w:val="04A0" w:firstRow="1" w:lastRow="0" w:firstColumn="1" w:lastColumn="0" w:noHBand="0" w:noVBand="1"/>
      </w:tblPr>
      <w:tblGrid>
        <w:gridCol w:w="2684"/>
        <w:gridCol w:w="3118"/>
        <w:gridCol w:w="3544"/>
      </w:tblGrid>
      <w:tr w:rsidR="002F284B" w:rsidRPr="00582F22" w:rsidTr="00004824">
        <w:tc>
          <w:tcPr>
            <w:tcW w:w="2684" w:type="dxa"/>
            <w:tcBorders>
              <w:top w:val="single" w:sz="8" w:space="0" w:color="auto"/>
              <w:left w:val="single" w:sz="8" w:space="0" w:color="auto"/>
              <w:bottom w:val="single" w:sz="8" w:space="0" w:color="auto"/>
              <w:right w:val="single" w:sz="8" w:space="0" w:color="auto"/>
            </w:tcBorders>
            <w:shd w:val="clear" w:color="auto" w:fill="D9D9D9"/>
            <w:tcMar>
              <w:top w:w="58" w:type="dxa"/>
              <w:left w:w="115" w:type="dxa"/>
              <w:bottom w:w="58" w:type="dxa"/>
              <w:right w:w="115" w:type="dxa"/>
            </w:tcMar>
            <w:hideMark/>
          </w:tcPr>
          <w:p w:rsidR="002F284B" w:rsidRPr="00582F22" w:rsidRDefault="002F284B" w:rsidP="00004824">
            <w:pPr>
              <w:spacing w:line="240" w:lineRule="auto"/>
              <w:jc w:val="center"/>
              <w:rPr>
                <w:rFonts w:ascii="Arial" w:hAnsi="Arial" w:cs="Arial"/>
                <w:b/>
                <w:sz w:val="20"/>
                <w:szCs w:val="20"/>
              </w:rPr>
            </w:pPr>
            <w:r w:rsidRPr="00582F22">
              <w:rPr>
                <w:rFonts w:ascii="Arial" w:hAnsi="Arial" w:cs="Arial"/>
                <w:b/>
                <w:sz w:val="20"/>
                <w:szCs w:val="20"/>
              </w:rPr>
              <w:t>Area</w:t>
            </w:r>
          </w:p>
        </w:tc>
        <w:tc>
          <w:tcPr>
            <w:tcW w:w="3118" w:type="dxa"/>
            <w:tcBorders>
              <w:top w:val="single" w:sz="8" w:space="0" w:color="auto"/>
              <w:left w:val="nil"/>
              <w:bottom w:val="single" w:sz="8" w:space="0" w:color="auto"/>
              <w:right w:val="single" w:sz="8" w:space="0" w:color="auto"/>
            </w:tcBorders>
            <w:shd w:val="clear" w:color="auto" w:fill="D9D9D9"/>
            <w:tcMar>
              <w:top w:w="58" w:type="dxa"/>
              <w:left w:w="115" w:type="dxa"/>
              <w:bottom w:w="58" w:type="dxa"/>
              <w:right w:w="115" w:type="dxa"/>
            </w:tcMar>
            <w:hideMark/>
          </w:tcPr>
          <w:p w:rsidR="002F284B" w:rsidRPr="00582F22" w:rsidRDefault="002F284B" w:rsidP="00004824">
            <w:pPr>
              <w:spacing w:line="240" w:lineRule="auto"/>
              <w:jc w:val="center"/>
              <w:rPr>
                <w:rFonts w:ascii="Arial" w:hAnsi="Arial" w:cs="Arial"/>
                <w:b/>
                <w:sz w:val="20"/>
                <w:szCs w:val="20"/>
              </w:rPr>
            </w:pPr>
            <w:r w:rsidRPr="00582F22">
              <w:rPr>
                <w:rFonts w:ascii="Arial" w:hAnsi="Arial" w:cs="Arial"/>
                <w:b/>
                <w:sz w:val="20"/>
                <w:szCs w:val="20"/>
              </w:rPr>
              <w:t>LAMP (PHP)</w:t>
            </w:r>
          </w:p>
        </w:tc>
        <w:tc>
          <w:tcPr>
            <w:tcW w:w="3544" w:type="dxa"/>
            <w:tcBorders>
              <w:top w:val="single" w:sz="8" w:space="0" w:color="auto"/>
              <w:left w:val="nil"/>
              <w:bottom w:val="single" w:sz="8" w:space="0" w:color="auto"/>
              <w:right w:val="single" w:sz="8" w:space="0" w:color="auto"/>
            </w:tcBorders>
            <w:shd w:val="clear" w:color="auto" w:fill="D9D9D9"/>
            <w:tcMar>
              <w:top w:w="58" w:type="dxa"/>
              <w:left w:w="115" w:type="dxa"/>
              <w:bottom w:w="58" w:type="dxa"/>
              <w:right w:w="115" w:type="dxa"/>
            </w:tcMar>
            <w:hideMark/>
          </w:tcPr>
          <w:p w:rsidR="002F284B" w:rsidRPr="00582F22" w:rsidRDefault="002F284B" w:rsidP="00004824">
            <w:pPr>
              <w:spacing w:line="240" w:lineRule="auto"/>
              <w:jc w:val="center"/>
              <w:rPr>
                <w:rFonts w:ascii="Arial" w:hAnsi="Arial" w:cs="Arial"/>
                <w:b/>
                <w:sz w:val="20"/>
                <w:szCs w:val="20"/>
              </w:rPr>
            </w:pPr>
            <w:r w:rsidRPr="00582F22">
              <w:rPr>
                <w:rFonts w:ascii="Arial" w:hAnsi="Arial" w:cs="Arial"/>
                <w:b/>
                <w:sz w:val="20"/>
                <w:szCs w:val="20"/>
              </w:rPr>
              <w:t>ASP.NET</w:t>
            </w:r>
            <w:r>
              <w:rPr>
                <w:rFonts w:ascii="Arial" w:hAnsi="Arial" w:cs="Arial"/>
                <w:b/>
                <w:sz w:val="20"/>
                <w:szCs w:val="20"/>
              </w:rPr>
              <w:t xml:space="preserve"> (C#)</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Licensing cost</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No licensing cost</w:t>
            </w:r>
          </w:p>
        </w:tc>
        <w:tc>
          <w:tcPr>
            <w:tcW w:w="3544" w:type="dxa"/>
            <w:tcBorders>
              <w:top w:val="nil"/>
              <w:left w:val="nil"/>
              <w:bottom w:val="single" w:sz="8" w:space="0" w:color="auto"/>
              <w:right w:val="single" w:sz="8" w:space="0" w:color="auto"/>
            </w:tcBorders>
            <w:shd w:val="clear" w:color="auto" w:fill="FFCC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Expensive licensing cost</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Support options and cost</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Free support via community</w:t>
            </w:r>
          </w:p>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Paid support options available</w:t>
            </w:r>
          </w:p>
        </w:tc>
        <w:tc>
          <w:tcPr>
            <w:tcW w:w="3544"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Free support via community</w:t>
            </w:r>
          </w:p>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Paid support options available</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Platform(s)</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Multiple</w:t>
            </w:r>
          </w:p>
        </w:tc>
        <w:tc>
          <w:tcPr>
            <w:tcW w:w="3544" w:type="dxa"/>
            <w:tcBorders>
              <w:top w:val="nil"/>
              <w:left w:val="nil"/>
              <w:bottom w:val="single" w:sz="8" w:space="0" w:color="auto"/>
              <w:right w:val="single" w:sz="8" w:space="0" w:color="auto"/>
            </w:tcBorders>
            <w:shd w:val="clear" w:color="auto" w:fill="FFFF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Windows only</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Staffing</w:t>
            </w:r>
          </w:p>
        </w:tc>
        <w:tc>
          <w:tcPr>
            <w:tcW w:w="3118" w:type="dxa"/>
            <w:tcBorders>
              <w:top w:val="nil"/>
              <w:left w:val="nil"/>
              <w:bottom w:val="single" w:sz="8" w:space="0" w:color="auto"/>
              <w:right w:val="single" w:sz="8" w:space="0" w:color="auto"/>
            </w:tcBorders>
            <w:shd w:val="clear" w:color="auto" w:fill="FFFF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Somewhat difficult to find qualified people</w:t>
            </w:r>
          </w:p>
        </w:tc>
        <w:tc>
          <w:tcPr>
            <w:tcW w:w="3544"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Very easy to find qualified people</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External Hosting</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Widely available and inexpensive</w:t>
            </w:r>
          </w:p>
        </w:tc>
        <w:tc>
          <w:tcPr>
            <w:tcW w:w="3544" w:type="dxa"/>
            <w:tcBorders>
              <w:top w:val="nil"/>
              <w:left w:val="nil"/>
              <w:bottom w:val="single" w:sz="8" w:space="0" w:color="auto"/>
              <w:right w:val="single" w:sz="8" w:space="0" w:color="auto"/>
            </w:tcBorders>
            <w:shd w:val="clear" w:color="auto" w:fill="FFFF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Widely available, but more expensive</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lastRenderedPageBreak/>
              <w:t>Security</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Very good</w:t>
            </w:r>
          </w:p>
        </w:tc>
        <w:tc>
          <w:tcPr>
            <w:tcW w:w="3544" w:type="dxa"/>
            <w:tcBorders>
              <w:top w:val="nil"/>
              <w:left w:val="nil"/>
              <w:bottom w:val="single" w:sz="8" w:space="0" w:color="auto"/>
              <w:right w:val="single" w:sz="8" w:space="0" w:color="auto"/>
            </w:tcBorders>
            <w:shd w:val="clear" w:color="auto" w:fill="FFFF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Historically very bad, but improved recently</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Performance</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Very good</w:t>
            </w:r>
          </w:p>
        </w:tc>
        <w:tc>
          <w:tcPr>
            <w:tcW w:w="3544" w:type="dxa"/>
            <w:tcBorders>
              <w:top w:val="nil"/>
              <w:left w:val="nil"/>
              <w:bottom w:val="single" w:sz="8" w:space="0" w:color="auto"/>
              <w:right w:val="single" w:sz="8" w:space="0" w:color="auto"/>
            </w:tcBorders>
            <w:shd w:val="clear" w:color="auto" w:fill="FFFF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Often requires more expensive hardware to perform well</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Scalability</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Scales very well</w:t>
            </w:r>
          </w:p>
        </w:tc>
        <w:tc>
          <w:tcPr>
            <w:tcW w:w="3544" w:type="dxa"/>
            <w:tcBorders>
              <w:top w:val="nil"/>
              <w:left w:val="nil"/>
              <w:bottom w:val="single" w:sz="8" w:space="0" w:color="auto"/>
              <w:right w:val="single" w:sz="8" w:space="0" w:color="auto"/>
            </w:tcBorders>
            <w:shd w:val="clear" w:color="auto" w:fill="FFFF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Can be difficult to scale</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Administration</w:t>
            </w:r>
          </w:p>
        </w:tc>
        <w:tc>
          <w:tcPr>
            <w:tcW w:w="3118" w:type="dxa"/>
            <w:tcBorders>
              <w:top w:val="nil"/>
              <w:left w:val="nil"/>
              <w:bottom w:val="single" w:sz="8" w:space="0" w:color="auto"/>
              <w:right w:val="single" w:sz="8" w:space="0" w:color="auto"/>
            </w:tcBorders>
            <w:shd w:val="clear" w:color="auto" w:fill="FFCC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Difficult: Often requires reading documentation and editing text files</w:t>
            </w:r>
          </w:p>
        </w:tc>
        <w:tc>
          <w:tcPr>
            <w:tcW w:w="3544"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Easy: Often can be done through point and click interface</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Configuration ease of use</w:t>
            </w:r>
          </w:p>
        </w:tc>
        <w:tc>
          <w:tcPr>
            <w:tcW w:w="3118" w:type="dxa"/>
            <w:tcBorders>
              <w:top w:val="nil"/>
              <w:left w:val="nil"/>
              <w:bottom w:val="single" w:sz="8" w:space="0" w:color="auto"/>
              <w:right w:val="single" w:sz="8" w:space="0" w:color="auto"/>
            </w:tcBorders>
            <w:shd w:val="clear" w:color="auto" w:fill="FFCC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Can be difficult to configure properly</w:t>
            </w:r>
          </w:p>
        </w:tc>
        <w:tc>
          <w:tcPr>
            <w:tcW w:w="3544"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Easy to configure</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Configuration flexibility</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Extremely flexible</w:t>
            </w:r>
          </w:p>
        </w:tc>
        <w:tc>
          <w:tcPr>
            <w:tcW w:w="3544" w:type="dxa"/>
            <w:tcBorders>
              <w:top w:val="nil"/>
              <w:left w:val="nil"/>
              <w:bottom w:val="single" w:sz="8" w:space="0" w:color="auto"/>
              <w:right w:val="single" w:sz="8" w:space="0" w:color="auto"/>
            </w:tcBorders>
            <w:shd w:val="clear" w:color="auto" w:fill="FFCC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Not very flexible</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Framework(s)</w:t>
            </w:r>
          </w:p>
        </w:tc>
        <w:tc>
          <w:tcPr>
            <w:tcW w:w="3118" w:type="dxa"/>
            <w:tcBorders>
              <w:top w:val="nil"/>
              <w:left w:val="nil"/>
              <w:bottom w:val="single" w:sz="8" w:space="0" w:color="auto"/>
              <w:right w:val="single" w:sz="8" w:space="0" w:color="auto"/>
            </w:tcBorders>
            <w:shd w:val="clear" w:color="auto" w:fill="FFFF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Many available – often difficult to choose</w:t>
            </w:r>
          </w:p>
        </w:tc>
        <w:tc>
          <w:tcPr>
            <w:tcW w:w="3544"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One standardized framework</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Components</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Widely available</w:t>
            </w:r>
          </w:p>
        </w:tc>
        <w:tc>
          <w:tcPr>
            <w:tcW w:w="3544"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Widely available</w:t>
            </w:r>
          </w:p>
        </w:tc>
      </w:tr>
      <w:tr w:rsidR="002F284B" w:rsidRPr="00582F22" w:rsidTr="00004824">
        <w:tc>
          <w:tcPr>
            <w:tcW w:w="2684" w:type="dxa"/>
            <w:tcBorders>
              <w:top w:val="nil"/>
              <w:left w:val="single" w:sz="8" w:space="0" w:color="auto"/>
              <w:bottom w:val="single" w:sz="8" w:space="0" w:color="auto"/>
              <w:right w:val="single" w:sz="8" w:space="0" w:color="auto"/>
            </w:tcBorders>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Compatibility</w:t>
            </w:r>
          </w:p>
        </w:tc>
        <w:tc>
          <w:tcPr>
            <w:tcW w:w="3118" w:type="dxa"/>
            <w:tcBorders>
              <w:top w:val="nil"/>
              <w:left w:val="nil"/>
              <w:bottom w:val="single" w:sz="8" w:space="0" w:color="auto"/>
              <w:right w:val="single" w:sz="8" w:space="0" w:color="auto"/>
            </w:tcBorders>
            <w:shd w:val="clear" w:color="auto" w:fill="CCFFCC"/>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Very good: New versions usually backwards-compatible</w:t>
            </w:r>
          </w:p>
        </w:tc>
        <w:tc>
          <w:tcPr>
            <w:tcW w:w="3544" w:type="dxa"/>
            <w:tcBorders>
              <w:top w:val="nil"/>
              <w:left w:val="nil"/>
              <w:bottom w:val="single" w:sz="8" w:space="0" w:color="auto"/>
              <w:right w:val="single" w:sz="8" w:space="0" w:color="auto"/>
            </w:tcBorders>
            <w:shd w:val="clear" w:color="auto" w:fill="FFFF99"/>
            <w:tcMar>
              <w:top w:w="58" w:type="dxa"/>
              <w:left w:w="115" w:type="dxa"/>
              <w:bottom w:w="58" w:type="dxa"/>
              <w:right w:w="115" w:type="dxa"/>
            </w:tcMar>
            <w:hideMark/>
          </w:tcPr>
          <w:p w:rsidR="002F284B" w:rsidRPr="00582F22" w:rsidRDefault="002F284B" w:rsidP="00004824">
            <w:pPr>
              <w:spacing w:line="240" w:lineRule="auto"/>
              <w:rPr>
                <w:rFonts w:ascii="Arial" w:hAnsi="Arial" w:cs="Arial"/>
                <w:sz w:val="20"/>
                <w:szCs w:val="20"/>
              </w:rPr>
            </w:pPr>
            <w:r w:rsidRPr="00582F22">
              <w:rPr>
                <w:rFonts w:ascii="Arial" w:hAnsi="Arial" w:cs="Arial"/>
                <w:sz w:val="20"/>
                <w:szCs w:val="20"/>
              </w:rPr>
              <w:t>Moderate: New versions often break functionality</w:t>
            </w:r>
          </w:p>
        </w:tc>
      </w:tr>
    </w:tbl>
    <w:p w:rsidR="002F284B" w:rsidRDefault="002F284B" w:rsidP="002F284B">
      <w:pPr>
        <w:spacing w:line="240" w:lineRule="auto"/>
        <w:rPr>
          <w:rFonts w:ascii="Arial" w:hAnsi="Arial" w:cs="Arial"/>
          <w:sz w:val="20"/>
          <w:szCs w:val="20"/>
        </w:rPr>
      </w:pPr>
    </w:p>
    <w:p w:rsidR="002F284B" w:rsidRDefault="002F284B" w:rsidP="002F284B">
      <w:pPr>
        <w:spacing w:line="240" w:lineRule="auto"/>
        <w:rPr>
          <w:rFonts w:ascii="Arial" w:hAnsi="Arial" w:cs="Arial"/>
          <w:sz w:val="20"/>
          <w:szCs w:val="20"/>
        </w:rPr>
      </w:pPr>
    </w:p>
    <w:p w:rsidR="002F284B" w:rsidRPr="00582F22" w:rsidRDefault="002F284B" w:rsidP="002F284B">
      <w:pPr>
        <w:spacing w:line="240" w:lineRule="auto"/>
        <w:rPr>
          <w:rFonts w:ascii="Arial" w:hAnsi="Arial" w:cs="Arial"/>
          <w:sz w:val="20"/>
          <w:szCs w:val="20"/>
        </w:rPr>
      </w:pPr>
      <w:r w:rsidRPr="00582F22">
        <w:rPr>
          <w:rFonts w:ascii="Arial" w:hAnsi="Arial" w:cs="Arial"/>
          <w:sz w:val="20"/>
          <w:szCs w:val="20"/>
        </w:rPr>
        <w:t>References:</w:t>
      </w:r>
    </w:p>
    <w:p w:rsidR="002F284B" w:rsidRDefault="002F284B" w:rsidP="002F284B">
      <w:pPr>
        <w:spacing w:line="240" w:lineRule="auto"/>
        <w:rPr>
          <w:rFonts w:ascii="Arial" w:hAnsi="Arial" w:cs="Arial"/>
          <w:sz w:val="20"/>
          <w:szCs w:val="20"/>
        </w:rPr>
      </w:pPr>
      <w:hyperlink r:id="rId9" w:history="1">
        <w:r w:rsidRPr="00582F22">
          <w:rPr>
            <w:rStyle w:val="Hyperlink"/>
            <w:rFonts w:ascii="Arial" w:hAnsi="Arial" w:cs="Arial"/>
            <w:sz w:val="20"/>
            <w:szCs w:val="20"/>
          </w:rPr>
          <w:t>http://www.syllogisticsoftware.com/papers/Web_Development_Technology_Comparison.html</w:t>
        </w:r>
      </w:hyperlink>
    </w:p>
    <w:p w:rsidR="002F284B" w:rsidRDefault="002F284B" w:rsidP="00622E03">
      <w:pPr>
        <w:rPr>
          <w:rStyle w:val="Hyperlink"/>
          <w:rFonts w:ascii="Arial" w:hAnsi="Arial" w:cs="Arial"/>
          <w:sz w:val="20"/>
          <w:szCs w:val="20"/>
        </w:rPr>
      </w:pPr>
      <w:hyperlink r:id="rId10" w:history="1">
        <w:r w:rsidRPr="007876FF">
          <w:rPr>
            <w:rStyle w:val="Hyperlink"/>
            <w:rFonts w:ascii="Arial" w:hAnsi="Arial" w:cs="Arial"/>
            <w:sz w:val="20"/>
            <w:szCs w:val="20"/>
          </w:rPr>
          <w:t>http://stackoverflow.com/questions/663923/do-i-have-to-pay-a-</w:t>
        </w:r>
        <w:r w:rsidRPr="007876FF">
          <w:rPr>
            <w:rStyle w:val="Hyperlink"/>
            <w:rFonts w:ascii="Arial" w:hAnsi="Arial" w:cs="Arial"/>
            <w:sz w:val="20"/>
            <w:szCs w:val="20"/>
          </w:rPr>
          <w:t>f</w:t>
        </w:r>
        <w:r w:rsidRPr="007876FF">
          <w:rPr>
            <w:rStyle w:val="Hyperlink"/>
            <w:rFonts w:ascii="Arial" w:hAnsi="Arial" w:cs="Arial"/>
            <w:sz w:val="20"/>
            <w:szCs w:val="20"/>
          </w:rPr>
          <w:t>ee-to-develop-or-deploy-a-net-application</w:t>
        </w:r>
      </w:hyperlink>
    </w:p>
    <w:p w:rsidR="002F284B" w:rsidRDefault="002F284B" w:rsidP="00622E03">
      <w:pPr>
        <w:rPr>
          <w:rStyle w:val="Hyperlink"/>
          <w:rFonts w:ascii="Arial" w:hAnsi="Arial" w:cs="Arial"/>
          <w:sz w:val="20"/>
          <w:szCs w:val="20"/>
        </w:rPr>
      </w:pPr>
    </w:p>
    <w:tbl>
      <w:tblPr>
        <w:tblStyle w:val="TableGrid"/>
        <w:tblW w:w="0" w:type="auto"/>
        <w:tblLook w:val="04A0" w:firstRow="1" w:lastRow="0" w:firstColumn="1" w:lastColumn="0" w:noHBand="0" w:noVBand="1"/>
      </w:tblPr>
      <w:tblGrid>
        <w:gridCol w:w="2689"/>
        <w:gridCol w:w="3118"/>
        <w:gridCol w:w="3543"/>
      </w:tblGrid>
      <w:tr w:rsidR="002F284B" w:rsidTr="00004824">
        <w:tc>
          <w:tcPr>
            <w:tcW w:w="2689" w:type="dxa"/>
          </w:tcPr>
          <w:p w:rsidR="002F284B" w:rsidRDefault="002F284B" w:rsidP="00004824">
            <w:pPr>
              <w:rPr>
                <w:rFonts w:ascii="Arial" w:hAnsi="Arial" w:cs="Arial"/>
                <w:sz w:val="20"/>
                <w:szCs w:val="20"/>
              </w:rPr>
            </w:pPr>
          </w:p>
        </w:tc>
        <w:tc>
          <w:tcPr>
            <w:tcW w:w="3118" w:type="dxa"/>
          </w:tcPr>
          <w:p w:rsidR="002F284B" w:rsidRDefault="002F284B" w:rsidP="00004824">
            <w:pPr>
              <w:jc w:val="center"/>
              <w:rPr>
                <w:rFonts w:ascii="Arial" w:hAnsi="Arial" w:cs="Arial"/>
                <w:sz w:val="20"/>
                <w:szCs w:val="20"/>
              </w:rPr>
            </w:pPr>
            <w:r w:rsidRPr="00582F22">
              <w:rPr>
                <w:rFonts w:ascii="Arial" w:hAnsi="Arial" w:cs="Arial"/>
                <w:b/>
                <w:sz w:val="20"/>
                <w:szCs w:val="20"/>
              </w:rPr>
              <w:t>LAMP (PHP)</w:t>
            </w:r>
          </w:p>
        </w:tc>
        <w:tc>
          <w:tcPr>
            <w:tcW w:w="3543" w:type="dxa"/>
          </w:tcPr>
          <w:p w:rsidR="002F284B" w:rsidRDefault="002F284B" w:rsidP="00004824">
            <w:pPr>
              <w:jc w:val="center"/>
              <w:rPr>
                <w:rFonts w:ascii="Arial" w:hAnsi="Arial" w:cs="Arial"/>
                <w:sz w:val="20"/>
                <w:szCs w:val="20"/>
              </w:rPr>
            </w:pPr>
            <w:r w:rsidRPr="00582F22">
              <w:rPr>
                <w:rFonts w:ascii="Arial" w:hAnsi="Arial" w:cs="Arial"/>
                <w:b/>
                <w:sz w:val="20"/>
                <w:szCs w:val="20"/>
              </w:rPr>
              <w:t>ASP.NET</w:t>
            </w:r>
            <w:r>
              <w:rPr>
                <w:rFonts w:ascii="Arial" w:hAnsi="Arial" w:cs="Arial"/>
                <w:b/>
                <w:sz w:val="20"/>
                <w:szCs w:val="20"/>
              </w:rPr>
              <w:t xml:space="preserve"> (C#)</w:t>
            </w:r>
          </w:p>
        </w:tc>
      </w:tr>
      <w:tr w:rsidR="002F284B" w:rsidTr="00004824">
        <w:tc>
          <w:tcPr>
            <w:tcW w:w="2689" w:type="dxa"/>
          </w:tcPr>
          <w:p w:rsidR="002F284B" w:rsidRDefault="002F284B" w:rsidP="00004824">
            <w:pPr>
              <w:rPr>
                <w:rFonts w:ascii="Arial" w:hAnsi="Arial" w:cs="Arial"/>
                <w:sz w:val="20"/>
                <w:szCs w:val="20"/>
              </w:rPr>
            </w:pPr>
            <w:r>
              <w:rPr>
                <w:rFonts w:ascii="Arial" w:hAnsi="Arial" w:cs="Arial"/>
                <w:sz w:val="20"/>
                <w:szCs w:val="20"/>
              </w:rPr>
              <w:t>Total Point</w:t>
            </w:r>
          </w:p>
        </w:tc>
        <w:tc>
          <w:tcPr>
            <w:tcW w:w="3118" w:type="dxa"/>
          </w:tcPr>
          <w:p w:rsidR="002F284B" w:rsidRDefault="002F284B" w:rsidP="00004824">
            <w:pPr>
              <w:jc w:val="center"/>
              <w:rPr>
                <w:rFonts w:ascii="Arial" w:hAnsi="Arial" w:cs="Arial"/>
                <w:sz w:val="20"/>
                <w:szCs w:val="20"/>
              </w:rPr>
            </w:pPr>
            <w:r>
              <w:rPr>
                <w:rFonts w:ascii="Arial" w:hAnsi="Arial" w:cs="Arial"/>
                <w:sz w:val="20"/>
                <w:szCs w:val="20"/>
              </w:rPr>
              <w:t>8</w:t>
            </w:r>
          </w:p>
        </w:tc>
        <w:tc>
          <w:tcPr>
            <w:tcW w:w="3543" w:type="dxa"/>
          </w:tcPr>
          <w:p w:rsidR="002F284B" w:rsidRDefault="002F284B" w:rsidP="00004824">
            <w:pPr>
              <w:jc w:val="center"/>
              <w:rPr>
                <w:rFonts w:ascii="Arial" w:hAnsi="Arial" w:cs="Arial"/>
                <w:sz w:val="20"/>
                <w:szCs w:val="20"/>
              </w:rPr>
            </w:pPr>
            <w:r>
              <w:rPr>
                <w:rFonts w:ascii="Arial" w:hAnsi="Arial" w:cs="Arial"/>
                <w:sz w:val="20"/>
                <w:szCs w:val="20"/>
              </w:rPr>
              <w:t>4</w:t>
            </w:r>
          </w:p>
        </w:tc>
      </w:tr>
    </w:tbl>
    <w:p w:rsidR="002F284B" w:rsidRDefault="002F284B" w:rsidP="00622E03"/>
    <w:p w:rsidR="00DE2A50" w:rsidRDefault="00622E03" w:rsidP="00DE2A50">
      <w:pPr>
        <w:rPr>
          <w:b/>
        </w:rPr>
      </w:pPr>
      <w:r w:rsidRPr="00622E03">
        <w:rPr>
          <w:b/>
        </w:rPr>
        <w:t xml:space="preserve">Summary: </w:t>
      </w:r>
    </w:p>
    <w:p w:rsidR="002F284B" w:rsidRPr="002F284B" w:rsidRDefault="002F284B" w:rsidP="002F284B">
      <w:pPr>
        <w:pStyle w:val="ListParagraph"/>
        <w:numPr>
          <w:ilvl w:val="0"/>
          <w:numId w:val="2"/>
        </w:numPr>
        <w:rPr>
          <w:rFonts w:ascii="Arial" w:hAnsi="Arial" w:cs="Arial"/>
          <w:sz w:val="20"/>
          <w:szCs w:val="20"/>
        </w:rPr>
      </w:pPr>
      <w:r w:rsidRPr="002F284B">
        <w:rPr>
          <w:rFonts w:ascii="Arial" w:hAnsi="Arial" w:cs="Arial"/>
          <w:sz w:val="20"/>
          <w:szCs w:val="20"/>
        </w:rPr>
        <w:t>There is nothing about .NET that requires you to pay.</w:t>
      </w:r>
    </w:p>
    <w:p w:rsidR="002F284B" w:rsidRPr="002F284B" w:rsidRDefault="002F284B" w:rsidP="002F284B">
      <w:pPr>
        <w:pStyle w:val="ListParagraph"/>
        <w:numPr>
          <w:ilvl w:val="0"/>
          <w:numId w:val="2"/>
        </w:numPr>
        <w:spacing w:line="240" w:lineRule="auto"/>
        <w:rPr>
          <w:rFonts w:ascii="Arial" w:hAnsi="Arial" w:cs="Arial"/>
          <w:sz w:val="20"/>
          <w:szCs w:val="20"/>
        </w:rPr>
      </w:pPr>
      <w:r w:rsidRPr="002F284B">
        <w:rPr>
          <w:rFonts w:ascii="Arial" w:hAnsi="Arial" w:cs="Arial"/>
          <w:sz w:val="20"/>
          <w:szCs w:val="20"/>
        </w:rPr>
        <w:t>Often, you will hear that it is not free, but this is referring to the GNU concept of "Free" as in "freedom", not free as in price (or, in their words, .net is free as in beer but not free as in freedom).</w:t>
      </w:r>
    </w:p>
    <w:p w:rsidR="002F284B" w:rsidRPr="002F284B" w:rsidRDefault="002F284B" w:rsidP="002F284B">
      <w:pPr>
        <w:pStyle w:val="ListParagraph"/>
        <w:numPr>
          <w:ilvl w:val="0"/>
          <w:numId w:val="2"/>
        </w:numPr>
        <w:spacing w:line="240" w:lineRule="auto"/>
        <w:rPr>
          <w:rFonts w:ascii="Arial" w:hAnsi="Arial" w:cs="Arial"/>
          <w:sz w:val="20"/>
          <w:szCs w:val="20"/>
        </w:rPr>
      </w:pPr>
      <w:r w:rsidRPr="002F284B">
        <w:rPr>
          <w:rFonts w:ascii="Arial" w:hAnsi="Arial" w:cs="Arial"/>
          <w:sz w:val="20"/>
          <w:szCs w:val="20"/>
        </w:rPr>
        <w:t>You can use your student license to create .net applications. You can also download VS 2008 Express Edition, which is fully functional to develop.</w:t>
      </w:r>
    </w:p>
    <w:p w:rsidR="002F284B" w:rsidRPr="002F284B" w:rsidRDefault="002F284B" w:rsidP="002F284B">
      <w:pPr>
        <w:pStyle w:val="ListParagraph"/>
        <w:numPr>
          <w:ilvl w:val="0"/>
          <w:numId w:val="2"/>
        </w:numPr>
        <w:spacing w:line="240" w:lineRule="auto"/>
        <w:rPr>
          <w:rFonts w:ascii="Arial" w:hAnsi="Arial" w:cs="Arial"/>
          <w:sz w:val="20"/>
          <w:szCs w:val="20"/>
        </w:rPr>
      </w:pPr>
      <w:r w:rsidRPr="002F284B">
        <w:rPr>
          <w:rFonts w:ascii="Arial" w:hAnsi="Arial" w:cs="Arial"/>
          <w:sz w:val="20"/>
          <w:szCs w:val="20"/>
        </w:rPr>
        <w:t>Alternatively, you can develop in .NET using non-Microsoft products. Mono includes a completely separate, free runtime. There are even free IDEs available, such as SharpDevelop.</w:t>
      </w:r>
    </w:p>
    <w:p w:rsidR="002F284B" w:rsidRPr="002F284B" w:rsidRDefault="002F284B" w:rsidP="002F284B">
      <w:pPr>
        <w:pStyle w:val="ListParagraph"/>
        <w:numPr>
          <w:ilvl w:val="0"/>
          <w:numId w:val="2"/>
        </w:numPr>
        <w:rPr>
          <w:b/>
        </w:rPr>
      </w:pPr>
      <w:r w:rsidRPr="0054512E">
        <w:rPr>
          <w:rFonts w:ascii="Arial" w:hAnsi="Arial" w:cs="Arial"/>
          <w:sz w:val="20"/>
          <w:szCs w:val="20"/>
        </w:rPr>
        <w:t>Yes. You can use .NET to develop and deploy a website, an application, or anything else. There is nothing in the technology itself that requires payment. The only thing that requires payment is certain tools (such as Visual Studio Professional Edition or the Visual Studio Team Editions). There are lots of ways to develop with .NET for free.</w:t>
      </w:r>
    </w:p>
    <w:p w:rsidR="00DE2A50" w:rsidRPr="00DE2A50" w:rsidRDefault="00DE2A50" w:rsidP="00DE2A50">
      <w:pPr>
        <w:pStyle w:val="ListParagraph"/>
        <w:numPr>
          <w:ilvl w:val="0"/>
          <w:numId w:val="2"/>
        </w:numPr>
        <w:rPr>
          <w:b/>
        </w:rPr>
      </w:pPr>
      <w:r w:rsidRPr="00DE2A50">
        <w:lastRenderedPageBreak/>
        <w:t>Through feedback on satisfaction</w:t>
      </w:r>
      <w:r>
        <w:t xml:space="preserve"> </w:t>
      </w:r>
      <w:r w:rsidR="00622E03" w:rsidRPr="00622E03">
        <w:t>ASP.net and PHP language with the highest feedback score.</w:t>
      </w:r>
      <w:r>
        <w:t xml:space="preserve"> </w:t>
      </w:r>
    </w:p>
    <w:p w:rsidR="00DE2A50" w:rsidRDefault="00DE2A50" w:rsidP="00DE2A50">
      <w:pPr>
        <w:pStyle w:val="ListParagraph"/>
        <w:numPr>
          <w:ilvl w:val="0"/>
          <w:numId w:val="2"/>
        </w:numPr>
      </w:pPr>
      <w:r w:rsidRPr="00DE2A50">
        <w:t xml:space="preserve">Through a review of resources and available resources of the </w:t>
      </w:r>
      <w:r w:rsidR="005F484B">
        <w:t>team</w:t>
      </w:r>
      <w:r w:rsidRPr="00DE2A50">
        <w:t xml:space="preserve"> (</w:t>
      </w:r>
      <w:r w:rsidR="005F484B">
        <w:t>Team</w:t>
      </w:r>
      <w:r w:rsidRPr="00DE2A50">
        <w:t xml:space="preserve"> is licensed to use Microsoft software copyright</w:t>
      </w:r>
      <w:r>
        <w:t xml:space="preserve">, </w:t>
      </w:r>
      <w:r w:rsidRPr="00DE2A50">
        <w:t>members have high proficiency when using Visual Studio "ASP.net"</w:t>
      </w:r>
      <w:r>
        <w:t>…</w:t>
      </w:r>
      <w:r w:rsidRPr="00DE2A50">
        <w:t>)</w:t>
      </w:r>
      <w:r>
        <w:t xml:space="preserve">, </w:t>
      </w:r>
      <w:r w:rsidRPr="00DE2A50">
        <w:t xml:space="preserve">so the </w:t>
      </w:r>
      <w:r w:rsidR="005F484B">
        <w:t>team</w:t>
      </w:r>
      <w:r w:rsidRPr="00DE2A50">
        <w:t xml:space="preserve"> decided to choose the language ASP.net</w:t>
      </w:r>
      <w:bookmarkStart w:id="0" w:name="_GoBack"/>
      <w:bookmarkEnd w:id="0"/>
    </w:p>
    <w:p w:rsidR="00DE2A50" w:rsidRDefault="00DE2A50" w:rsidP="00DE2A50">
      <w:pPr>
        <w:pStyle w:val="ListParagraph"/>
        <w:numPr>
          <w:ilvl w:val="0"/>
          <w:numId w:val="2"/>
        </w:numPr>
      </w:pPr>
      <w:r w:rsidRPr="00DE2A50">
        <w:t xml:space="preserve">In addition, the biggest reason to remove the PHP language </w:t>
      </w:r>
      <w:r w:rsidR="005F484B">
        <w:t>team</w:t>
      </w:r>
      <w:r w:rsidRPr="00DE2A50">
        <w:t xml:space="preserve"> because:</w:t>
      </w:r>
    </w:p>
    <w:p w:rsidR="00DC7B30" w:rsidRDefault="00DC7B30" w:rsidP="00DC7B30">
      <w:pPr>
        <w:pStyle w:val="ListParagraph"/>
        <w:numPr>
          <w:ilvl w:val="1"/>
          <w:numId w:val="2"/>
        </w:numPr>
      </w:pPr>
      <w:r w:rsidRPr="00DC7B30">
        <w:t>PHP language, only one - two members use testing. So the popularity of the group is low</w:t>
      </w:r>
      <w:r>
        <w:t>.</w:t>
      </w:r>
    </w:p>
    <w:p w:rsidR="00BE4AEF" w:rsidRDefault="00DE2A50" w:rsidP="00DC7B30">
      <w:pPr>
        <w:pStyle w:val="ListParagraph"/>
        <w:numPr>
          <w:ilvl w:val="1"/>
          <w:numId w:val="2"/>
        </w:numPr>
      </w:pPr>
      <w:r w:rsidRPr="00DE2A50">
        <w:t xml:space="preserve">PHP just to fulfill his full power on the Linux operating system (majority of the members </w:t>
      </w:r>
      <w:r w:rsidR="005F484B">
        <w:t>use</w:t>
      </w:r>
      <w:r w:rsidRPr="00DE2A50">
        <w:t xml:space="preserve"> windown OS)</w:t>
      </w:r>
    </w:p>
    <w:p w:rsidR="00622E03" w:rsidRDefault="00DE2A50" w:rsidP="00622E03">
      <w:pPr>
        <w:pStyle w:val="ListParagraph"/>
        <w:numPr>
          <w:ilvl w:val="1"/>
          <w:numId w:val="2"/>
        </w:numPr>
      </w:pPr>
      <w:r w:rsidRPr="00DE2A50">
        <w:t>Framework on PHP needs a huge amount of skill and learn more to be able to use effectively. Sources are considered long-term linguistics. Not suitable for the project has started implementation.</w:t>
      </w:r>
    </w:p>
    <w:p w:rsidR="00BE4AEF" w:rsidRPr="00C65335" w:rsidRDefault="005F484B" w:rsidP="00A15BD2">
      <w:pPr>
        <w:pStyle w:val="ListParagraph"/>
        <w:numPr>
          <w:ilvl w:val="0"/>
          <w:numId w:val="3"/>
        </w:numPr>
      </w:pPr>
      <w:r>
        <w:t>Team</w:t>
      </w:r>
      <w:r w:rsidR="00BE4AEF" w:rsidRPr="00BE4AEF">
        <w:t xml:space="preserve"> decided ASP.net language because it fits in many aspects with the </w:t>
      </w:r>
      <w:r>
        <w:t>team</w:t>
      </w:r>
      <w:r w:rsidR="00BE4AEF">
        <w:t>.</w:t>
      </w:r>
    </w:p>
    <w:sectPr w:rsidR="00BE4AEF" w:rsidRPr="00C6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111AD"/>
    <w:multiLevelType w:val="hybridMultilevel"/>
    <w:tmpl w:val="5E3A4F30"/>
    <w:lvl w:ilvl="0" w:tplc="07ACA7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40BBC"/>
    <w:multiLevelType w:val="hybridMultilevel"/>
    <w:tmpl w:val="F4DEB024"/>
    <w:lvl w:ilvl="0" w:tplc="5E78B0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217376"/>
    <w:multiLevelType w:val="hybridMultilevel"/>
    <w:tmpl w:val="5748CD46"/>
    <w:lvl w:ilvl="0" w:tplc="58D675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40"/>
    <w:rsid w:val="000A6EE0"/>
    <w:rsid w:val="001030A5"/>
    <w:rsid w:val="001E412F"/>
    <w:rsid w:val="002271CB"/>
    <w:rsid w:val="002F284B"/>
    <w:rsid w:val="002F2DE1"/>
    <w:rsid w:val="002F6374"/>
    <w:rsid w:val="004B1E6B"/>
    <w:rsid w:val="00534440"/>
    <w:rsid w:val="0059462E"/>
    <w:rsid w:val="005F484B"/>
    <w:rsid w:val="00621346"/>
    <w:rsid w:val="00622E03"/>
    <w:rsid w:val="00907C3C"/>
    <w:rsid w:val="00A15BD2"/>
    <w:rsid w:val="00BB674D"/>
    <w:rsid w:val="00BE4AEF"/>
    <w:rsid w:val="00C65335"/>
    <w:rsid w:val="00D13DEC"/>
    <w:rsid w:val="00DC7B30"/>
    <w:rsid w:val="00DE2A50"/>
    <w:rsid w:val="00F4555C"/>
    <w:rsid w:val="00F91145"/>
    <w:rsid w:val="00FD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C1BEC-226E-4831-9326-C626F591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5335"/>
    <w:pPr>
      <w:ind w:left="720"/>
      <w:contextualSpacing/>
    </w:pPr>
  </w:style>
  <w:style w:type="character" w:styleId="Hyperlink">
    <w:name w:val="Hyperlink"/>
    <w:basedOn w:val="DefaultParagraphFont"/>
    <w:uiPriority w:val="99"/>
    <w:unhideWhenUsed/>
    <w:rsid w:val="00BE4AEF"/>
    <w:rPr>
      <w:color w:val="0563C1" w:themeColor="hyperlink"/>
      <w:u w:val="single"/>
    </w:rPr>
  </w:style>
  <w:style w:type="character" w:styleId="FollowedHyperlink">
    <w:name w:val="FollowedHyperlink"/>
    <w:basedOn w:val="DefaultParagraphFont"/>
    <w:uiPriority w:val="99"/>
    <w:semiHidden/>
    <w:unhideWhenUsed/>
    <w:rsid w:val="002F2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k.vn/top-15-ngon-ngu-lap-trinh-pho-bien-nhat-the-gioi-ban-da-biet-het-chua-20160916131206725.chn" TargetMode="External"/><Relationship Id="rId3" Type="http://schemas.openxmlformats.org/officeDocument/2006/relationships/settings" Target="settings.xml"/><Relationship Id="rId7" Type="http://schemas.openxmlformats.org/officeDocument/2006/relationships/hyperlink" Target="http://itplus-academy.edu.vn/10-Ngon-ngu-lap-trinh-giup-ban-co-co-hoi-san-viec-luong-ca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tienich.vn/so-sanh-thiet-ke-web-voi-3-ngon-ngu-lap-trinh-pho-bien/n2824.html" TargetMode="External"/><Relationship Id="rId11" Type="http://schemas.openxmlformats.org/officeDocument/2006/relationships/fontTable" Target="fontTable.xml"/><Relationship Id="rId5" Type="http://schemas.openxmlformats.org/officeDocument/2006/relationships/hyperlink" Target="http://ftico.fpt.edu.vn/15-ng%C3%B4n-ng%E1%BB%AF-l%E1%BA%ADp-tr%C3%ACnh-thi%E1%BA%BFt-k%E1%BA%BF-web-ph%E1%BB%95-bi%E1%BA%BFn-nh%E1%BA%A5t.aspx" TargetMode="External"/><Relationship Id="rId10" Type="http://schemas.openxmlformats.org/officeDocument/2006/relationships/hyperlink" Target="http://stackoverflow.com/questions/663923/do-i-have-to-pay-a-fee-to-develop-or-deploy-a-net-application" TargetMode="External"/><Relationship Id="rId4" Type="http://schemas.openxmlformats.org/officeDocument/2006/relationships/webSettings" Target="webSettings.xml"/><Relationship Id="rId9" Type="http://schemas.openxmlformats.org/officeDocument/2006/relationships/hyperlink" Target="http://www.syllogisticsoftware.com/papers/Web_Development_Technology_Compari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T133334 - Nguyen Huu Tai - K19T01</dc:creator>
  <cp:keywords/>
  <dc:description/>
  <cp:lastModifiedBy>Nguyen Huu Tai</cp:lastModifiedBy>
  <cp:revision>10</cp:revision>
  <dcterms:created xsi:type="dcterms:W3CDTF">2016-12-06T07:19:00Z</dcterms:created>
  <dcterms:modified xsi:type="dcterms:W3CDTF">2016-12-27T05:53:00Z</dcterms:modified>
</cp:coreProperties>
</file>