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rPr>
          <w:b/>
          <w:lang w:val="es-NI"/>
        </w:rPr>
        <w:t xml:space="preserve">Versión documental: 1.1</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rPr>
          <w:b/>
          <w:lang w:val="es-NI"/>
        </w:rPr>
        <w:t xml:space="preserve">Reglas / criterios: </w:t>
      </w:r>
      <w:r w:rsidRPr="007E766C">
        <w:rPr>
          <w:lang w:val="es-NI"/>
        </w:rPr>
        <w:t>El código es único. La OT es la raíz funcional de la trazabilidad económica y operativa.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Registro de costos asociados a una orden de trabajo y, opcionalmente, a un proceso específico.</w:t>
      </w:r>
    </w:p>
    <w:p w14:paraId="13A0E68D" w14:textId="77777777" w:rsidR="00CE0A55" w:rsidRPr="007E766C" w:rsidRDefault="003E6E2F">
      <w:pPr>
        <w:rPr>
          <w:lang w:val="es-NI"/>
        </w:rPr>
      </w:pPr>
      <w:r w:rsidRPr="007E766C">
        <w:rPr>
          <w:b/>
          <w:lang w:val="es-NI"/>
        </w:rPr>
        <w:t xml:space="preserve">Reglas / criterios: </w:t>
      </w:r>
      <w:r w:rsidRPr="007E766C">
        <w:rPr>
          <w:lang w:val="es-NI"/>
        </w:rPr>
        <w:t xml:space="preserve">Los valores originales conservan la moneda de la operación. </w:t>
      </w:r>
      <w:proofErr w:type="spellStart"/>
      <w:r w:rsidRPr="007E766C">
        <w:rPr>
          <w:lang w:val="es-NI"/>
        </w:rPr>
        <w:t>costo_unitario_nio</w:t>
      </w:r>
      <w:proofErr w:type="spellEnd"/>
      <w:r w:rsidRPr="007E766C">
        <w:rPr>
          <w:lang w:val="es-NI"/>
        </w:rPr>
        <w:t xml:space="preserve"> y </w:t>
      </w:r>
      <w:proofErr w:type="spellStart"/>
      <w:r w:rsidRPr="007E766C">
        <w:rPr>
          <w:lang w:val="es-NI"/>
        </w:rPr>
        <w:t>costo_total_nio</w:t>
      </w:r>
      <w:proofErr w:type="spellEnd"/>
      <w:r w:rsidRPr="007E766C">
        <w:rPr>
          <w:lang w:val="es-NI"/>
        </w:rPr>
        <w:t xml:space="preserve"> conservan el equivalente histórico en NIO para evitar recalcular hechos pasados con tipos de cambio actuales.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 referencia del oro por fecha, unidad y moneda. Sirve como referencia documental; no obliga por sí mismo a calcular una valoración.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del tipo de cambio.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se registra la operación.</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Fecha de la operación.</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rPr>
          <w:b/>
          <w:lang w:val="es-NI"/>
        </w:rPr>
        <w:t xml:space="preserve">Reglas / criterios: </w:t>
      </w:r>
      <w:r w:rsidRPr="007E766C">
        <w:rPr>
          <w:lang w:val="es-NI"/>
        </w:rPr>
        <w:t xml:space="preserve">Es la fuente histórica del </w:t>
      </w:r>
      <w:proofErr w:type="spellStart"/>
      <w:r w:rsidRPr="007E766C">
        <w:rPr>
          <w:lang w:val="es-NI"/>
        </w:rPr>
        <w:t>kardex</w:t>
      </w:r>
      <w:proofErr w:type="spellEnd"/>
      <w:r w:rsidRPr="007E766C">
        <w:rPr>
          <w:lang w:val="es-NI"/>
        </w:rPr>
        <w:t>. Se utiliza costo promedio ponderado (CPP). Las entradas normales recalculan CPP; las salidas utilizan el CPP vigente; los ajustes usan el CPP vigente y no lo recalculan. No se permite inventario negativo. Los equivalentes NIO son históricos.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rPr>
                <w:sz w:val="16"/>
                <w:lang w:val="es-NI"/>
              </w:rPr>
              <w:t>4</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Estado lógico/operativo del registro.</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Campo de la entidad.</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Campo de la entidad.</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histórico en NIO.</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Estado lógico/operativo del registro.</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