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1.6</w:t>
      </w:r>
    </w:p>
    <w:p w14:paraId="4874ED73" w14:textId="77777777" w:rsidR="00CE0A55" w:rsidRPr="007E766C" w:rsidRDefault="003E6E2F">
      <w:pPr>
        <w:jc w:val="center"/>
        <w:rPr>
          <w:lang w:val="es-NI"/>
        </w:rPr>
      </w:pPr>
      <w:r w:rsidRPr="007E766C">
        <w:rPr>
          <w:lang w:val="es-NI"/>
        </w:rPr>
        <w:t xml:space="preserve">Fecha: 10/10/2026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38 tablas del modelo actual. Las tablas 35 y 36 (equipos y proceso_equipos) se agregaron para la depreciacion de los equipos por proceso; las tablas 37 y 38 (cierres_caja y detalle_cierres_caja) se agregan en la version 1.6.</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4A1B2C3D" w14: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A1B2C3D" w14: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r:id="rId8"/>
      <w:pgSz w:w="12240" w:h="15840"/>
      <w:pgMar w:top="936" w:right="1008" w:bottom="936" w:left="1008" w:header="720" w:footer="720" w:gutter="0"/>
      <w:cols w:space="720"/>
      <w:docGrid w:linePitch="360"/>
    </w:sectPr>
  </w:body>
</w:document>
</file>