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rPr>
          <w:b/>
          <w:lang w:val="es-NI"/>
        </w:rPr>
        <w:t xml:space="preserve">Versión documental: 1.2</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rPr>
          <w:b/>
          <w:lang w:val="es-NI"/>
        </w:rPr>
        <w:t xml:space="preserve">Reglas / criterios: </w:t>
      </w:r>
      <w:r w:rsidRPr="007E766C">
        <w:rPr>
          <w:lang w:val="es-NI"/>
        </w:rPr>
        <w:t xml:space="preserve">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rPr>
          <w:b/>
          <w:lang w:val="es-NI"/>
        </w:rPr>
        <w:t xml:space="preserve">Reglas / criterios: </w:t>
      </w:r>
      <w:r w:rsidRPr="007E766C">
        <w:rPr>
          <w:lang w:val="es-NI"/>
        </w:rPr>
        <w:t xml:space="preserve">Es la fuente histórica del </w:t>
      </w:r>
      <w:proofErr w:type="spellStart"/>
      <w:r w:rsidRPr="007E766C">
        <w:rPr>
          <w:lang w:val="es-NI"/>
        </w:rPr>
        <w:t>kardex</w:t>
      </w:r>
      <w:proofErr w:type="spellEnd"/>
      <w:r w:rsidRPr="007E766C">
        <w:rPr>
          <w:lang w:val="es-NI"/>
        </w:rPr>
        <w:t>. Se utiliza costo promedio ponderado (CPP). Las entradas normales recalculan CPP; las salidas utilizan el CPP vigente; los ajustes usan el CPP vigente y no lo recalculan. No se permite inventario negativo. Los equivalentes NIO son históricos.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rPr>
                <w:sz w:val="16"/>
                <w:lang w:val="es-NI"/>
              </w:rPr>
              <w:t>4</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