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p>
      <w:r>
        <w: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w:t>
      </w:r>
    </w:p>
    <w:p>
      <w:r>
        <w:t xml:space="preserve"/>
      </w:r>
      <w:r>
        <w: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w:t>
      </w:r>
    </w:p>
    <w:p>
      <w:r>
        <w:t xml:space="preserve">Liquidaciones de oro: cada liquidaci?n corresponde a un lote capturado en la ficha de la orden, con fecha y gramos reales registrados por el usuario. Para crearla se selecciona un acuerdo porcentual activo de esa misma orden; las tarifas de servicio no reparten oro. La liquidaci?n guarda los porcentajes vigentes como fotograf?a hist?rica, y el servidor calcula los gramos de cliente y empresa a cuatro decimales. El residuo de redondeo se asigna a la empresa, de modo que ambas partes sumen exactamente los gramos del lote. Al corregir fecha, gramos u observaciones se conservan los porcentajes originales. Una orden cancelada no admite nuevas liquidaciones. Esta etapa usa el esquema existente y mantiene la versi?n documental 1.9.</w:t>
      </w:r>
    </w:p>
    <w:p>
      <w:r>
        <w:t xml:space="preserve">Cambios sin cambio de esquema: se documenta la protección de eliminación de órdenes de trabajo. La versión documental se mantiene en 1.9 porque no se modifican tablas, columnas ni relaciones. Una orden solo se puede eliminar cuando no tiene registros asociados. Se comprueban procesos, acuerdos, cierres, costos, movimientos de inventario, producciones, recuperaciones, liquidaciones, ingresos y cobros vinculados a esos ingresos. Las comprobaciones incluyen filas dadas de baja lógicamente, porque forman parte del historial y sus referencias siguen existiendo. Si hay registros, se conserva la orden y se informa cuáles impiden eliminarla.</w:t>
      </w:r>
    </w:p>
    <w:p>
      <w:r>
        <w:t xml:space="preserve">ACTUALIZACIÓN DE ESQUEMA — VERSIÓN DOCUMENTAL 2.0. Se agrega cotizaciones como documento comercial de procesamiento y se amplía ordenes_trabajo.unidad_peso de VARCHAR(10) a VARCHAR(40), sin cambiar ni eliminar las etiquetas existentes, para admitir los nombres del catálogo central de unidades.</w:t>
      </w:r>
    </w:p>
    <w:p>
      <w:r>
        <w:t xml:space="preserve">40. cotizaciones. Guarda codigo único, cliente_id, fecha, fecha_vencimiento, descripción del procesamiento, peso_mineral, unidad_peso como etiqueta histórica y unidad_peso_id, tipo_participacion_id, porcentajes opcionales de cliente y empresa, tarifa_servicio opcional, moneda_id, observaciones, estado, orden_trabajo_id nullable y único, timestamps y deleted_at. Las claves foráneas a clientes, unidades_medida, tipos_participacion, monedas y ordenes_trabajo son restrictivas. Los índices apoyan la consulta por estado/vencimiento y cliente/fecha.</w:t>
      </w:r>
    </w:p>
    <w:p>
      <w:r>
        <w:t xml:space="preserve">Reglas de cotizaciones: el documento describe el procesamiento de una cantidad de mineral para un cliente y vence en la fecha indicada. La condición comercial es excluyente: porcentajes de cliente y empresa que suman exactamente 100%, o una tarifa fija total positiva en la moneda elegida. Se conserva el importe completo de la tarifa; no se calcula por unidad de peso. Las cotizaciones nacen como borrador, que se puede editar o eliminar. Al enviarse se congela la propuesta; una fecha de vencimiento anterior al día actual la muestra como vencida y no permite enviarla ni aceptarla. Un borrador vencido se puede corregir para renovar su vigencia, pero se conserva y no se elimina. Una cotización enviada no se edita. Rechazada y aceptada son estados terminales.</w:t>
      </w:r>
    </w:p>
    <w:p>
      <w:r>
        <w:t xml:space="preserve">Aceptar una cotización vigente crea, dentro de una sola transacción, una orden de trabajo pendiente con cliente, descripción, peso y unidad, y un acuerdo activo que copia el tipo de participación, la tarifa fija y moneda o los porcentajes. La cotización queda enlazada a la orden; una restricción única impide que una cotización cree más de una orden. La protección de eliminación de orden también considera la cotización aceptada. Las cotizaciones, incluidas las dadas de baja lógicamente, cuentan como uso de su unidad, moneda y tipo de participación para preservar las referencias. La ficha tiene formato imprimible para guardar o imprimir desde el navegador. Permisos: cotizaciones.view/create/edit/delete; administración administra borradores y el supervisor puede consultar, crear, editar, enviar y resolver cotizaciones. Los cambios funcionales se documentan sin más cambios al esquema; la versión 2.0 corresponde a la nueva tabla y al ensanchamiento de unidad_peso.</w:t>
      </w:r>
    </w:p>
    <w:p>
      <w:r>
        <w:t xml:space="preserve">ORDEN DE TRABAJO PARA FIRMA ? SIN CAMBIO DE ESQUEMA (SE MANTIENE VERSIÓN DOCUMENTAL 2.0). Desde la ficha de una orden se descarga un PDF imprimible con el código, fecha, cliente y sus datos de contacto, cantidad y unidad del mineral, descripción e instrucciones, procesos registrados (etapa, código y observaciones), cada uno con una casilla para marcar, y espacio para la firma/fecha del cliente y del responsable del taller. El cliente revisa la lista, marca los procesos autorizados, tacha los que no correspondan y firma su autorización. El PDF siempre incluye cinco renglones vacíos adicionales para escribir otros procesos; si todavía no hay procesos registrados, presenta ocho renglones vacíos. La descarga es accesible con el permiso de consulta de órdenes; no registra la firma ni altera la orden.</w:t>
      </w:r>
    </w:p>
  </w:body>
</w:document>
</file>