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Supplementary Code Documentation</w:t>
      </w:r>
    </w:p>
    <w:p>
      <w:pPr>
        <w:spacing w:after="60"/>
        <w:jc w:val="center"/>
      </w:pPr>
      <w:r>
        <w:rPr>
          <w:sz w:val="22"/>
          <w:szCs w:val="22"/>
        </w:rPr>
        <w:t xml:space="preserve">Phage Characterization Toolkit v3.2 — Staphylococcus aureus release</w:t>
      </w:r>
    </w:p>
    <w:p>
      <w:pPr>
        <w:spacing w:after="240"/>
        <w:jc w:val="center"/>
      </w:pPr>
      <w:r>
        <w:rPr>
          <w:i/>
          <w:iCs/>
          <w:sz w:val="19"/>
          <w:szCs w:val="19"/>
        </w:rPr>
        <w:t xml:space="preserve">In silico characterization of lysis and host-recognition modules in Staphylococcus aureus bacteriophage genomes (MIOC-2026-0245)</w:t>
      </w:r>
    </w:p>
    <w:p>
      <w:pPr>
        <w:pStyle w:val="Heading1"/>
        <w:spacing w:after="140" w:before="320"/>
      </w:pPr>
      <w:r>
        <w:t xml:space="preserve">1. Scope and design</w:t>
      </w:r>
    </w:p>
    <w:p>
      <w:pPr>
        <w:spacing w:after="150"/>
      </w:pPr>
      <w:r>
        <w:rPr>
          <w:sz w:val="21"/>
          <w:szCs w:val="21"/>
        </w:rPr>
        <w:t xml:space="preserve">The toolkit is one shared engine (</w:t>
      </w:r>
      <w:r>
        <w:rPr>
          <w:i/>
          <w:iCs/>
          <w:sz w:val="21"/>
          <w:szCs w:val="21"/>
        </w:rPr>
        <w:t xml:space="preserve">phagecore</w:t>
      </w:r>
      <w:r>
        <w:rPr>
          <w:sz w:val="21"/>
          <w:szCs w:val="21"/>
        </w:rPr>
        <w:t xml:space="preserve">) plus a host profile. The analysis code is host-neutral; everything specific to a bacterial host lives in a YAML profile supplying plausibility bounds, annotation vocabulary and curated evidence. Every stage that depends on host biology requires </w:t>
      </w:r>
      <w:r>
        <w:rPr>
          <w:i/>
          <w:iCs/>
          <w:sz w:val="21"/>
          <w:szCs w:val="21"/>
        </w:rPr>
        <w:t xml:space="preserve">--profile</w:t>
      </w:r>
      <w:r>
        <w:rPr>
          <w:sz w:val="21"/>
          <w:szCs w:val="21"/>
        </w:rPr>
        <w:t xml:space="preserve"> and exits with an error if it is not supplied, so no host is ever a silent default.</w:t>
      </w:r>
    </w:p>
    <w:p>
      <w:pPr>
        <w:spacing w:after="150"/>
      </w:pPr>
      <w:r>
        <w:rPr>
          <w:b/>
          <w:bCs/>
          <w:sz w:val="21"/>
          <w:szCs w:val="21"/>
        </w:rPr>
        <w:t xml:space="preserve">This deposit contains the Staphylococcus aureus profile only. </w:t>
      </w:r>
      <w:r>
        <w:rPr>
          <w:sz w:val="21"/>
          <w:szCs w:val="21"/>
        </w:rPr>
        <w:t xml:space="preserve">Profiles for other bacterial hosts exist in the development version, are unrelated to this manuscript, and are withheld pending separate publication. Stages S8 and S9 of the development pipeline are outside the manuscript scope and are not deposited.</w:t>
      </w:r>
    </w:p>
    <w:p>
      <w:pPr>
        <w:spacing w:after="150"/>
      </w:pPr>
      <w:r>
        <w:rPr>
          <w:sz w:val="21"/>
          <w:szCs w:val="21"/>
        </w:rPr>
        <w:t xml:space="preserve">Two InterPro result folders are kept per host, </w:t>
      </w:r>
      <w:r>
        <w:rPr>
          <w:i/>
          <w:iCs/>
          <w:sz w:val="21"/>
          <w:szCs w:val="21"/>
        </w:rPr>
        <w:t xml:space="preserve">interpro_endolysin/</w:t>
      </w:r>
      <w:r>
        <w:rPr>
          <w:sz w:val="21"/>
          <w:szCs w:val="21"/>
        </w:rPr>
        <w:t xml:space="preserve"> and </w:t>
      </w:r>
      <w:r>
        <w:rPr>
          <w:i/>
          <w:iCs/>
          <w:sz w:val="21"/>
          <w:szCs w:val="21"/>
        </w:rPr>
        <w:t xml:space="preserve">interpro_rbp/</w:t>
      </w:r>
      <w:r>
        <w:rPr>
          <w:sz w:val="21"/>
          <w:szCs w:val="21"/>
        </w:rPr>
        <w:t xml:space="preserve">, so that the lysis and host-recognition axes cannot cross-contaminate.</w:t>
      </w:r>
    </w:p>
    <w:p>
      <w:pPr>
        <w:pStyle w:val="Heading2"/>
        <w:spacing w:after="100" w:before="240"/>
      </w:pPr>
      <w:r>
        <w:t xml:space="preserve">1.1 Manuscript contribution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700"/>
        <w:gridCol w:w="5210"/>
      </w:tblGrid>
      <w:tr>
        <w:trPr>
          <w:tblHeader/>
        </w:trPr>
        <w:tc>
          <w:tcPr>
            <w:tcW w:type="dxa" w:w="2450"/>
            <w:shd w:fill="F2F2F2" w:val="clear"/>
            <w:tcMar>
              <w:top w:type="dxa" w:w="45"/>
              <w:left w:type="dxa" w:w="70"/>
              <w:bottom w:type="dxa" w:w="45"/>
              <w:right w:type="dxa" w:w="70"/>
            </w:tcMar>
          </w:tcPr>
          <w:p>
            <w:r>
              <w:rPr>
                <w:b/>
                <w:bCs/>
                <w:sz w:val="16"/>
                <w:szCs w:val="16"/>
              </w:rPr>
              <w:t xml:space="preserve">Script</w:t>
            </w:r>
          </w:p>
        </w:tc>
        <w:tc>
          <w:tcPr>
            <w:tcW w:type="dxa" w:w="1700"/>
            <w:shd w:fill="F2F2F2" w:val="clear"/>
            <w:tcMar>
              <w:top w:type="dxa" w:w="45"/>
              <w:left w:type="dxa" w:w="70"/>
              <w:bottom w:type="dxa" w:w="45"/>
              <w:right w:type="dxa" w:w="70"/>
            </w:tcMar>
          </w:tcPr>
          <w:p>
            <w:r>
              <w:rPr>
                <w:b/>
                <w:bCs/>
                <w:sz w:val="16"/>
                <w:szCs w:val="16"/>
              </w:rPr>
              <w:t xml:space="preserve">Manuscript output</w:t>
            </w:r>
          </w:p>
        </w:tc>
        <w:tc>
          <w:tcPr>
            <w:tcW w:type="dxa" w:w="5210"/>
            <w:shd w:fill="F2F2F2" w:val="clear"/>
            <w:tcMar>
              <w:top w:type="dxa" w:w="45"/>
              <w:left w:type="dxa" w:w="70"/>
              <w:bottom w:type="dxa" w:w="45"/>
              <w:right w:type="dxa" w:w="70"/>
            </w:tcMar>
          </w:tcPr>
          <w:p>
            <w:r>
              <w:rPr>
                <w:b/>
                <w:bCs/>
                <w:sz w:val="16"/>
                <w:szCs w:val="16"/>
              </w:rPr>
              <w:t xml:space="preserve">What it produces</w:t>
            </w:r>
          </w:p>
        </w:tc>
      </w:tr>
      <w:tr>
        <w:tc>
          <w:tcPr>
            <w:tcW w:type="dxa" w:w="2450"/>
            <w:tcMar>
              <w:top w:type="dxa" w:w="45"/>
              <w:left w:type="dxa" w:w="70"/>
              <w:bottom w:type="dxa" w:w="45"/>
              <w:right w:type="dxa" w:w="70"/>
            </w:tcMar>
          </w:tcPr>
          <w:p>
            <w:r>
              <w:rPr>
                <w:b w:val="false"/>
                <w:bCs w:val="false"/>
                <w:sz w:val="16"/>
                <w:szCs w:val="16"/>
              </w:rPr>
              <w:t xml:space="preserve">S1_genome_statistics.py</w:t>
            </w:r>
          </w:p>
        </w:tc>
        <w:tc>
          <w:tcPr>
            <w:tcW w:type="dxa" w:w="1700"/>
            <w:tcMar>
              <w:top w:type="dxa" w:w="45"/>
              <w:left w:type="dxa" w:w="70"/>
              <w:bottom w:type="dxa" w:w="45"/>
              <w:right w:type="dxa" w:w="70"/>
            </w:tcMar>
          </w:tcPr>
          <w:p>
            <w:r>
              <w:rPr>
                <w:b w:val="false"/>
                <w:bCs w:val="false"/>
                <w:sz w:val="16"/>
                <w:szCs w:val="16"/>
              </w:rPr>
              <w:t xml:space="preserve">Table I</w:t>
            </w:r>
          </w:p>
        </w:tc>
        <w:tc>
          <w:tcPr>
            <w:tcW w:type="dxa" w:w="5210"/>
            <w:tcMar>
              <w:top w:type="dxa" w:w="45"/>
              <w:left w:type="dxa" w:w="70"/>
              <w:bottom w:type="dxa" w:w="45"/>
              <w:right w:type="dxa" w:w="70"/>
            </w:tcMar>
          </w:tcPr>
          <w:p>
            <w:r>
              <w:rPr>
                <w:b w:val="false"/>
                <w:bCs w:val="false"/>
                <w:sz w:val="16"/>
                <w:szCs w:val="16"/>
              </w:rPr>
              <w:t xml:space="preserve">Phage, accession, class, family, subfamily, genome size, GC%, CDS count, tRNA count, NCBI status, QC flags</w:t>
            </w:r>
          </w:p>
        </w:tc>
      </w:tr>
      <w:tr>
        <w:tc>
          <w:tcPr>
            <w:tcW w:type="dxa" w:w="2450"/>
            <w:tcMar>
              <w:top w:type="dxa" w:w="45"/>
              <w:left w:type="dxa" w:w="70"/>
              <w:bottom w:type="dxa" w:w="45"/>
              <w:right w:type="dxa" w:w="70"/>
            </w:tcMar>
          </w:tcPr>
          <w:p>
            <w:r>
              <w:rPr>
                <w:b w:val="false"/>
                <w:bCs w:val="false"/>
                <w:sz w:val="16"/>
                <w:szCs w:val="16"/>
              </w:rPr>
              <w:t xml:space="preserve">S2_holin_rbp_annotation.py</w:t>
            </w:r>
          </w:p>
        </w:tc>
        <w:tc>
          <w:tcPr>
            <w:tcW w:type="dxa" w:w="1700"/>
            <w:tcMar>
              <w:top w:type="dxa" w:w="45"/>
              <w:left w:type="dxa" w:w="70"/>
              <w:bottom w:type="dxa" w:w="45"/>
              <w:right w:type="dxa" w:w="70"/>
            </w:tcMar>
          </w:tcPr>
          <w:p>
            <w:r>
              <w:rPr>
                <w:b w:val="false"/>
                <w:bCs w:val="false"/>
                <w:sz w:val="16"/>
                <w:szCs w:val="16"/>
              </w:rPr>
              <w:t xml:space="preserve">Table II (2 columns), Table III</w:t>
            </w:r>
          </w:p>
        </w:tc>
        <w:tc>
          <w:tcPr>
            <w:tcW w:type="dxa" w:w="5210"/>
            <w:tcMar>
              <w:top w:type="dxa" w:w="45"/>
              <w:left w:type="dxa" w:w="70"/>
              <w:bottom w:type="dxa" w:w="45"/>
              <w:right w:type="dxa" w:w="70"/>
            </w:tcMar>
          </w:tcPr>
          <w:p>
            <w:r>
              <w:rPr>
                <w:b w:val="false"/>
                <w:bCs w:val="false"/>
                <w:sz w:val="16"/>
                <w:szCs w:val="16"/>
              </w:rPr>
              <w:t xml:space="preserve">Holin presence, RBP presence and locus count, with the matched annotation string as evidence</w:t>
            </w:r>
          </w:p>
        </w:tc>
      </w:tr>
      <w:tr>
        <w:tc>
          <w:tcPr>
            <w:tcW w:type="dxa" w:w="2450"/>
            <w:tcMar>
              <w:top w:type="dxa" w:w="45"/>
              <w:left w:type="dxa" w:w="70"/>
              <w:bottom w:type="dxa" w:w="45"/>
              <w:right w:type="dxa" w:w="70"/>
            </w:tcMar>
          </w:tcPr>
          <w:p>
            <w:r>
              <w:rPr>
                <w:b w:val="false"/>
                <w:bCs w:val="false"/>
                <w:sz w:val="16"/>
                <w:szCs w:val="16"/>
              </w:rPr>
              <w:t xml:space="preserve">S3_terl_extractor.py</w:t>
            </w:r>
          </w:p>
        </w:tc>
        <w:tc>
          <w:tcPr>
            <w:tcW w:type="dxa" w:w="1700"/>
            <w:tcMar>
              <w:top w:type="dxa" w:w="45"/>
              <w:left w:type="dxa" w:w="70"/>
              <w:bottom w:type="dxa" w:w="45"/>
              <w:right w:type="dxa" w:w="70"/>
            </w:tcMar>
          </w:tcPr>
          <w:p>
            <w:r>
              <w:rPr>
                <w:b w:val="false"/>
                <w:bCs w:val="false"/>
                <w:sz w:val="16"/>
                <w:szCs w:val="16"/>
              </w:rPr>
              <w:t xml:space="preserve">Figure 1</w:t>
            </w:r>
          </w:p>
        </w:tc>
        <w:tc>
          <w:tcPr>
            <w:tcW w:type="dxa" w:w="5210"/>
            <w:tcMar>
              <w:top w:type="dxa" w:w="45"/>
              <w:left w:type="dxa" w:w="70"/>
              <w:bottom w:type="dxa" w:w="45"/>
              <w:right w:type="dxa" w:w="70"/>
            </w:tcMar>
          </w:tcPr>
          <w:p>
            <w:r>
              <w:rPr>
                <w:b w:val="false"/>
                <w:bCs w:val="false"/>
                <w:sz w:val="16"/>
                <w:szCs w:val="16"/>
              </w:rPr>
              <w:t xml:space="preserve">TerL multi-FASTA for MAFFT and MEGA</w:t>
            </w:r>
          </w:p>
        </w:tc>
      </w:tr>
      <w:tr>
        <w:tc>
          <w:tcPr>
            <w:tcW w:type="dxa" w:w="2450"/>
            <w:tcMar>
              <w:top w:type="dxa" w:w="45"/>
              <w:left w:type="dxa" w:w="70"/>
              <w:bottom w:type="dxa" w:w="45"/>
              <w:right w:type="dxa" w:w="70"/>
            </w:tcMar>
          </w:tcPr>
          <w:p>
            <w:r>
              <w:rPr>
                <w:b w:val="false"/>
                <w:bCs w:val="false"/>
                <w:sz w:val="16"/>
                <w:szCs w:val="16"/>
              </w:rPr>
              <w:t xml:space="preserve">S4_endolysin_extractor.py</w:t>
            </w:r>
          </w:p>
        </w:tc>
        <w:tc>
          <w:tcPr>
            <w:tcW w:type="dxa" w:w="1700"/>
            <w:tcMar>
              <w:top w:type="dxa" w:w="45"/>
              <w:left w:type="dxa" w:w="70"/>
              <w:bottom w:type="dxa" w:w="45"/>
              <w:right w:type="dxa" w:w="70"/>
            </w:tcMar>
          </w:tcPr>
          <w:p>
            <w:r>
              <w:rPr>
                <w:b w:val="false"/>
                <w:bCs w:val="false"/>
                <w:sz w:val="16"/>
                <w:szCs w:val="16"/>
              </w:rPr>
              <w:t xml:space="preserve">Table II (4 columns)</w:t>
            </w:r>
          </w:p>
        </w:tc>
        <w:tc>
          <w:tcPr>
            <w:tcW w:type="dxa" w:w="5210"/>
            <w:tcMar>
              <w:top w:type="dxa" w:w="45"/>
              <w:left w:type="dxa" w:w="70"/>
              <w:bottom w:type="dxa" w:w="45"/>
              <w:right w:type="dxa" w:w="70"/>
            </w:tcMar>
          </w:tcPr>
          <w:p>
            <w:r>
              <w:rPr>
                <w:b w:val="false"/>
                <w:bCs w:val="false"/>
                <w:sz w:val="16"/>
                <w:szCs w:val="16"/>
              </w:rPr>
              <w:t xml:space="preserve">Ranked endolysin audit, unique-sequence FASTA for InterPro, lysis-axis triage</w:t>
            </w:r>
          </w:p>
        </w:tc>
      </w:tr>
      <w:tr>
        <w:tc>
          <w:tcPr>
            <w:tcW w:type="dxa" w:w="2450"/>
            <w:tcMar>
              <w:top w:type="dxa" w:w="45"/>
              <w:left w:type="dxa" w:w="70"/>
              <w:bottom w:type="dxa" w:w="45"/>
              <w:right w:type="dxa" w:w="70"/>
            </w:tcMar>
          </w:tcPr>
          <w:p>
            <w:r>
              <w:rPr>
                <w:b w:val="false"/>
                <w:bCs w:val="false"/>
                <w:sz w:val="16"/>
                <w:szCs w:val="16"/>
              </w:rPr>
              <w:t xml:space="preserve">S4b_endolysin_domain_identity.py</w:t>
            </w:r>
          </w:p>
        </w:tc>
        <w:tc>
          <w:tcPr>
            <w:tcW w:type="dxa" w:w="1700"/>
            <w:tcMar>
              <w:top w:type="dxa" w:w="45"/>
              <w:left w:type="dxa" w:w="70"/>
              <w:bottom w:type="dxa" w:w="45"/>
              <w:right w:type="dxa" w:w="70"/>
            </w:tcMar>
          </w:tcPr>
          <w:p>
            <w:r>
              <w:rPr>
                <w:b w:val="false"/>
                <w:bCs w:val="false"/>
                <w:sz w:val="16"/>
                <w:szCs w:val="16"/>
              </w:rPr>
              <w:t xml:space="preserve">Supplementary Table S4</w:t>
            </w:r>
          </w:p>
        </w:tc>
        <w:tc>
          <w:tcPr>
            <w:tcW w:type="dxa" w:w="5210"/>
            <w:tcMar>
              <w:top w:type="dxa" w:w="45"/>
              <w:left w:type="dxa" w:w="70"/>
              <w:bottom w:type="dxa" w:w="45"/>
              <w:right w:type="dxa" w:w="70"/>
            </w:tcMar>
          </w:tcPr>
          <w:p>
            <w:r>
              <w:rPr>
                <w:b w:val="false"/>
                <w:bCs w:val="false"/>
                <w:sz w:val="16"/>
                <w:szCs w:val="16"/>
              </w:rPr>
              <w:t xml:space="preserve">Per-domain pairwise identity (CHAP, amidase, SH3b) and full-length</w:t>
            </w:r>
          </w:p>
        </w:tc>
      </w:tr>
      <w:tr>
        <w:tc>
          <w:tcPr>
            <w:tcW w:type="dxa" w:w="2450"/>
            <w:tcMar>
              <w:top w:type="dxa" w:w="45"/>
              <w:left w:type="dxa" w:w="70"/>
              <w:bottom w:type="dxa" w:w="45"/>
              <w:right w:type="dxa" w:w="70"/>
            </w:tcMar>
          </w:tcPr>
          <w:p>
            <w:r>
              <w:rPr>
                <w:b w:val="false"/>
                <w:bCs w:val="false"/>
                <w:sz w:val="16"/>
                <w:szCs w:val="16"/>
              </w:rPr>
              <w:t xml:space="preserve">S5_rbp_extractor.py</w:t>
            </w:r>
          </w:p>
        </w:tc>
        <w:tc>
          <w:tcPr>
            <w:tcW w:type="dxa" w:w="1700"/>
            <w:tcMar>
              <w:top w:type="dxa" w:w="45"/>
              <w:left w:type="dxa" w:w="70"/>
              <w:bottom w:type="dxa" w:w="45"/>
              <w:right w:type="dxa" w:w="70"/>
            </w:tcMar>
          </w:tcPr>
          <w:p>
            <w:r>
              <w:rPr>
                <w:b w:val="false"/>
                <w:bCs w:val="false"/>
                <w:sz w:val="16"/>
                <w:szCs w:val="16"/>
              </w:rPr>
              <w:t xml:space="preserve">— (not used)</w:t>
            </w:r>
          </w:p>
        </w:tc>
        <w:tc>
          <w:tcPr>
            <w:tcW w:type="dxa" w:w="5210"/>
            <w:tcMar>
              <w:top w:type="dxa" w:w="45"/>
              <w:left w:type="dxa" w:w="70"/>
              <w:bottom w:type="dxa" w:w="45"/>
              <w:right w:type="dxa" w:w="70"/>
            </w:tcMar>
          </w:tcPr>
          <w:p>
            <w:r>
              <w:rPr>
                <w:b w:val="false"/>
                <w:bCs w:val="false"/>
                <w:sz w:val="16"/>
                <w:szCs w:val="16"/>
              </w:rPr>
              <w:t xml:space="preserve">Included for completeness; produces no manuscript output</w:t>
            </w:r>
          </w:p>
        </w:tc>
      </w:tr>
      <w:tr>
        <w:tc>
          <w:tcPr>
            <w:tcW w:type="dxa" w:w="2450"/>
            <w:tcMar>
              <w:top w:type="dxa" w:w="45"/>
              <w:left w:type="dxa" w:w="70"/>
              <w:bottom w:type="dxa" w:w="45"/>
              <w:right w:type="dxa" w:w="70"/>
            </w:tcMar>
          </w:tcPr>
          <w:p>
            <w:r>
              <w:rPr>
                <w:b w:val="false"/>
                <w:bCs w:val="false"/>
                <w:sz w:val="16"/>
                <w:szCs w:val="16"/>
              </w:rPr>
              <w:t xml:space="preserve">S6_tRNA_analyzer.py</w:t>
            </w:r>
          </w:p>
        </w:tc>
        <w:tc>
          <w:tcPr>
            <w:tcW w:type="dxa" w:w="1700"/>
            <w:tcMar>
              <w:top w:type="dxa" w:w="45"/>
              <w:left w:type="dxa" w:w="70"/>
              <w:bottom w:type="dxa" w:w="45"/>
              <w:right w:type="dxa" w:w="70"/>
            </w:tcMar>
          </w:tcPr>
          <w:p>
            <w:r>
              <w:rPr>
                <w:b w:val="false"/>
                <w:bCs w:val="false"/>
                <w:sz w:val="16"/>
                <w:szCs w:val="16"/>
              </w:rPr>
              <w:t xml:space="preserve">Results (tRNA counts)</w:t>
            </w:r>
          </w:p>
        </w:tc>
        <w:tc>
          <w:tcPr>
            <w:tcW w:type="dxa" w:w="5210"/>
            <w:tcMar>
              <w:top w:type="dxa" w:w="45"/>
              <w:left w:type="dxa" w:w="70"/>
              <w:bottom w:type="dxa" w:w="45"/>
              <w:right w:type="dxa" w:w="70"/>
            </w:tcMar>
          </w:tcPr>
          <w:p>
            <w:r>
              <w:rPr>
                <w:b w:val="false"/>
                <w:bCs w:val="false"/>
                <w:sz w:val="16"/>
                <w:szCs w:val="16"/>
              </w:rPr>
              <w:t xml:space="preserve">De novo tRNA detail and per-genome summary</w:t>
            </w:r>
          </w:p>
        </w:tc>
      </w:tr>
      <w:tr>
        <w:tc>
          <w:tcPr>
            <w:tcW w:type="dxa" w:w="2450"/>
            <w:tcMar>
              <w:top w:type="dxa" w:w="45"/>
              <w:left w:type="dxa" w:w="70"/>
              <w:bottom w:type="dxa" w:w="45"/>
              <w:right w:type="dxa" w:w="70"/>
            </w:tcMar>
          </w:tcPr>
          <w:p>
            <w:r>
              <w:rPr>
                <w:b w:val="false"/>
                <w:bCs w:val="false"/>
                <w:sz w:val="16"/>
                <w:szCs w:val="16"/>
              </w:rPr>
              <w:t xml:space="preserve">S7_codon_trna_coverage.py</w:t>
            </w:r>
          </w:p>
        </w:tc>
        <w:tc>
          <w:tcPr>
            <w:tcW w:type="dxa" w:w="1700"/>
            <w:tcMar>
              <w:top w:type="dxa" w:w="45"/>
              <w:left w:type="dxa" w:w="70"/>
              <w:bottom w:type="dxa" w:w="45"/>
              <w:right w:type="dxa" w:w="70"/>
            </w:tcMar>
          </w:tcPr>
          <w:p>
            <w:r>
              <w:rPr>
                <w:b w:val="false"/>
                <w:bCs w:val="false"/>
                <w:sz w:val="16"/>
                <w:szCs w:val="16"/>
              </w:rPr>
              <w:t xml:space="preserve">Results (tRNA coverage)</w:t>
            </w:r>
          </w:p>
        </w:tc>
        <w:tc>
          <w:tcPr>
            <w:tcW w:type="dxa" w:w="5210"/>
            <w:tcMar>
              <w:top w:type="dxa" w:w="45"/>
              <w:left w:type="dxa" w:w="70"/>
              <w:bottom w:type="dxa" w:w="45"/>
              <w:right w:type="dxa" w:w="70"/>
            </w:tcMar>
          </w:tcPr>
          <w:p>
            <w:r>
              <w:rPr>
                <w:b w:val="false"/>
                <w:bCs w:val="false"/>
                <w:sz w:val="16"/>
                <w:szCs w:val="16"/>
              </w:rPr>
              <w:t xml:space="preserve">Host RSCU, rare-codon list, phage tRNA codon coverage</w:t>
            </w:r>
          </w:p>
        </w:tc>
      </w:tr>
      <w:tr>
        <w:tc>
          <w:tcPr>
            <w:tcW w:type="dxa" w:w="2450"/>
            <w:tcMar>
              <w:top w:type="dxa" w:w="45"/>
              <w:left w:type="dxa" w:w="70"/>
              <w:bottom w:type="dxa" w:w="45"/>
              <w:right w:type="dxa" w:w="70"/>
            </w:tcMar>
          </w:tcPr>
          <w:p>
            <w:r>
              <w:rPr>
                <w:b w:val="false"/>
                <w:bCs w:val="false"/>
                <w:sz w:val="16"/>
                <w:szCs w:val="16"/>
              </w:rPr>
              <w:t xml:space="preserve">S7b_phage_codon_usage.py</w:t>
            </w:r>
          </w:p>
        </w:tc>
        <w:tc>
          <w:tcPr>
            <w:tcW w:type="dxa" w:w="1700"/>
            <w:tcMar>
              <w:top w:type="dxa" w:w="45"/>
              <w:left w:type="dxa" w:w="70"/>
              <w:bottom w:type="dxa" w:w="45"/>
              <w:right w:type="dxa" w:w="70"/>
            </w:tcMar>
          </w:tcPr>
          <w:p>
            <w:r>
              <w:rPr>
                <w:b w:val="false"/>
                <w:bCs w:val="false"/>
                <w:sz w:val="16"/>
                <w:szCs w:val="16"/>
              </w:rPr>
              <w:t xml:space="preserve">Supplementary Table S2</w:t>
            </w:r>
          </w:p>
        </w:tc>
        <w:tc>
          <w:tcPr>
            <w:tcW w:type="dxa" w:w="5210"/>
            <w:tcMar>
              <w:top w:type="dxa" w:w="45"/>
              <w:left w:type="dxa" w:w="70"/>
              <w:bottom w:type="dxa" w:w="45"/>
              <w:right w:type="dxa" w:w="70"/>
            </w:tcMar>
          </w:tcPr>
          <w:p>
            <w:r>
              <w:rPr>
                <w:b w:val="false"/>
                <w:bCs w:val="false"/>
                <w:sz w:val="16"/>
                <w:szCs w:val="16"/>
              </w:rPr>
              <w:t xml:space="preserve">Per-genome phage RSCU and similarity to the host</w:t>
            </w:r>
          </w:p>
        </w:tc>
      </w:tr>
    </w:tbl>
    <w:p>
      <w:pPr>
        <w:spacing w:after="200"/>
      </w:pPr>
      <w:r>
        <w:rPr>
          <w:b/>
          <w:bCs/>
          <w:sz w:val="21"/>
          <w:szCs w:val="21"/>
        </w:rPr>
        <w:t xml:space="preserve">Table II is produced by two scripts: </w:t>
      </w:r>
      <w:r>
        <w:rPr>
          <w:sz w:val="21"/>
          <w:szCs w:val="21"/>
        </w:rPr>
        <w:t xml:space="preserve">S2 supplies the holin and RBP columns, S4 followed by InterPro supplies the endolysin product, length, catalytic-domain and wall-binding-domain columns. Table III is S2 run three times, once per annotation source.</w:t>
      </w:r>
    </w:p>
    <w:p>
      <w:pPr>
        <w:spacing w:after="150"/>
      </w:pPr>
      <w:r>
        <w:rPr>
          <w:b/>
          <w:bCs/>
          <w:sz w:val="21"/>
          <w:szCs w:val="21"/>
        </w:rPr>
        <w:t xml:space="preserve">Note on S4. </w:t>
      </w:r>
      <w:r>
        <w:rPr>
          <w:i/>
          <w:iCs/>
          <w:sz w:val="21"/>
          <w:szCs w:val="21"/>
        </w:rPr>
        <w:t xml:space="preserve">S4_endolysin_extractor_for_interpro.py</w:t>
      </w:r>
      <w:r>
        <w:rPr>
          <w:sz w:val="21"/>
          <w:szCs w:val="21"/>
        </w:rPr>
        <w:t xml:space="preserve"> is the script used for the original submission and is retained so the first version of Table II can be reproduced. </w:t>
      </w:r>
      <w:r>
        <w:rPr>
          <w:i/>
          <w:iCs/>
          <w:sz w:val="21"/>
          <w:szCs w:val="21"/>
        </w:rPr>
        <w:t xml:space="preserve">S4_endolysin_extractor.py</w:t>
      </w:r>
      <w:r>
        <w:rPr>
          <w:sz w:val="21"/>
          <w:szCs w:val="21"/>
        </w:rPr>
        <w:t xml:space="preserve"> is the current v3.2 script used for the revision. They are not interchangeable.</w:t>
      </w:r>
    </w:p>
    <w:p>
      <w:pPr>
        <w:pStyle w:val="Heading1"/>
        <w:spacing w:after="140" w:before="320"/>
      </w:pPr>
      <w:r>
        <w:t xml:space="preserve">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5060"/>
      </w:tblGrid>
      <w:tr>
        <w:trPr>
          <w:tblHeader/>
        </w:trPr>
        <w:tc>
          <w:tcPr>
            <w:tcW w:type="dxa" w:w="2200"/>
            <w:shd w:fill="F2F2F2" w:val="clear"/>
            <w:tcMar>
              <w:top w:type="dxa" w:w="45"/>
              <w:left w:type="dxa" w:w="70"/>
              <w:bottom w:type="dxa" w:w="45"/>
              <w:right w:type="dxa" w:w="70"/>
            </w:tcMar>
          </w:tcPr>
          <w:p>
            <w:r>
              <w:rPr>
                <w:b/>
                <w:bCs/>
                <w:sz w:val="16"/>
                <w:szCs w:val="16"/>
              </w:rPr>
              <w:t xml:space="preserve">Dependency</w:t>
            </w:r>
          </w:p>
        </w:tc>
        <w:tc>
          <w:tcPr>
            <w:tcW w:type="dxa" w:w="2100"/>
            <w:shd w:fill="F2F2F2" w:val="clear"/>
            <w:tcMar>
              <w:top w:type="dxa" w:w="45"/>
              <w:left w:type="dxa" w:w="70"/>
              <w:bottom w:type="dxa" w:w="45"/>
              <w:right w:type="dxa" w:w="70"/>
            </w:tcMar>
          </w:tcPr>
          <w:p>
            <w:r>
              <w:rPr>
                <w:b/>
                <w:bCs/>
                <w:sz w:val="16"/>
                <w:szCs w:val="16"/>
              </w:rPr>
              <w:t xml:space="preserve">Version used</w:t>
            </w:r>
          </w:p>
        </w:tc>
        <w:tc>
          <w:tcPr>
            <w:tcW w:type="dxa" w:w="5060"/>
            <w:shd w:fill="F2F2F2" w:val="clear"/>
            <w:tcMar>
              <w:top w:type="dxa" w:w="45"/>
              <w:left w:type="dxa" w:w="70"/>
              <w:bottom w:type="dxa" w:w="45"/>
              <w:right w:type="dxa" w:w="70"/>
            </w:tcMar>
          </w:tcPr>
          <w:p>
            <w:r>
              <w:rPr>
                <w:b/>
                <w:bCs/>
                <w:sz w:val="16"/>
                <w:szCs w:val="16"/>
              </w:rPr>
              <w:t xml:space="preserve">Type / notes</w:t>
            </w:r>
          </w:p>
        </w:tc>
      </w:tr>
      <w:tr>
        <w:tc>
          <w:tcPr>
            <w:tcW w:type="dxa" w:w="2200"/>
            <w:tcMar>
              <w:top w:type="dxa" w:w="45"/>
              <w:left w:type="dxa" w:w="70"/>
              <w:bottom w:type="dxa" w:w="45"/>
              <w:right w:type="dxa" w:w="70"/>
            </w:tcMar>
          </w:tcPr>
          <w:p>
            <w:r>
              <w:rPr>
                <w:b w:val="false"/>
                <w:bCs w:val="false"/>
                <w:sz w:val="16"/>
                <w:szCs w:val="16"/>
              </w:rPr>
              <w:t xml:space="preserve">Python</w:t>
            </w:r>
          </w:p>
        </w:tc>
        <w:tc>
          <w:tcPr>
            <w:tcW w:type="dxa" w:w="2100"/>
            <w:tcMar>
              <w:top w:type="dxa" w:w="45"/>
              <w:left w:type="dxa" w:w="70"/>
              <w:bottom w:type="dxa" w:w="45"/>
              <w:right w:type="dxa" w:w="70"/>
            </w:tcMar>
          </w:tcPr>
          <w:p>
            <w:r>
              <w:rPr>
                <w:b w:val="false"/>
                <w:bCs w:val="false"/>
                <w:sz w:val="16"/>
                <w:szCs w:val="16"/>
              </w:rPr>
              <w:t xml:space="preserve">3.12.10</w:t>
            </w:r>
          </w:p>
        </w:tc>
        <w:tc>
          <w:tcPr>
            <w:tcW w:type="dxa" w:w="5060"/>
            <w:tcMar>
              <w:top w:type="dxa" w:w="45"/>
              <w:left w:type="dxa" w:w="70"/>
              <w:bottom w:type="dxa" w:w="45"/>
              <w:right w:type="dxa" w:w="70"/>
            </w:tcMar>
          </w:tcPr>
          <w:p>
            <w:r>
              <w:rPr>
                <w:b w:val="false"/>
                <w:bCs w:val="false"/>
                <w:sz w:val="16"/>
                <w:szCs w:val="16"/>
              </w:rPr>
              <w:t xml:space="preserve">interpreter; ≥3.10 required</w:t>
            </w:r>
          </w:p>
        </w:tc>
      </w:tr>
      <w:tr>
        <w:tc>
          <w:tcPr>
            <w:tcW w:type="dxa" w:w="2200"/>
            <w:tcMar>
              <w:top w:type="dxa" w:w="45"/>
              <w:left w:type="dxa" w:w="70"/>
              <w:bottom w:type="dxa" w:w="45"/>
              <w:right w:type="dxa" w:w="70"/>
            </w:tcMar>
          </w:tcPr>
          <w:p>
            <w:r>
              <w:rPr>
                <w:b w:val="false"/>
                <w:bCs w:val="false"/>
                <w:sz w:val="16"/>
                <w:szCs w:val="16"/>
              </w:rPr>
              <w:t xml:space="preserve">biopython</w:t>
            </w:r>
          </w:p>
        </w:tc>
        <w:tc>
          <w:tcPr>
            <w:tcW w:type="dxa" w:w="2100"/>
            <w:tcMar>
              <w:top w:type="dxa" w:w="45"/>
              <w:left w:type="dxa" w:w="70"/>
              <w:bottom w:type="dxa" w:w="45"/>
              <w:right w:type="dxa" w:w="70"/>
            </w:tcMar>
          </w:tcPr>
          <w:p>
            <w:r>
              <w:rPr>
                <w:b w:val="false"/>
                <w:bCs w:val="false"/>
                <w:sz w:val="16"/>
                <w:szCs w:val="16"/>
              </w:rPr>
              <w:t xml:space="preserve">1.87</w:t>
            </w:r>
          </w:p>
        </w:tc>
        <w:tc>
          <w:tcPr>
            <w:tcW w:type="dxa" w:w="5060"/>
            <w:tcMar>
              <w:top w:type="dxa" w:w="45"/>
              <w:left w:type="dxa" w:w="70"/>
              <w:bottom w:type="dxa" w:w="45"/>
              <w:right w:type="dxa" w:w="70"/>
            </w:tcMar>
          </w:tcPr>
          <w:p>
            <w:r>
              <w:rPr>
                <w:b w:val="false"/>
                <w:bCs w:val="false"/>
                <w:sz w:val="16"/>
                <w:szCs w:val="16"/>
              </w:rPr>
              <w:t xml:space="preserve">pip — all stages</w:t>
            </w:r>
          </w:p>
        </w:tc>
      </w:tr>
      <w:tr>
        <w:tc>
          <w:tcPr>
            <w:tcW w:type="dxa" w:w="2200"/>
            <w:tcMar>
              <w:top w:type="dxa" w:w="45"/>
              <w:left w:type="dxa" w:w="70"/>
              <w:bottom w:type="dxa" w:w="45"/>
              <w:right w:type="dxa" w:w="70"/>
            </w:tcMar>
          </w:tcPr>
          <w:p>
            <w:r>
              <w:rPr>
                <w:b w:val="false"/>
                <w:bCs w:val="false"/>
                <w:sz w:val="16"/>
                <w:szCs w:val="16"/>
              </w:rPr>
              <w:t xml:space="preserve">pandas</w:t>
            </w:r>
          </w:p>
        </w:tc>
        <w:tc>
          <w:tcPr>
            <w:tcW w:type="dxa" w:w="2100"/>
            <w:tcMar>
              <w:top w:type="dxa" w:w="45"/>
              <w:left w:type="dxa" w:w="70"/>
              <w:bottom w:type="dxa" w:w="45"/>
              <w:right w:type="dxa" w:w="70"/>
            </w:tcMar>
          </w:tcPr>
          <w:p>
            <w:r>
              <w:rPr>
                <w:b w:val="false"/>
                <w:bCs w:val="false"/>
                <w:sz w:val="16"/>
                <w:szCs w:val="16"/>
              </w:rPr>
              <w:t xml:space="preserve">3.0.3</w:t>
            </w:r>
          </w:p>
        </w:tc>
        <w:tc>
          <w:tcPr>
            <w:tcW w:type="dxa" w:w="5060"/>
            <w:tcMar>
              <w:top w:type="dxa" w:w="45"/>
              <w:left w:type="dxa" w:w="70"/>
              <w:bottom w:type="dxa" w:w="45"/>
              <w:right w:type="dxa" w:w="70"/>
            </w:tcMar>
          </w:tcPr>
          <w:p>
            <w:r>
              <w:rPr>
                <w:b w:val="false"/>
                <w:bCs w:val="false"/>
                <w:sz w:val="16"/>
                <w:szCs w:val="16"/>
              </w:rPr>
              <w:t xml:space="preserve">pip — CSV output</w:t>
            </w:r>
          </w:p>
        </w:tc>
      </w:tr>
      <w:tr>
        <w:tc>
          <w:tcPr>
            <w:tcW w:type="dxa" w:w="2200"/>
            <w:tcMar>
              <w:top w:type="dxa" w:w="45"/>
              <w:left w:type="dxa" w:w="70"/>
              <w:bottom w:type="dxa" w:w="45"/>
              <w:right w:type="dxa" w:w="70"/>
            </w:tcMar>
          </w:tcPr>
          <w:p>
            <w:r>
              <w:rPr>
                <w:b w:val="false"/>
                <w:bCs w:val="false"/>
                <w:sz w:val="16"/>
                <w:szCs w:val="16"/>
              </w:rPr>
              <w:t xml:space="preserve">PyYAML</w:t>
            </w:r>
          </w:p>
        </w:tc>
        <w:tc>
          <w:tcPr>
            <w:tcW w:type="dxa" w:w="2100"/>
            <w:tcMar>
              <w:top w:type="dxa" w:w="45"/>
              <w:left w:type="dxa" w:w="70"/>
              <w:bottom w:type="dxa" w:w="45"/>
              <w:right w:type="dxa" w:w="70"/>
            </w:tcMar>
          </w:tcPr>
          <w:p>
            <w:r>
              <w:rPr>
                <w:b w:val="false"/>
                <w:bCs w:val="false"/>
                <w:sz w:val="16"/>
                <w:szCs w:val="16"/>
              </w:rPr>
              <w:t xml:space="preserve">any</w:t>
            </w:r>
          </w:p>
        </w:tc>
        <w:tc>
          <w:tcPr>
            <w:tcW w:type="dxa" w:w="5060"/>
            <w:tcMar>
              <w:top w:type="dxa" w:w="45"/>
              <w:left w:type="dxa" w:w="70"/>
              <w:bottom w:type="dxa" w:w="45"/>
              <w:right w:type="dxa" w:w="70"/>
            </w:tcMar>
          </w:tcPr>
          <w:p>
            <w:r>
              <w:rPr>
                <w:b w:val="false"/>
                <w:bCs w:val="false"/>
                <w:sz w:val="16"/>
                <w:szCs w:val="16"/>
              </w:rPr>
              <w:t xml:space="preserve">pip — loading the profile</w:t>
            </w:r>
          </w:p>
        </w:tc>
      </w:tr>
      <w:tr>
        <w:tc>
          <w:tcPr>
            <w:tcW w:type="dxa" w:w="2200"/>
            <w:tcMar>
              <w:top w:type="dxa" w:w="45"/>
              <w:left w:type="dxa" w:w="70"/>
              <w:bottom w:type="dxa" w:w="45"/>
              <w:right w:type="dxa" w:w="70"/>
            </w:tcMar>
          </w:tcPr>
          <w:p>
            <w:r>
              <w:rPr>
                <w:b w:val="false"/>
                <w:bCs w:val="false"/>
                <w:sz w:val="16"/>
                <w:szCs w:val="16"/>
              </w:rPr>
              <w:t xml:space="preserve">numpy</w:t>
            </w:r>
          </w:p>
        </w:tc>
        <w:tc>
          <w:tcPr>
            <w:tcW w:type="dxa" w:w="2100"/>
            <w:tcMar>
              <w:top w:type="dxa" w:w="45"/>
              <w:left w:type="dxa" w:w="70"/>
              <w:bottom w:type="dxa" w:w="45"/>
              <w:right w:type="dxa" w:w="70"/>
            </w:tcMar>
          </w:tcPr>
          <w:p>
            <w:r>
              <w:rPr>
                <w:b w:val="false"/>
                <w:bCs w:val="false"/>
                <w:sz w:val="16"/>
                <w:szCs w:val="16"/>
              </w:rPr>
              <w:t xml:space="preserve">2.4.6</w:t>
            </w:r>
          </w:p>
        </w:tc>
        <w:tc>
          <w:tcPr>
            <w:tcW w:type="dxa" w:w="5060"/>
            <w:tcMar>
              <w:top w:type="dxa" w:w="45"/>
              <w:left w:type="dxa" w:w="70"/>
              <w:bottom w:type="dxa" w:w="45"/>
              <w:right w:type="dxa" w:w="70"/>
            </w:tcMar>
          </w:tcPr>
          <w:p>
            <w:r>
              <w:rPr>
                <w:b w:val="false"/>
                <w:bCs w:val="false"/>
                <w:sz w:val="16"/>
                <w:szCs w:val="16"/>
              </w:rPr>
              <w:t xml:space="preserve">installed with pandas; never imported directly</w:t>
            </w:r>
          </w:p>
        </w:tc>
      </w:tr>
      <w:tr>
        <w:tc>
          <w:tcPr>
            <w:tcW w:type="dxa" w:w="2200"/>
            <w:tcMar>
              <w:top w:type="dxa" w:w="45"/>
              <w:left w:type="dxa" w:w="70"/>
              <w:bottom w:type="dxa" w:w="45"/>
              <w:right w:type="dxa" w:w="70"/>
            </w:tcMar>
          </w:tcPr>
          <w:p>
            <w:r>
              <w:rPr>
                <w:b w:val="false"/>
                <w:bCs w:val="false"/>
                <w:sz w:val="16"/>
                <w:szCs w:val="16"/>
              </w:rPr>
              <w:t xml:space="preserve">BLAST+ (tblastn)</w:t>
            </w:r>
          </w:p>
        </w:tc>
        <w:tc>
          <w:tcPr>
            <w:tcW w:type="dxa" w:w="2100"/>
            <w:tcMar>
              <w:top w:type="dxa" w:w="45"/>
              <w:left w:type="dxa" w:w="70"/>
              <w:bottom w:type="dxa" w:w="45"/>
              <w:right w:type="dxa" w:w="70"/>
            </w:tcMar>
          </w:tcPr>
          <w:p>
            <w:r>
              <w:rPr>
                <w:b w:val="false"/>
                <w:bCs w:val="false"/>
                <w:sz w:val="16"/>
                <w:szCs w:val="16"/>
              </w:rPr>
              <w:t xml:space="preserve">2.16.0</w:t>
            </w:r>
          </w:p>
        </w:tc>
        <w:tc>
          <w:tcPr>
            <w:tcW w:type="dxa" w:w="5060"/>
            <w:tcMar>
              <w:top w:type="dxa" w:w="45"/>
              <w:left w:type="dxa" w:w="70"/>
              <w:bottom w:type="dxa" w:w="45"/>
              <w:right w:type="dxa" w:w="70"/>
            </w:tcMar>
          </w:tcPr>
          <w:p>
            <w:r>
              <w:rPr>
                <w:b w:val="false"/>
                <w:bCs w:val="false"/>
                <w:sz w:val="16"/>
                <w:szCs w:val="16"/>
              </w:rPr>
              <w:t xml:space="preserve">optional, --run-tblastn</w:t>
            </w:r>
          </w:p>
        </w:tc>
      </w:tr>
      <w:tr>
        <w:tc>
          <w:tcPr>
            <w:tcW w:type="dxa" w:w="2200"/>
            <w:tcMar>
              <w:top w:type="dxa" w:w="45"/>
              <w:left w:type="dxa" w:w="70"/>
              <w:bottom w:type="dxa" w:w="45"/>
              <w:right w:type="dxa" w:w="70"/>
            </w:tcMar>
          </w:tcPr>
          <w:p>
            <w:r>
              <w:rPr>
                <w:b w:val="false"/>
                <w:bCs w:val="false"/>
                <w:sz w:val="16"/>
                <w:szCs w:val="16"/>
              </w:rPr>
              <w:t xml:space="preserve">MAFFT</w:t>
            </w:r>
          </w:p>
        </w:tc>
        <w:tc>
          <w:tcPr>
            <w:tcW w:type="dxa" w:w="2100"/>
            <w:tcMar>
              <w:top w:type="dxa" w:w="45"/>
              <w:left w:type="dxa" w:w="70"/>
              <w:bottom w:type="dxa" w:w="45"/>
              <w:right w:type="dxa" w:w="70"/>
            </w:tcMar>
          </w:tcPr>
          <w:p>
            <w:r>
              <w:rPr>
                <w:b w:val="false"/>
                <w:bCs w:val="false"/>
                <w:sz w:val="16"/>
                <w:szCs w:val="16"/>
              </w:rPr>
              <w:t xml:space="preserve">web server, 16 Aug 2026</w:t>
            </w:r>
          </w:p>
        </w:tc>
        <w:tc>
          <w:tcPr>
            <w:tcW w:type="dxa" w:w="5060"/>
            <w:tcMar>
              <w:top w:type="dxa" w:w="45"/>
              <w:left w:type="dxa" w:w="70"/>
              <w:bottom w:type="dxa" w:w="45"/>
              <w:right w:type="dxa" w:w="70"/>
            </w:tcMar>
          </w:tcPr>
          <w:p>
            <w:r>
              <w:rPr>
                <w:b w:val="false"/>
                <w:bCs w:val="false"/>
                <w:sz w:val="16"/>
                <w:szCs w:val="16"/>
              </w:rPr>
              <w:t xml:space="preserve">https://mafft.cbrc.jp/alignment/server/</w:t>
            </w:r>
          </w:p>
        </w:tc>
      </w:tr>
      <w:tr>
        <w:tc>
          <w:tcPr>
            <w:tcW w:type="dxa" w:w="2200"/>
            <w:tcMar>
              <w:top w:type="dxa" w:w="45"/>
              <w:left w:type="dxa" w:w="70"/>
              <w:bottom w:type="dxa" w:w="45"/>
              <w:right w:type="dxa" w:w="70"/>
            </w:tcMar>
          </w:tcPr>
          <w:p>
            <w:r>
              <w:rPr>
                <w:b w:val="false"/>
                <w:bCs w:val="false"/>
                <w:sz w:val="16"/>
                <w:szCs w:val="16"/>
              </w:rPr>
              <w:t xml:space="preserve">MEGA</w:t>
            </w:r>
          </w:p>
        </w:tc>
        <w:tc>
          <w:tcPr>
            <w:tcW w:type="dxa" w:w="2100"/>
            <w:tcMar>
              <w:top w:type="dxa" w:w="45"/>
              <w:left w:type="dxa" w:w="70"/>
              <w:bottom w:type="dxa" w:w="45"/>
              <w:right w:type="dxa" w:w="70"/>
            </w:tcMar>
          </w:tcPr>
          <w:p>
            <w:r>
              <w:rPr>
                <w:b w:val="false"/>
                <w:bCs w:val="false"/>
                <w:sz w:val="16"/>
                <w:szCs w:val="16"/>
              </w:rPr>
              <w:t xml:space="preserve">12.1.2 (12251216-x86_64)</w:t>
            </w:r>
          </w:p>
        </w:tc>
        <w:tc>
          <w:tcPr>
            <w:tcW w:type="dxa" w:w="5060"/>
            <w:tcMar>
              <w:top w:type="dxa" w:w="45"/>
              <w:left w:type="dxa" w:w="70"/>
              <w:bottom w:type="dxa" w:w="45"/>
              <w:right w:type="dxa" w:w="70"/>
            </w:tcMar>
          </w:tcPr>
          <w:p>
            <w:r>
              <w:rPr>
                <w:b w:val="false"/>
                <w:bCs w:val="false"/>
                <w:sz w:val="16"/>
                <w:szCs w:val="16"/>
              </w:rPr>
              <w:t xml:space="preserve">https://www.megasoftware.net/</w:t>
            </w:r>
          </w:p>
        </w:tc>
      </w:tr>
      <w:tr>
        <w:tc>
          <w:tcPr>
            <w:tcW w:type="dxa" w:w="2200"/>
            <w:tcMar>
              <w:top w:type="dxa" w:w="45"/>
              <w:left w:type="dxa" w:w="70"/>
              <w:bottom w:type="dxa" w:w="45"/>
              <w:right w:type="dxa" w:w="70"/>
            </w:tcMar>
          </w:tcPr>
          <w:p>
            <w:r>
              <w:rPr>
                <w:b w:val="false"/>
                <w:bCs w:val="false"/>
                <w:sz w:val="16"/>
                <w:szCs w:val="16"/>
              </w:rPr>
              <w:t xml:space="preserve">InterPro</w:t>
            </w:r>
          </w:p>
        </w:tc>
        <w:tc>
          <w:tcPr>
            <w:tcW w:type="dxa" w:w="2100"/>
            <w:tcMar>
              <w:top w:type="dxa" w:w="45"/>
              <w:left w:type="dxa" w:w="70"/>
              <w:bottom w:type="dxa" w:w="45"/>
              <w:right w:type="dxa" w:w="70"/>
            </w:tcMar>
          </w:tcPr>
          <w:p>
            <w:r>
              <w:rPr>
                <w:b w:val="false"/>
                <w:bCs w:val="false"/>
                <w:sz w:val="16"/>
                <w:szCs w:val="16"/>
              </w:rPr>
              <w:t xml:space="preserve">108.0</w:t>
            </w:r>
          </w:p>
        </w:tc>
        <w:tc>
          <w:tcPr>
            <w:tcW w:type="dxa" w:w="5060"/>
            <w:tcMar>
              <w:top w:type="dxa" w:w="45"/>
              <w:left w:type="dxa" w:w="70"/>
              <w:bottom w:type="dxa" w:w="45"/>
              <w:right w:type="dxa" w:w="70"/>
            </w:tcMar>
          </w:tcPr>
          <w:p>
            <w:r>
              <w:rPr>
                <w:b w:val="false"/>
                <w:bCs w:val="false"/>
                <w:sz w:val="16"/>
                <w:szCs w:val="16"/>
              </w:rPr>
              <w:t xml:space="preserve">https://www.ebi.ac.uk/interpro/</w:t>
            </w:r>
          </w:p>
        </w:tc>
      </w:tr>
      <w:tr>
        <w:tc>
          <w:tcPr>
            <w:tcW w:type="dxa" w:w="2200"/>
            <w:tcMar>
              <w:top w:type="dxa" w:w="45"/>
              <w:left w:type="dxa" w:w="70"/>
              <w:bottom w:type="dxa" w:w="45"/>
              <w:right w:type="dxa" w:w="70"/>
            </w:tcMar>
          </w:tcPr>
          <w:p>
            <w:r>
              <w:rPr>
                <w:b w:val="false"/>
                <w:bCs w:val="false"/>
                <w:sz w:val="16"/>
                <w:szCs w:val="16"/>
              </w:rPr>
              <w:t xml:space="preserve">tRNAscan-SE</w:t>
            </w:r>
          </w:p>
        </w:tc>
        <w:tc>
          <w:tcPr>
            <w:tcW w:type="dxa" w:w="2100"/>
            <w:tcMar>
              <w:top w:type="dxa" w:w="45"/>
              <w:left w:type="dxa" w:w="70"/>
              <w:bottom w:type="dxa" w:w="45"/>
              <w:right w:type="dxa" w:w="70"/>
            </w:tcMar>
          </w:tcPr>
          <w:p>
            <w:r>
              <w:rPr>
                <w:b w:val="false"/>
                <w:bCs w:val="false"/>
                <w:sz w:val="16"/>
                <w:szCs w:val="16"/>
              </w:rPr>
              <w:t xml:space="preserve">2.0</w:t>
            </w:r>
          </w:p>
        </w:tc>
        <w:tc>
          <w:tcPr>
            <w:tcW w:type="dxa" w:w="5060"/>
            <w:tcMar>
              <w:top w:type="dxa" w:w="45"/>
              <w:left w:type="dxa" w:w="70"/>
              <w:bottom w:type="dxa" w:w="45"/>
              <w:right w:type="dxa" w:w="70"/>
            </w:tcMar>
          </w:tcPr>
          <w:p>
            <w:r>
              <w:rPr>
                <w:b w:val="false"/>
                <w:bCs w:val="false"/>
                <w:sz w:val="16"/>
                <w:szCs w:val="16"/>
              </w:rPr>
              <w:t xml:space="preserve">de novo tRNA prediction</w:t>
            </w:r>
          </w:p>
        </w:tc>
      </w:tr>
      <w:tr>
        <w:tc>
          <w:tcPr>
            <w:tcW w:type="dxa" w:w="2200"/>
            <w:tcMar>
              <w:top w:type="dxa" w:w="45"/>
              <w:left w:type="dxa" w:w="70"/>
              <w:bottom w:type="dxa" w:w="45"/>
              <w:right w:type="dxa" w:w="70"/>
            </w:tcMar>
          </w:tcPr>
          <w:p>
            <w:r>
              <w:rPr>
                <w:b w:val="false"/>
                <w:bCs w:val="false"/>
                <w:sz w:val="16"/>
                <w:szCs w:val="16"/>
              </w:rPr>
              <w:t xml:space="preserve">VIRIDIC</w:t>
            </w:r>
          </w:p>
        </w:tc>
        <w:tc>
          <w:tcPr>
            <w:tcW w:type="dxa" w:w="2100"/>
            <w:tcMar>
              <w:top w:type="dxa" w:w="45"/>
              <w:left w:type="dxa" w:w="70"/>
              <w:bottom w:type="dxa" w:w="45"/>
              <w:right w:type="dxa" w:w="70"/>
            </w:tcMar>
          </w:tcPr>
          <w:p>
            <w:r>
              <w:rPr>
                <w:b w:val="false"/>
                <w:bCs w:val="false"/>
                <w:sz w:val="16"/>
                <w:szCs w:val="16"/>
              </w:rPr>
              <w:t xml:space="preserve">web server</w:t>
            </w:r>
          </w:p>
        </w:tc>
        <w:tc>
          <w:tcPr>
            <w:tcW w:type="dxa" w:w="5060"/>
            <w:tcMar>
              <w:top w:type="dxa" w:w="45"/>
              <w:left w:type="dxa" w:w="70"/>
              <w:bottom w:type="dxa" w:w="45"/>
              <w:right w:type="dxa" w:w="70"/>
            </w:tcMar>
          </w:tcPr>
          <w:p>
            <w:r>
              <w:rPr>
                <w:b w:val="false"/>
                <w:bCs w:val="false"/>
                <w:sz w:val="16"/>
                <w:szCs w:val="16"/>
              </w:rPr>
              <w:t xml:space="preserve">intergenomic similarity</w:t>
            </w:r>
          </w:p>
        </w:tc>
      </w:tr>
      <w:tr>
        <w:tc>
          <w:tcPr>
            <w:tcW w:type="dxa" w:w="2200"/>
            <w:tcMar>
              <w:top w:type="dxa" w:w="45"/>
              <w:left w:type="dxa" w:w="70"/>
              <w:bottom w:type="dxa" w:w="45"/>
              <w:right w:type="dxa" w:w="70"/>
            </w:tcMar>
          </w:tcPr>
          <w:p>
            <w:r>
              <w:rPr>
                <w:b w:val="false"/>
                <w:bCs w:val="false"/>
                <w:sz w:val="16"/>
                <w:szCs w:val="16"/>
              </w:rPr>
              <w:t xml:space="preserve">Pharokka / Phold / Phynteny</w:t>
            </w:r>
          </w:p>
        </w:tc>
        <w:tc>
          <w:tcPr>
            <w:tcW w:type="dxa" w:w="2100"/>
            <w:tcMar>
              <w:top w:type="dxa" w:w="45"/>
              <w:left w:type="dxa" w:w="70"/>
              <w:bottom w:type="dxa" w:w="45"/>
              <w:right w:type="dxa" w:w="70"/>
            </w:tcMar>
          </w:tcPr>
          <w:p>
            <w:r>
              <w:rPr>
                <w:b w:val="false"/>
                <w:bCs w:val="false"/>
                <w:sz w:val="16"/>
                <w:szCs w:val="16"/>
              </w:rPr>
              <w:t xml:space="preserve">1.10.1 / 1.3.0 / 0.1.3</w:t>
            </w:r>
          </w:p>
        </w:tc>
        <w:tc>
          <w:tcPr>
            <w:tcW w:type="dxa" w:w="5060"/>
            <w:tcMar>
              <w:top w:type="dxa" w:w="45"/>
              <w:left w:type="dxa" w:w="70"/>
              <w:bottom w:type="dxa" w:w="45"/>
              <w:right w:type="dxa" w:w="70"/>
            </w:tcMar>
          </w:tcPr>
          <w:p>
            <w:r>
              <w:rPr>
                <w:b w:val="false"/>
                <w:bCs w:val="false"/>
                <w:sz w:val="16"/>
                <w:szCs w:val="16"/>
              </w:rPr>
              <w:t xml:space="preserve">Docker; PyTorch 2.8.0+cu128, setuptools&lt;82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pip install biopython==1.87 pandas==3.0.3 pyyaml</w:t>
            </w:r>
          </w:p>
        </w:tc>
      </w:tr>
    </w:tbl>
    <w:p>
      <w:pPr>
        <w:spacing w:after="200"/>
      </w:pPr>
      <w:r>
        <w:rPr>
          <w:sz w:val="21"/>
          <w:szCs w:val="21"/>
        </w:rPr>
        <w:t xml:space="preserve">Phynteny 0.1.3 imports pkg_resources, which setuptools removed in 82.0.0; the pin is required, not cosmetic. All other stages run on Windows and need no compilation.</w:t>
      </w:r>
    </w:p>
    <w:p>
      <w:pPr>
        <w:pStyle w:val="Heading1"/>
        <w:spacing w:after="140" w:before="320"/>
      </w:pPr>
      <w:r>
        <w:t xml:space="preserve">3. Input preparation</w:t>
      </w:r>
    </w:p>
    <w:p>
      <w:pPr>
        <w:spacing w:after="150"/>
      </w:pPr>
      <w:r>
        <w:rPr>
          <w:sz w:val="21"/>
          <w:szCs w:val="21"/>
        </w:rPr>
        <w:t xml:space="preserve">A directory of NCBI GenBank flat files (.gb, .gbk, .gbff), </w:t>
      </w:r>
      <w:r>
        <w:rPr>
          <w:b/>
          <w:bCs/>
          <w:sz w:val="21"/>
          <w:szCs w:val="21"/>
        </w:rPr>
        <w:t xml:space="preserve">one complete genome per file</w:t>
      </w:r>
      <w:r>
        <w:rPr>
          <w:sz w:val="21"/>
          <w:szCs w:val="21"/>
        </w:rPr>
        <w:t xml:space="preserve">, named by accession. The engine reads the first record of each file, so a multi-record file is silently truncated to its first genome — see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efetch -db nuccore -id NC_047722 -format genbank &gt; GenBank\NC_047722.gb</w:t>
            </w:r>
          </w:p>
        </w:tc>
      </w:tr>
    </w:tbl>
    <w:p>
      <w:pPr>
        <w:spacing w:after="200"/>
      </w:pPr>
      <w:r>
        <w:rPr>
          <w:sz w:val="21"/>
          <w:szCs w:val="21"/>
        </w:rPr>
        <w:t xml:space="preserve">Entrez Direct is optional; records can also be downloaded from the NCBI website (Send to → File → GenBank).</w:t>
      </w:r>
    </w:p>
    <w:p>
      <w:pPr>
        <w:pStyle w:val="Heading1"/>
        <w:spacing w:after="140" w:before="320"/>
      </w:pPr>
      <w:r>
        <w:t xml:space="preserve">4. Stage reference</w:t>
      </w:r>
    </w:p>
    <w:p>
      <w:pPr>
        <w:pStyle w:val="Heading2"/>
        <w:spacing w:after="100" w:before="240"/>
      </w:pPr>
      <w:r>
        <w:t xml:space="preserve">4.1 S1 — genome statistics (Table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S1_genome_statistics.py -i GenBank -o results\result_aureus_04 ^</w:t>
            </w:r>
          </w:p>
          <w:p>
            <w:pPr>
              <w:spacing w:after="0"/>
            </w:pPr>
            <w:r>
              <w:rPr>
                <w:rFonts w:ascii="Consolas" w:cs="Consolas" w:eastAsia="Consolas" w:hAnsi="Consolas"/>
                <w:sz w:val="17"/>
                <w:szCs w:val="17"/>
              </w:rPr>
              <w:t xml:space="preserve">       --profile phage_characterization\profiles\AureusPhage.yaml</w:t>
            </w:r>
          </w:p>
        </w:tc>
      </w:tr>
    </w:tbl>
    <w:p>
      <w:pPr>
        <w:spacing w:after="150"/>
      </w:pPr>
      <w:r>
        <w:rPr>
          <w:sz w:val="21"/>
          <w:szCs w:val="21"/>
        </w:rPr>
        <w:t xml:space="preserve">Class, family and subfamily are read from </w:t>
      </w:r>
      <w:r>
        <w:rPr>
          <w:i/>
          <w:iCs/>
          <w:sz w:val="21"/>
          <w:szCs w:val="21"/>
        </w:rPr>
        <w:t xml:space="preserve">record.annotations["taxonomy"]</w:t>
      </w:r>
      <w:r>
        <w:rPr>
          <w:sz w:val="21"/>
          <w:szCs w:val="21"/>
        </w:rPr>
        <w:t xml:space="preserve"> by ICTV rank suffix: class </w:t>
      </w:r>
      <w:r>
        <w:rPr>
          <w:i/>
          <w:iCs/>
          <w:sz w:val="21"/>
          <w:szCs w:val="21"/>
        </w:rPr>
        <w:t xml:space="preserve">-viricetes</w:t>
      </w:r>
      <w:r>
        <w:rPr>
          <w:sz w:val="21"/>
          <w:szCs w:val="21"/>
        </w:rPr>
        <w:t xml:space="preserve">, family </w:t>
      </w:r>
      <w:r>
        <w:rPr>
          <w:i/>
          <w:iCs/>
          <w:sz w:val="21"/>
          <w:szCs w:val="21"/>
        </w:rPr>
        <w:t xml:space="preserve">-viridae</w:t>
      </w:r>
      <w:r>
        <w:rPr>
          <w:sz w:val="21"/>
          <w:szCs w:val="21"/>
        </w:rPr>
        <w:t xml:space="preserve">, subfamily </w:t>
      </w:r>
      <w:r>
        <w:rPr>
          <w:i/>
          <w:iCs/>
          <w:sz w:val="21"/>
          <w:szCs w:val="21"/>
        </w:rPr>
        <w:t xml:space="preserve">-virinae</w:t>
      </w:r>
      <w:r>
        <w:rPr>
          <w:sz w:val="21"/>
          <w:szCs w:val="21"/>
        </w:rPr>
        <w:t xml:space="preserve">. Subfamilies that NCBI places in no family — Azeredovirinae, i.e. EW (NC_007056) and SA13 (NC_021863) — are recorded as family </w:t>
      </w:r>
      <w:r>
        <w:rPr>
          <w:i/>
          <w:iCs/>
          <w:sz w:val="21"/>
          <w:szCs w:val="21"/>
        </w:rPr>
        <w:t xml:space="preserve">Unassigned</w:t>
      </w:r>
      <w:r>
        <w:rPr>
          <w:sz w:val="21"/>
          <w:szCs w:val="21"/>
        </w:rPr>
        <w:t xml:space="preserve"> and flagged </w:t>
      </w:r>
      <w:r>
        <w:rPr>
          <w:i/>
          <w:iCs/>
          <w:sz w:val="21"/>
          <w:szCs w:val="21"/>
        </w:rPr>
        <w:t xml:space="preserve">family_unresolved_verify_ICTV</w:t>
      </w:r>
      <w:r>
        <w:rPr>
          <w:sz w:val="21"/>
          <w:szCs w:val="21"/>
        </w:rPr>
        <w:t xml:space="preserve">, never left blank.</w:t>
      </w:r>
    </w:p>
    <w:p>
      <w:pPr>
        <w:spacing w:after="150"/>
      </w:pPr>
      <w:r>
        <w:rPr>
          <w:b/>
          <w:bCs/>
          <w:sz w:val="21"/>
          <w:szCs w:val="21"/>
        </w:rPr>
        <w:t xml:space="preserve">CDS counts are those of the deposited record. </w:t>
      </w:r>
      <w:r>
        <w:rPr>
          <w:sz w:val="21"/>
          <w:szCs w:val="21"/>
        </w:rPr>
        <w:t xml:space="preserve">A de novo gene caller may return a slightly different total; for MN047438 the deposited record has 236 CDS while re-annotation with RAST reported 238. Transfer RNA counts in Table I are likewise those of the deposited record and are not interchangeable with the de novo predictions from S6.</w:t>
      </w:r>
    </w:p>
    <w:p>
      <w:pPr>
        <w:pStyle w:val="Heading2"/>
        <w:spacing w:after="100" w:before="240"/>
      </w:pPr>
      <w:r>
        <w:t xml:space="preserve">4.2 S2 — holin and RBP (Table II, Table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S2_holin_rbp_annotation.py -i GenBank -o results\result_aureus_04 ^</w:t>
            </w:r>
          </w:p>
          <w:p>
            <w:pPr>
              <w:spacing w:after="0"/>
            </w:pPr>
            <w:r>
              <w:rPr>
                <w:rFonts w:ascii="Consolas" w:cs="Consolas" w:eastAsia="Consolas" w:hAnsi="Consolas"/>
                <w:sz w:val="17"/>
                <w:szCs w:val="17"/>
              </w:rPr>
              <w:t xml:space="preserve">       --profile phage_characterization\profiles\AureusPhage.yaml</w:t>
            </w:r>
          </w:p>
        </w:tc>
      </w:tr>
    </w:tbl>
    <w:p>
      <w:pPr>
        <w:spacing w:after="150"/>
      </w:pPr>
      <w:r>
        <w:rPr>
          <w:sz w:val="21"/>
          <w:szCs w:val="21"/>
        </w:rPr>
        <w:t xml:space="preserve">Presence is called from the wording of the CDS </w:t>
      </w:r>
      <w:r>
        <w:rPr>
          <w:i/>
          <w:iCs/>
          <w:sz w:val="21"/>
          <w:szCs w:val="21"/>
        </w:rPr>
        <w:t xml:space="preserve">product</w:t>
      </w:r>
      <w:r>
        <w:rPr>
          <w:sz w:val="21"/>
          <w:szCs w:val="21"/>
        </w:rPr>
        <w:t xml:space="preserve"> qualifier using the profile vocabulary: </w:t>
      </w:r>
      <w:r>
        <w:rPr>
          <w:i/>
          <w:iCs/>
          <w:sz w:val="21"/>
          <w:szCs w:val="21"/>
        </w:rPr>
        <w:t xml:space="preserve">holin_keywords</w:t>
      </w:r>
      <w:r>
        <w:rPr>
          <w:sz w:val="21"/>
          <w:szCs w:val="21"/>
        </w:rPr>
        <w:t xml:space="preserve"> (5 terms) and </w:t>
      </w:r>
      <w:r>
        <w:rPr>
          <w:i/>
          <w:iCs/>
          <w:sz w:val="21"/>
          <w:szCs w:val="21"/>
        </w:rPr>
        <w:t xml:space="preserve">rbp_keywords</w:t>
      </w:r>
      <w:r>
        <w:rPr>
          <w:sz w:val="21"/>
          <w:szCs w:val="21"/>
        </w:rPr>
        <w:t xml:space="preserve"> (12 terms). Every positive call is written with the matched string into </w:t>
      </w:r>
      <w:r>
        <w:rPr>
          <w:i/>
          <w:iCs/>
          <w:sz w:val="21"/>
          <w:szCs w:val="21"/>
        </w:rPr>
        <w:t xml:space="preserve">Holin_Evidence</w:t>
      </w:r>
      <w:r>
        <w:rPr>
          <w:sz w:val="21"/>
          <w:szCs w:val="21"/>
        </w:rPr>
        <w:t xml:space="preserve"> and </w:t>
      </w:r>
      <w:r>
        <w:rPr>
          <w:i/>
          <w:iCs/>
          <w:sz w:val="21"/>
          <w:szCs w:val="21"/>
        </w:rPr>
        <w:t xml:space="preserve">RBP_Evidence</w:t>
      </w:r>
      <w:r>
        <w:rPr>
          <w:sz w:val="21"/>
          <w:szCs w:val="21"/>
        </w:rPr>
        <w:t xml:space="preserve"> so it can be checked by hand.</w:t>
      </w:r>
    </w:p>
    <w:p>
      <w:pPr>
        <w:spacing w:after="150"/>
      </w:pPr>
      <w:r>
        <w:rPr>
          <w:sz w:val="21"/>
          <w:szCs w:val="21"/>
        </w:rPr>
        <w:t xml:space="preserve">The structural tail-tube protein is deliberately excluded from the RBP vocabulary: it is present in essentially every tailed phage, so including it would make the column uninformative.</w:t>
      </w:r>
    </w:p>
    <w:p>
      <w:pPr>
        <w:spacing w:after="150"/>
      </w:pPr>
      <w:r>
        <w:rPr>
          <w:b/>
          <w:bCs/>
          <w:sz w:val="21"/>
          <w:szCs w:val="21"/>
        </w:rPr>
        <w:t xml:space="preserve">This is a text-matching procedure, not domain assignment. </w:t>
      </w:r>
      <w:r>
        <w:rPr>
          <w:sz w:val="21"/>
          <w:szCs w:val="21"/>
        </w:rPr>
        <w:t xml:space="preserve">That asymmetry against the InterPro-validated endolysin columns is the reason Table III exists: the same funnel was run under three annotation sources, and only the source of the product names differed.</w:t>
      </w:r>
    </w:p>
    <w:p>
      <w:pPr>
        <w:pStyle w:val="Heading2"/>
        <w:spacing w:after="100" w:before="240"/>
      </w:pPr>
      <w:r>
        <w:t xml:space="preserve">4.3 S3 — TerL extraction (Figure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S3_terl_extractor.py -i GenBank -o results\result_aureus_04\TerL_combined.faa</w:t>
            </w:r>
          </w:p>
        </w:tc>
      </w:tr>
    </w:tbl>
    <w:p>
      <w:pPr>
        <w:spacing w:after="150"/>
      </w:pPr>
      <w:r>
        <w:rPr>
          <w:sz w:val="21"/>
          <w:szCs w:val="21"/>
        </w:rPr>
        <w:t xml:space="preserve">S3 takes no profile: the terminase large subunit is universal. Two detection mechanisms are applied to each CDS product qualifier.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060"/>
      </w:tblGrid>
      <w:tr>
        <w:trPr>
          <w:tblHeader/>
        </w:trPr>
        <w:tc>
          <w:tcPr>
            <w:tcW w:type="dxa" w:w="1700"/>
            <w:shd w:fill="F2F2F2" w:val="clear"/>
            <w:tcMar>
              <w:top w:type="dxa" w:w="45"/>
              <w:left w:type="dxa" w:w="70"/>
              <w:bottom w:type="dxa" w:w="45"/>
              <w:right w:type="dxa" w:w="70"/>
            </w:tcMar>
          </w:tcPr>
          <w:p>
            <w:r>
              <w:rPr>
                <w:b/>
                <w:bCs/>
                <w:sz w:val="16"/>
                <w:szCs w:val="16"/>
              </w:rPr>
              <w:t xml:space="preserve">Mechanism</w:t>
            </w:r>
          </w:p>
        </w:tc>
        <w:tc>
          <w:tcPr>
            <w:tcW w:type="dxa" w:w="4600"/>
            <w:shd w:fill="F2F2F2" w:val="clear"/>
            <w:tcMar>
              <w:top w:type="dxa" w:w="45"/>
              <w:left w:type="dxa" w:w="70"/>
              <w:bottom w:type="dxa" w:w="45"/>
              <w:right w:type="dxa" w:w="70"/>
            </w:tcMar>
          </w:tcPr>
          <w:p>
            <w:r>
              <w:rPr>
                <w:b/>
                <w:bCs/>
                <w:sz w:val="16"/>
                <w:szCs w:val="16"/>
              </w:rPr>
              <w:t xml:space="preserve">Check applied</w:t>
            </w:r>
          </w:p>
        </w:tc>
        <w:tc>
          <w:tcPr>
            <w:tcW w:type="dxa" w:w="3060"/>
            <w:shd w:fill="F2F2F2" w:val="clear"/>
            <w:tcMar>
              <w:top w:type="dxa" w:w="45"/>
              <w:left w:type="dxa" w:w="70"/>
              <w:bottom w:type="dxa" w:w="45"/>
              <w:right w:type="dxa" w:w="70"/>
            </w:tcMar>
          </w:tcPr>
          <w:p>
            <w:r>
              <w:rPr>
                <w:b/>
                <w:bCs/>
                <w:sz w:val="16"/>
                <w:szCs w:val="16"/>
              </w:rPr>
              <w:t xml:space="preserve">Catches</w:t>
            </w:r>
          </w:p>
        </w:tc>
      </w:tr>
      <w:tr>
        <w:tc>
          <w:tcPr>
            <w:tcW w:type="dxa" w:w="1700"/>
            <w:tcMar>
              <w:top w:type="dxa" w:w="45"/>
              <w:left w:type="dxa" w:w="70"/>
              <w:bottom w:type="dxa" w:w="45"/>
              <w:right w:type="dxa" w:w="70"/>
            </w:tcMar>
          </w:tcPr>
          <w:p>
            <w:r>
              <w:rPr>
                <w:b w:val="false"/>
                <w:bCs w:val="false"/>
                <w:sz w:val="16"/>
                <w:szCs w:val="16"/>
              </w:rPr>
              <w:t xml:space="preserve">1 — keyword match</w:t>
            </w:r>
          </w:p>
        </w:tc>
        <w:tc>
          <w:tcPr>
            <w:tcW w:type="dxa" w:w="4600"/>
            <w:tcMar>
              <w:top w:type="dxa" w:w="45"/>
              <w:left w:type="dxa" w:w="70"/>
              <w:bottom w:type="dxa" w:w="45"/>
              <w:right w:type="dxa" w:w="70"/>
            </w:tcMar>
          </w:tcPr>
          <w:p>
            <w:r>
              <w:rPr>
                <w:b w:val="false"/>
                <w:bCs w:val="false"/>
                <w:sz w:val="16"/>
                <w:szCs w:val="16"/>
              </w:rPr>
              <w:t xml:space="preserve">Any of 8 substrings in the lower-cased product: terminase large subunit, large terminase, large subunit terminase, terminase large subunit, DNA packaging terminase large subunit, DNA terminase large subunit, large terminase subunit, terl</w:t>
            </w:r>
          </w:p>
        </w:tc>
        <w:tc>
          <w:tcPr>
            <w:tcW w:type="dxa" w:w="3060"/>
            <w:tcMar>
              <w:top w:type="dxa" w:w="45"/>
              <w:left w:type="dxa" w:w="70"/>
              <w:bottom w:type="dxa" w:w="45"/>
              <w:right w:type="dxa" w:w="70"/>
            </w:tcMar>
          </w:tcPr>
          <w:p>
            <w:r>
              <w:rPr>
                <w:b w:val="false"/>
                <w:bCs w:val="false"/>
                <w:sz w:val="16"/>
                <w:szCs w:val="16"/>
              </w:rPr>
              <w:t xml:space="preserve">Standard annotations</w:t>
            </w:r>
          </w:p>
        </w:tc>
      </w:tr>
      <w:tr>
        <w:tc>
          <w:tcPr>
            <w:tcW w:type="dxa" w:w="1700"/>
            <w:tcMar>
              <w:top w:type="dxa" w:w="45"/>
              <w:left w:type="dxa" w:w="70"/>
              <w:bottom w:type="dxa" w:w="45"/>
              <w:right w:type="dxa" w:w="70"/>
            </w:tcMar>
          </w:tcPr>
          <w:p>
            <w:r>
              <w:rPr>
                <w:b w:val="false"/>
                <w:bCs w:val="false"/>
                <w:sz w:val="16"/>
                <w:szCs w:val="16"/>
              </w:rPr>
              <w:t xml:space="preserve">2 — exact product match</w:t>
            </w:r>
          </w:p>
        </w:tc>
        <w:tc>
          <w:tcPr>
            <w:tcW w:type="dxa" w:w="4600"/>
            <w:tcMar>
              <w:top w:type="dxa" w:w="45"/>
              <w:left w:type="dxa" w:w="70"/>
              <w:bottom w:type="dxa" w:w="45"/>
              <w:right w:type="dxa" w:w="70"/>
            </w:tcMar>
          </w:tcPr>
          <w:p>
            <w:r>
              <w:rPr>
                <w:b w:val="false"/>
                <w:bCs w:val="false"/>
                <w:sz w:val="16"/>
                <w:szCs w:val="16"/>
              </w:rPr>
              <w:t xml:space="preserve">Product is exactly "Ter" or "ter" (case-sensitive)</w:t>
            </w:r>
          </w:p>
        </w:tc>
        <w:tc>
          <w:tcPr>
            <w:tcW w:type="dxa" w:w="3060"/>
            <w:tcMar>
              <w:top w:type="dxa" w:w="45"/>
              <w:left w:type="dxa" w:w="70"/>
              <w:bottom w:type="dxa" w:w="45"/>
              <w:right w:type="dxa" w:w="70"/>
            </w:tcMar>
          </w:tcPr>
          <w:p>
            <w:r>
              <w:rPr>
                <w:b w:val="false"/>
                <w:bCs w:val="false"/>
                <w:sz w:val="16"/>
                <w:szCs w:val="16"/>
              </w:rPr>
              <w:t xml:space="preserve">Seven Kayvirus genomes (EU418428, NC_047722–NC_047727) whose 605-aa TerL is annotated with a three-letter abbreviation</w:t>
            </w:r>
          </w:p>
        </w:tc>
      </w:tr>
    </w:tbl>
    <w:p>
      <w:pPr>
        <w:spacing w:after="80" w:before="180"/>
      </w:pPr>
      <w:r>
        <w:rPr>
          <w:b/>
          <w:bCs/>
          <w:sz w:val="21"/>
          <w:szCs w:val="21"/>
        </w:rPr>
        <w:t xml:space="preserve">Why 20 of 22 genomes</w:t>
      </w:r>
    </w:p>
    <w:p>
      <w:pPr>
        <w:spacing w:after="150"/>
      </w:pPr>
      <w:r>
        <w:rPr>
          <w:sz w:val="21"/>
          <w:szCs w:val="21"/>
        </w:rPr>
        <w:t xml:space="preserve">Portland (MT926124) and vB_SauP-436A1 (MN150710) carry no CDS annotated as a terminase. The nearest candidates are a 415-aa </w:t>
      </w:r>
      <w:r>
        <w:rPr>
          <w:i/>
          <w:iCs/>
          <w:sz w:val="21"/>
          <w:szCs w:val="21"/>
        </w:rPr>
        <w:t xml:space="preserve">"putative encapsidation protein"</w:t>
      </w:r>
      <w:r>
        <w:rPr>
          <w:sz w:val="21"/>
          <w:szCs w:val="21"/>
        </w:rPr>
        <w:t xml:space="preserve"> and a 415-aa </w:t>
      </w:r>
      <w:r>
        <w:rPr>
          <w:i/>
          <w:iCs/>
          <w:sz w:val="21"/>
          <w:szCs w:val="21"/>
        </w:rPr>
        <w:t xml:space="preserve">"DNA packaging protein"</w:t>
      </w:r>
      <w:r>
        <w:rPr>
          <w:sz w:val="21"/>
          <w:szCs w:val="21"/>
        </w:rPr>
        <w:t xml:space="preserve"> respectively. Both are micro-class genomes below 20 kb. They are excluded from the phylogeny and this is stated in the manuscript Methods.</w:t>
      </w:r>
    </w:p>
    <w:p>
      <w:pPr>
        <w:spacing w:after="80" w:before="180"/>
      </w:pPr>
      <w:r>
        <w:rPr>
          <w:b/>
          <w:bCs/>
          <w:sz w:val="21"/>
          <w:szCs w:val="21"/>
        </w:rPr>
        <w:t xml:space="preserve">Alignment and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MAFFT web server, run 16 August 2026</w:t>
            </w:r>
          </w:p>
          <w:p>
            <w:pPr>
              <w:spacing w:after="0"/>
            </w:pPr>
            <w:r>
              <w:rPr>
                <w:rFonts w:ascii="Consolas" w:cs="Consolas" w:eastAsia="Consolas" w:hAnsi="Consolas"/>
                <w:sz w:val="17"/>
                <w:szCs w:val="17"/>
              </w:rPr>
              <w:t xml:space="preserve">  strategy : L-INS-i  (all other settings left at default)</w:t>
            </w:r>
          </w:p>
          <w:p>
            <w:pPr>
              <w:spacing w:after="0"/>
            </w:pPr>
            <w:r>
              <w:rPr>
                <w:rFonts w:ascii="Consolas" w:cs="Consolas" w:eastAsia="Consolas" w:hAnsi="Consolas"/>
                <w:sz w:val="17"/>
                <w:szCs w:val="17"/>
              </w:rPr>
              <w:t xml:space="preserve">  output   : TerL_aligned.faa — 20 sequences, 519 aligned sites</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MEGA 12.1.2 &gt; Phylogeny &gt; Construct/Test Maximum Likelihood Tree</w:t>
            </w:r>
          </w:p>
          <w:p>
            <w:pPr>
              <w:spacing w:after="0"/>
            </w:pPr>
            <w:r>
              <w:rPr>
                <w:rFonts w:ascii="Consolas" w:cs="Consolas" w:eastAsia="Consolas" w:hAnsi="Consolas"/>
                <w:sz w:val="17"/>
                <w:szCs w:val="17"/>
              </w:rPr>
              <w:t xml:space="preserve">  Statistical method        : Maximum Likelihood</w:t>
            </w:r>
          </w:p>
          <w:p>
            <w:pPr>
              <w:spacing w:after="0"/>
            </w:pPr>
            <w:r>
              <w:rPr>
                <w:rFonts w:ascii="Consolas" w:cs="Consolas" w:eastAsia="Consolas" w:hAnsi="Consolas"/>
                <w:sz w:val="17"/>
                <w:szCs w:val="17"/>
              </w:rPr>
              <w:t xml:space="preserve">  Test of phylogeny         : Standard Bootstrap, 1000 replicates</w:t>
            </w:r>
          </w:p>
          <w:p>
            <w:pPr>
              <w:spacing w:after="0"/>
            </w:pPr>
            <w:r>
              <w:rPr>
                <w:rFonts w:ascii="Consolas" w:cs="Consolas" w:eastAsia="Consolas" w:hAnsi="Consolas"/>
                <w:sz w:val="17"/>
                <w:szCs w:val="17"/>
              </w:rPr>
              <w:t xml:space="preserve">  Substitution model        : LG</w:t>
            </w:r>
          </w:p>
          <w:p>
            <w:pPr>
              <w:spacing w:after="0"/>
            </w:pPr>
            <w:r>
              <w:rPr>
                <w:rFonts w:ascii="Consolas" w:cs="Consolas" w:eastAsia="Consolas" w:hAnsi="Consolas"/>
                <w:sz w:val="17"/>
                <w:szCs w:val="17"/>
              </w:rPr>
              <w:t xml:space="preserve">  Rates among sites         : Gamma with invariant sites (G+I)</w:t>
            </w:r>
          </w:p>
          <w:p>
            <w:pPr>
              <w:spacing w:after="0"/>
            </w:pPr>
            <w:r>
              <w:rPr>
                <w:rFonts w:ascii="Consolas" w:cs="Consolas" w:eastAsia="Consolas" w:hAnsi="Consolas"/>
                <w:sz w:val="17"/>
                <w:szCs w:val="17"/>
              </w:rPr>
              <w:t xml:space="preserve">  Discrete gamma categories : 5</w:t>
            </w:r>
          </w:p>
          <w:p>
            <w:pPr>
              <w:spacing w:after="0"/>
            </w:pPr>
            <w:r>
              <w:rPr>
                <w:rFonts w:ascii="Consolas" w:cs="Consolas" w:eastAsia="Consolas" w:hAnsi="Consolas"/>
                <w:sz w:val="17"/>
                <w:szCs w:val="17"/>
              </w:rPr>
              <w:t xml:space="preserve">  Gaps/missing data         : Partial deletion</w:t>
            </w:r>
          </w:p>
          <w:p>
            <w:pPr>
              <w:spacing w:after="0"/>
            </w:pPr>
            <w:r>
              <w:rPr>
                <w:rFonts w:ascii="Consolas" w:cs="Consolas" w:eastAsia="Consolas" w:hAnsi="Consolas"/>
                <w:sz w:val="17"/>
                <w:szCs w:val="17"/>
              </w:rPr>
              <w:t xml:space="preserve">  Site coverage cutoff      : 80 %</w:t>
            </w:r>
          </w:p>
          <w:p>
            <w:pPr>
              <w:spacing w:after="0"/>
            </w:pPr>
            <w:r>
              <w:rPr>
                <w:rFonts w:ascii="Consolas" w:cs="Consolas" w:eastAsia="Consolas" w:hAnsi="Consolas"/>
                <w:sz w:val="17"/>
                <w:szCs w:val="17"/>
              </w:rPr>
              <w:t xml:space="preserve">  ML heuristic method       : Nearest-Neighbour-Interchange (NNI)</w:t>
            </w:r>
          </w:p>
          <w:p>
            <w:pPr>
              <w:spacing w:after="0"/>
            </w:pPr>
            <w:r>
              <w:rPr>
                <w:rFonts w:ascii="Consolas" w:cs="Consolas" w:eastAsia="Consolas" w:hAnsi="Consolas"/>
                <w:sz w:val="17"/>
                <w:szCs w:val="17"/>
              </w:rPr>
              <w:t xml:space="preserve">  Initial tree for ML       : automatic (NJ/MP)</w:t>
            </w:r>
          </w:p>
          <w:p>
            <w:pPr>
              <w:spacing w:after="0"/>
            </w:pPr>
            <w:r>
              <w:rPr>
                <w:rFonts w:ascii="Consolas" w:cs="Consolas" w:eastAsia="Consolas" w:hAnsi="Consolas"/>
                <w:sz w:val="17"/>
                <w:szCs w:val="17"/>
              </w:rPr>
              <w:t xml:space="preserve">  Branch swap filter        : None</w:t>
            </w:r>
          </w:p>
          <w:p>
            <w:pPr>
              <w:spacing w:after="0"/>
            </w:pPr>
            <w:r>
              <w:rPr>
                <w:rFonts w:ascii="Consolas" w:cs="Consolas" w:eastAsia="Consolas" w:hAnsi="Consolas"/>
                <w:sz w:val="17"/>
                <w:szCs w:val="17"/>
              </w:rPr>
              <w:t xml:space="preserve">  Threads                   : 12</w:t>
            </w:r>
          </w:p>
        </w:tc>
      </w:tr>
    </w:tbl>
    <w:p>
      <w:pPr>
        <w:spacing w:after="200"/>
      </w:pPr>
      <w:r>
        <w:rPr>
          <w:sz w:val="21"/>
          <w:szCs w:val="21"/>
        </w:rPr>
        <w:t xml:space="preserve">Run statistics from the deposited MEGA session: 20 taxa, 519 sites, 516 common sites, 118 invariant sites, lnL −3926.043, BIC 8210.524, AICc 7930.405, sum of branch lengths 4.662.</w:t>
      </w:r>
    </w:p>
    <w:p>
      <w:pPr>
        <w:pStyle w:val="Heading2"/>
        <w:spacing w:after="100" w:before="240"/>
      </w:pPr>
      <w:r>
        <w:t xml:space="preserve">4.4 S4 — endolysin candidates (Table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S4_endolysin_extractor.py -i GenBank -o results\result_aureus_04 ^</w:t>
            </w:r>
          </w:p>
          <w:p>
            <w:pPr>
              <w:spacing w:after="0"/>
            </w:pPr>
            <w:r>
              <w:rPr>
                <w:rFonts w:ascii="Consolas" w:cs="Consolas" w:eastAsia="Consolas" w:hAnsi="Consolas"/>
                <w:sz w:val="17"/>
                <w:szCs w:val="17"/>
              </w:rPr>
              <w:t xml:space="preserve">       --profile phage_characterization\profiles\AureusPhage.yaml --run-tblastn</w:t>
            </w:r>
          </w:p>
        </w:tc>
      </w:tr>
    </w:tbl>
    <w:p>
      <w:pPr>
        <w:spacing w:after="150"/>
      </w:pPr>
      <w:r>
        <w:rPr>
          <w:sz w:val="21"/>
          <w:szCs w:val="21"/>
        </w:rPr>
        <w:t xml:space="preserve">Selecting an endolysin by the first product-name keyword match is unsafe. The script therefore collects </w:t>
      </w:r>
      <w:r>
        <w:rPr>
          <w:b/>
          <w:bCs/>
          <w:sz w:val="21"/>
          <w:szCs w:val="21"/>
        </w:rPr>
        <w:t xml:space="preserve">every</w:t>
      </w:r>
      <w:r>
        <w:rPr>
          <w:sz w:val="21"/>
          <w:szCs w:val="21"/>
        </w:rPr>
        <w:t xml:space="preserve"> lysis-keyword CDS, ranks them, infers a domain class from the annotation, and writes the ranked audit with the evidence for each row. Unique candidate sequences go to </w:t>
      </w:r>
      <w:r>
        <w:rPr>
          <w:i/>
          <w:iCs/>
          <w:sz w:val="21"/>
          <w:szCs w:val="21"/>
        </w:rPr>
        <w:t xml:space="preserve">endolysin_unique_*.faa</w:t>
      </w:r>
      <w:r>
        <w:rPr>
          <w:sz w:val="21"/>
          <w:szCs w:val="21"/>
        </w:rPr>
        <w:t xml:space="preserve"> for InterPro submission.</w:t>
      </w:r>
    </w:p>
    <w:p>
      <w:pPr>
        <w:spacing w:after="150"/>
      </w:pPr>
      <w:r>
        <w:rPr>
          <w:sz w:val="21"/>
          <w:szCs w:val="21"/>
        </w:rPr>
        <w:t xml:space="preserve">Classifications emitted: free-endolysin, VAPH (virion-associated peptidoglycan hydrolase), non-lytic, intron-split, hnh-disrupted, tblastn-recovered, divergent-endolysin.</w:t>
      </w:r>
    </w:p>
    <w:p>
      <w:pPr>
        <w:spacing w:after="150"/>
      </w:pPr>
      <w:r>
        <w:rPr>
          <w:b/>
          <w:bCs/>
          <w:sz w:val="21"/>
          <w:szCs w:val="21"/>
        </w:rPr>
        <w:t xml:space="preserve">Honest scope. </w:t>
      </w:r>
      <w:r>
        <w:rPr>
          <w:sz w:val="21"/>
          <w:szCs w:val="21"/>
        </w:rPr>
        <w:t xml:space="preserve">A GenBank flat file carries product names, not Pfam or InterPro assignments. Domain assignment in Table II comes from the InterPro submission, not from the script; the script prepares and ranks the candidates.</w:t>
      </w:r>
    </w:p>
    <w:p>
      <w:pPr>
        <w:spacing w:after="80" w:before="180"/>
      </w:pPr>
      <w:r>
        <w:rPr>
          <w:b/>
          <w:bCs/>
          <w:sz w:val="21"/>
          <w:szCs w:val="21"/>
        </w:rPr>
        <w:t xml:space="preserve">tBLASTn is conditional, not applied to all 22 genomes</w:t>
      </w:r>
    </w:p>
    <w:p>
      <w:pPr>
        <w:spacing w:after="150"/>
      </w:pPr>
      <w:r>
        <w:rPr>
          <w:sz w:val="21"/>
          <w:szCs w:val="21"/>
        </w:rPr>
        <w:t xml:space="preserve">tBLASTn runs only where the keyword scan produced a weak pick (inferred domain containing </w:t>
      </w:r>
      <w:r>
        <w:rPr>
          <w:i/>
          <w:iCs/>
          <w:sz w:val="21"/>
          <w:szCs w:val="21"/>
        </w:rPr>
        <w:t xml:space="preserve">nlpc</w:t>
      </w:r>
      <w:r>
        <w:rPr>
          <w:sz w:val="21"/>
          <w:szCs w:val="21"/>
        </w:rPr>
        <w:t xml:space="preserve">, or lacking CHAP/amidase/LysK evidence) or produced no free endolysin at all. Three genomes met the trigger: Maine (MN045228), JD007 (NC_019726) and Twort (NC_007021).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tblastn -query &lt;MN336261 Sb1_8383 LysK, 495 aa&gt; -subject &lt;genome.fna&gt;</w:t>
            </w:r>
          </w:p>
          <w:p>
            <w:pPr>
              <w:spacing w:after="0"/>
            </w:pPr>
            <w:r>
              <w:rPr>
                <w:rFonts w:ascii="Consolas" w:cs="Consolas" w:eastAsia="Consolas" w:hAnsi="Consolas"/>
                <w:sz w:val="17"/>
                <w:szCs w:val="17"/>
              </w:rPr>
              <w:t xml:space="preserve">        -outfmt "6 qseqid sseqid pident length sstart send evalue bitscore"</w:t>
            </w:r>
          </w:p>
          <w:p>
            <w:pPr>
              <w:spacing w:after="0"/>
            </w:pPr>
            <w:r>
              <w:rPr>
                <w:rFonts w:ascii="Consolas" w:cs="Consolas" w:eastAsia="Consolas" w:hAnsi="Consolas"/>
                <w:sz w:val="17"/>
                <w:szCs w:val="17"/>
              </w:rPr>
              <w:t xml:space="preserve">        -max_target_seqs 5</w:t>
            </w:r>
          </w:p>
        </w:tc>
      </w:tr>
    </w:tbl>
    <w:p>
      <w:pPr>
        <w:spacing w:after="200"/>
      </w:pPr>
      <w:r>
        <w:rPr>
          <w:sz w:val="21"/>
          <w:szCs w:val="21"/>
        </w:rPr>
        <w:t xml:space="preserve">All other parameters are BLAST+ defaults: e-value 10, word size 3, BLOSUM62, gap open 11, gap extend 1, SEG filtering on. Acceptance threshold </w:t>
      </w:r>
      <w:r>
        <w:rPr>
          <w:i/>
          <w:iCs/>
          <w:sz w:val="21"/>
          <w:szCs w:val="21"/>
        </w:rPr>
        <w:t xml:space="preserve">--identity-threshold</w:t>
      </w:r>
      <w:r>
        <w:rPr>
          <w:sz w:val="21"/>
          <w:szCs w:val="21"/>
        </w:rPr>
        <w:t xml:space="preserve">, default 90.0 %. At or above it the hit is recorded as </w:t>
      </w:r>
      <w:r>
        <w:rPr>
          <w:i/>
          <w:iCs/>
          <w:sz w:val="21"/>
          <w:szCs w:val="21"/>
        </w:rPr>
        <w:t xml:space="preserve">tblastn-recovered</w:t>
      </w:r>
      <w:r>
        <w:rPr>
          <w:sz w:val="21"/>
          <w:szCs w:val="21"/>
        </w:rPr>
        <w:t xml:space="preserve">; below it as </w:t>
      </w:r>
      <w:r>
        <w:rPr>
          <w:i/>
          <w:iCs/>
          <w:sz w:val="21"/>
          <w:szCs w:val="21"/>
        </w:rPr>
        <w:t xml:space="preserve">divergent-uncertain</w:t>
      </w:r>
      <w:r>
        <w:rPr>
          <w:sz w:val="21"/>
          <w:szCs w:val="21"/>
        </w:rPr>
        <w:t xml:space="preserve">.</w:t>
      </w:r>
    </w:p>
    <w:p>
      <w:pPr>
        <w:pStyle w:val="Heading2"/>
        <w:spacing w:after="100" w:before="240"/>
      </w:pPr>
      <w:r>
        <w:t xml:space="preserve">4.5 S4b — per-domain pairwise identity (Supplementary Table S4)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S4b_endolysin_domain_identity.py ^</w:t>
            </w:r>
          </w:p>
          <w:p>
            <w:pPr>
              <w:spacing w:after="0"/>
            </w:pPr>
            <w:r>
              <w:rPr>
                <w:rFonts w:ascii="Consolas" w:cs="Consolas" w:eastAsia="Consolas" w:hAnsi="Consolas"/>
                <w:sz w:val="17"/>
                <w:szCs w:val="17"/>
              </w:rPr>
              <w:t xml:space="preserve">   --faa results\result_aureus_04\endolysin_unique_AureusPhage_confirmed.faa ^</w:t>
            </w:r>
          </w:p>
          <w:p>
            <w:pPr>
              <w:spacing w:after="0"/>
            </w:pPr>
            <w:r>
              <w:rPr>
                <w:rFonts w:ascii="Consolas" w:cs="Consolas" w:eastAsia="Consolas" w:hAnsi="Consolas"/>
                <w:sz w:val="17"/>
                <w:szCs w:val="17"/>
              </w:rPr>
              <w:t xml:space="preserve">   --interpro results\result_aureus_04\interpro_endolysin\endolysin_unique_AureusPhage.tsv ^</w:t>
            </w:r>
          </w:p>
          <w:p>
            <w:pPr>
              <w:spacing w:after="0"/>
            </w:pPr>
            <w:r>
              <w:rPr>
                <w:rFonts w:ascii="Consolas" w:cs="Consolas" w:eastAsia="Consolas" w:hAnsi="Consolas"/>
                <w:sz w:val="17"/>
                <w:szCs w:val="17"/>
              </w:rPr>
              <w:t xml:space="preserve">   -o results\result_aureus_04\endolysin_identity ^</w:t>
            </w:r>
          </w:p>
          <w:p>
            <w:pPr>
              <w:spacing w:after="0"/>
            </w:pPr>
            <w:r>
              <w:rPr>
                <w:rFonts w:ascii="Consolas" w:cs="Consolas" w:eastAsia="Consolas" w:hAnsi="Consolas"/>
                <w:sz w:val="17"/>
                <w:szCs w:val="17"/>
              </w:rPr>
              <w:t xml:space="preserve">   --profile phage_characterization\profiles\AureusPhage.yaml ^</w:t>
            </w:r>
          </w:p>
          <w:p>
            <w:pPr>
              <w:spacing w:after="0"/>
            </w:pPr>
            <w:r>
              <w:rPr>
                <w:rFonts w:ascii="Consolas" w:cs="Consolas" w:eastAsia="Consolas" w:hAnsi="Consolas"/>
                <w:sz w:val="17"/>
                <w:szCs w:val="17"/>
              </w:rPr>
              <w:t xml:space="preserve">   --status free-endolysin</w:t>
            </w:r>
          </w:p>
        </w:tc>
      </w:tr>
    </w:tbl>
    <w:p>
      <w:pPr>
        <w:spacing w:after="150"/>
      </w:pPr>
      <w:r>
        <w:rPr>
          <w:sz w:val="21"/>
          <w:szCs w:val="21"/>
        </w:rPr>
        <w:t xml:space="preserve">A full-length identity matrix cannot answer whether one domain is conserved while another varies: a modular enzyme can be near-identical in its catalytic half and divergent in its binding domain, and the full-length figure averages the two away. The script partitions each endolysin at its InterPro-resolved boundaries and aligns each domain set separately.</w:t>
      </w:r>
    </w:p>
    <w:p>
      <w:pPr>
        <w:spacing w:after="150"/>
      </w:pPr>
      <w:r>
        <w:rPr>
          <w:b/>
          <w:bCs/>
          <w:sz w:val="21"/>
          <w:szCs w:val="21"/>
        </w:rPr>
        <w:t xml:space="preserve">Boundaries are read from the InterPro output already used for Table II, not re-predicted, </w:t>
      </w:r>
      <w:r>
        <w:rPr>
          <w:sz w:val="21"/>
          <w:szCs w:val="21"/>
        </w:rPr>
        <w:t xml:space="preserve">so the domain definition cannot drift between the two tables. Where more than one member database annotates the same domain the widest span is taken and its source recorded: CHAP PS50911, amidase G3DSA:3.40.80.10, SH3b G3DSA:2.30.30.40. The Pfam amidase signature PF01510 was returned for too few sequences to define the set.</w:t>
      </w:r>
    </w:p>
    <w:p>
      <w:pPr>
        <w:spacing w:after="150"/>
      </w:pPr>
      <w:r>
        <w:rPr>
          <w:b/>
          <w:bCs/>
          <w:sz w:val="21"/>
          <w:szCs w:val="21"/>
        </w:rPr>
        <w:t xml:space="preserve">Identity convention. </w:t>
      </w:r>
      <w:r>
        <w:rPr>
          <w:sz w:val="21"/>
          <w:szCs w:val="21"/>
        </w:rPr>
        <w:t xml:space="preserve">Percent identity is computed over columns in which both sequences carry a residue; columns with a gap in either sequence are excluded from numerator and denominator alike. This is the conservative convention and prevents a short well-matching fragment from inflating identity against a long partner.</w:t>
      </w:r>
    </w:p>
    <w:p>
      <w:pPr>
        <w:spacing w:after="200"/>
      </w:pPr>
      <w:r>
        <w:rPr>
          <w:sz w:val="21"/>
          <w:szCs w:val="21"/>
        </w:rPr>
        <w:t xml:space="preserve">Because the three domains were not resolved in the same set of proteins, identity is compared across domains only within the subset carrying all three. If </w:t>
      </w:r>
      <w:r>
        <w:rPr>
          <w:i/>
          <w:iCs/>
          <w:sz w:val="21"/>
          <w:szCs w:val="21"/>
        </w:rPr>
        <w:t xml:space="preserve">mafft</w:t>
      </w:r>
      <w:r>
        <w:rPr>
          <w:sz w:val="21"/>
          <w:szCs w:val="21"/>
        </w:rPr>
        <w:t xml:space="preserve"> is not on PATH the script stops after writing the per-domain FASTA files and prints submission instructions; re-run with </w:t>
      </w:r>
      <w:r>
        <w:rPr>
          <w:i/>
          <w:iCs/>
          <w:sz w:val="21"/>
          <w:szCs w:val="21"/>
        </w:rPr>
        <w:t xml:space="preserve">--align read</w:t>
      </w:r>
      <w:r>
        <w:rPr>
          <w:sz w:val="21"/>
          <w:szCs w:val="21"/>
        </w:rPr>
        <w:t xml:space="preserve"> after saving each web-server result as </w:t>
      </w:r>
      <w:r>
        <w:rPr>
          <w:i/>
          <w:iCs/>
          <w:sz w:val="21"/>
          <w:szCs w:val="21"/>
        </w:rPr>
        <w:t xml:space="preserve">&lt;domain&gt;.aln.faa</w:t>
      </w:r>
      <w:r>
        <w:rPr>
          <w:sz w:val="21"/>
          <w:szCs w:val="21"/>
        </w:rPr>
        <w:t xml:space="preserve">.</w:t>
      </w:r>
    </w:p>
    <w:p>
      <w:pPr>
        <w:pStyle w:val="Heading2"/>
        <w:spacing w:after="100" w:before="240"/>
      </w:pPr>
      <w:r>
        <w:t xml:space="preserve">4.6 S6 and S7 — tRNA and codon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S6_tRNA_analyzer.py -i GenBank -o results\result_aureus_04 ^</w:t>
            </w:r>
          </w:p>
          <w:p>
            <w:pPr>
              <w:spacing w:after="0"/>
            </w:pPr>
            <w:r>
              <w:rPr>
                <w:rFonts w:ascii="Consolas" w:cs="Consolas" w:eastAsia="Consolas" w:hAnsi="Consolas"/>
                <w:sz w:val="17"/>
                <w:szCs w:val="17"/>
              </w:rPr>
              <w:t xml:space="preserve">       --profile phage_characterization\profiles\AureusPhage.yaml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python S7_codon_trna_coverage.py --host host\Staphylococcus_aureus ^</w:t>
            </w:r>
          </w:p>
          <w:p>
            <w:pPr>
              <w:spacing w:after="0"/>
            </w:pPr>
            <w:r>
              <w:rPr>
                <w:rFonts w:ascii="Consolas" w:cs="Consolas" w:eastAsia="Consolas" w:hAnsi="Consolas"/>
                <w:sz w:val="17"/>
                <w:szCs w:val="17"/>
              </w:rPr>
              <w:t xml:space="preserve">       --trna results\result_aureus_04\tRNA_detailed_Aureus.csv ^</w:t>
            </w:r>
          </w:p>
          <w:p>
            <w:pPr>
              <w:spacing w:after="0"/>
            </w:pPr>
            <w:r>
              <w:rPr>
                <w:rFonts w:ascii="Consolas" w:cs="Consolas" w:eastAsia="Consolas" w:hAnsi="Consolas"/>
                <w:sz w:val="17"/>
                <w:szCs w:val="17"/>
              </w:rPr>
              <w:t xml:space="preserve">       -o results\result_aureus_04\codon_analysis ^</w:t>
            </w:r>
          </w:p>
          <w:p>
            <w:pPr>
              <w:spacing w:after="0"/>
            </w:pPr>
            <w:r>
              <w:rPr>
                <w:rFonts w:ascii="Consolas" w:cs="Consolas" w:eastAsia="Consolas" w:hAnsi="Consolas"/>
                <w:sz w:val="17"/>
                <w:szCs w:val="17"/>
              </w:rPr>
              <w:t xml:space="preserve">       --profile phage_characterization\profiles\AureusPhage.yaml</w:t>
            </w:r>
          </w:p>
        </w:tc>
      </w:tr>
    </w:tbl>
    <w:p>
      <w:pPr>
        <w:spacing w:after="150"/>
      </w:pPr>
      <w:r>
        <w:rPr>
          <w:sz w:val="21"/>
          <w:szCs w:val="21"/>
        </w:rPr>
        <w:t xml:space="preserve">S6 predicts tRNA de novo with tRNAscan-SE 2.0 rather than reading the deposited annotation. The CAT anticodon is resolved as Ile2 (decoding ATA through lysidine modification), not Met; this rule lives in the engine so it cannot differ between hosts. S7 computes host RSCU and maps each predicted anticodon to the codons it decodes and to the host RSCU of those codons; a codon is classified as rare at RSCU &lt; 0.5.</w:t>
      </w:r>
    </w:p>
    <w:p>
      <w:pPr>
        <w:spacing w:after="200"/>
      </w:pPr>
      <w:r>
        <w:rPr>
          <w:b/>
          <w:bCs/>
          <w:sz w:val="21"/>
          <w:szCs w:val="21"/>
        </w:rPr>
        <w:t xml:space="preserve">Calibration caveat. </w:t>
      </w:r>
      <w:r>
        <w:rPr>
          <w:sz w:val="21"/>
          <w:szCs w:val="21"/>
        </w:rPr>
        <w:t xml:space="preserve">The S6 ground-truth anchor recovered three of its four expected tRNAs (Trp was not recovered de novo), so per-genome counts may be underestimated by one. ARAGORN concordance is pending. The presence/absence pattern across genomes is unaffected.</w:t>
      </w:r>
    </w:p>
    <w:p>
      <w:pPr>
        <w:pStyle w:val="Heading2"/>
        <w:spacing w:after="100" w:before="240"/>
      </w:pPr>
      <w:r>
        <w:t xml:space="preserve">4.7 S7b — phage-versus-host codon usage (Supplementary Table S2)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python S7b_phage_codon_usage.py --phage-dir GenBank ^</w:t>
            </w:r>
          </w:p>
          <w:p>
            <w:pPr>
              <w:spacing w:after="0"/>
            </w:pPr>
            <w:r>
              <w:rPr>
                <w:rFonts w:ascii="Consolas" w:cs="Consolas" w:eastAsia="Consolas" w:hAnsi="Consolas"/>
                <w:sz w:val="17"/>
                <w:szCs w:val="17"/>
              </w:rPr>
              <w:t xml:space="preserve">       --host host\Staphylococcus_aureus ^</w:t>
            </w:r>
          </w:p>
          <w:p>
            <w:pPr>
              <w:spacing w:after="0"/>
            </w:pPr>
            <w:r>
              <w:rPr>
                <w:rFonts w:ascii="Consolas" w:cs="Consolas" w:eastAsia="Consolas" w:hAnsi="Consolas"/>
                <w:sz w:val="17"/>
                <w:szCs w:val="17"/>
              </w:rPr>
              <w:t xml:space="preserve">       -o results\result_aureus_04\codon_analysis ^</w:t>
            </w:r>
          </w:p>
          <w:p>
            <w:pPr>
              <w:spacing w:after="0"/>
            </w:pPr>
            <w:r>
              <w:rPr>
                <w:rFonts w:ascii="Consolas" w:cs="Consolas" w:eastAsia="Consolas" w:hAnsi="Consolas"/>
                <w:sz w:val="17"/>
                <w:szCs w:val="17"/>
              </w:rPr>
              <w:t xml:space="preserve">       --profile phage_characterization\profiles\AureusPhage.yaml</w:t>
            </w:r>
          </w:p>
        </w:tc>
      </w:tr>
    </w:tbl>
    <w:p>
      <w:pPr>
        <w:spacing w:after="150"/>
      </w:pPr>
      <w:r>
        <w:rPr>
          <w:sz w:val="21"/>
          <w:szCs w:val="21"/>
        </w:rPr>
        <w:t xml:space="preserve">S7 answers whether phage tRNAs decode host-rare codons; it computes host RSCU only. S7b adds the missing half — per-genome phage RSCU and its similarity to the host — reusing </w:t>
      </w:r>
      <w:r>
        <w:rPr>
          <w:i/>
          <w:iCs/>
          <w:sz w:val="21"/>
          <w:szCs w:val="21"/>
        </w:rPr>
        <w:t xml:space="preserve">count_codons_from_cds()</w:t>
      </w:r>
      <w:r>
        <w:rPr>
          <w:sz w:val="21"/>
          <w:szCs w:val="21"/>
        </w:rPr>
        <w:t xml:space="preserve"> and </w:t>
      </w:r>
      <w:r>
        <w:rPr>
          <w:i/>
          <w:iCs/>
          <w:sz w:val="21"/>
          <w:szCs w:val="21"/>
        </w:rPr>
        <w:t xml:space="preserve">calculate_rscu()</w:t>
      </w:r>
      <w:r>
        <w:rPr>
          <w:sz w:val="21"/>
          <w:szCs w:val="21"/>
        </w:rPr>
        <w:t xml:space="preserve"> from </w:t>
      </w:r>
      <w:r>
        <w:rPr>
          <w:i/>
          <w:iCs/>
          <w:sz w:val="21"/>
          <w:szCs w:val="21"/>
        </w:rPr>
        <w:t xml:space="preserve">phagecore.codon</w:t>
      </w:r>
      <w:r>
        <w:rPr>
          <w:sz w:val="21"/>
          <w:szCs w:val="21"/>
        </w:rPr>
        <w:t xml:space="preserve"> so the RSCU definition cannot differ between host and phage. Similarity is computed over the 59 codons of degenerate synonymous families; methionine and tryptophan are excluded, being invariant at RSCU = 1. The script refuses multi-record files.</w:t>
      </w:r>
    </w:p>
    <w:p>
      <w:pPr>
        <w:spacing w:after="80" w:before="180"/>
      </w:pPr>
      <w:r>
        <w:rPr>
          <w:b/>
          <w:bCs/>
          <w:sz w:val="21"/>
          <w:szCs w:val="21"/>
        </w:rPr>
        <w:t xml:space="preserve">Host set composition</w:t>
      </w:r>
    </w:p>
    <w:p>
      <w:pPr>
        <w:spacing w:after="150"/>
      </w:pPr>
      <w:r>
        <w:rPr>
          <w:sz w:val="21"/>
          <w:szCs w:val="21"/>
        </w:rPr>
        <w:t xml:space="preserve">Codon usage is a species-level property, so counts are summed across the files in </w:t>
      </w:r>
      <w:r>
        <w:rPr>
          <w:i/>
          <w:iCs/>
          <w:sz w:val="21"/>
          <w:szCs w:val="21"/>
        </w:rPr>
        <w:t xml:space="preserve">host/Staphylococcus_aureus/</w:t>
      </w:r>
      <w:r>
        <w:rPr>
          <w:sz w:val="21"/>
          <w:szCs w:val="21"/>
        </w:rPr>
        <w:t xml:space="preserve">. That directory contains six files representing </w:t>
      </w:r>
      <w:r>
        <w:rPr>
          <w:b/>
          <w:bCs/>
          <w:sz w:val="21"/>
          <w:szCs w:val="21"/>
        </w:rPr>
        <w:t xml:space="preserve">five</w:t>
      </w:r>
      <w:r>
        <w:rPr>
          <w:sz w:val="21"/>
          <w:szCs w:val="21"/>
        </w:rPr>
        <w:t xml:space="preserve"> distinct strains: GCA_002310435.gbff (CP023390.1) and GCF_002310435.gbff (NZ_CP023390.1) are the GenBank and RefSeq copies of the same 2,878,897-bp assembly, so that strain contributes twice.</w:t>
      </w:r>
    </w:p>
    <w:p>
      <w:pPr>
        <w:spacing w:after="200"/>
      </w:pPr>
      <w:r>
        <w:rPr>
          <w:sz w:val="21"/>
          <w:szCs w:val="21"/>
        </w:rPr>
        <w:t xml:space="preserve">The redundancy was present in the run reported in the manuscript and is left in place so the deposit reproduces it exactly. Its effect was measured: removing the duplicate changes host GC3 from 22.73 % to 22.72 %, gives an RSCU correlation of r = 0.999999 between the two host tables, and a maximum per-codon absolute RSCU difference of 0.0042.</w:t>
      </w:r>
    </w:p>
    <w:p>
      <w:pPr>
        <w:pStyle w:val="Heading2"/>
        <w:spacing w:after="100" w:before="240"/>
      </w:pPr>
      <w:r>
        <w:t xml:space="preserve">4.8 Intergenomic similarity</w:t>
      </w:r>
    </w:p>
    <w:p>
      <w:pPr>
        <w:spacing w:after="150"/>
      </w:pPr>
      <w:r>
        <w:rPr>
          <w:sz w:val="21"/>
          <w:szCs w:val="21"/>
        </w:rPr>
        <w:t xml:space="preserve">VIRIDIC web server, default BLASTN parameter set, with the demarcation thresholds recommended by the ICTV Bacterial and Archaeal Viruses Subcommittee. Input: the 22 retained genomes plus the two excluded during curation (vB_SauP_EBHT NC_055906, MarsHill MW248466), 24 sequences in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-word_size 7 -reward 2 -penalty -3 -gapopen 5 -gapextend 2</w:t>
            </w:r>
          </w:p>
          <w:p>
            <w:pPr>
              <w:spacing w:after="0"/>
            </w:pPr>
            <w:r>
              <w:rPr>
                <w:rFonts w:ascii="Consolas" w:cs="Consolas" w:eastAsia="Consolas" w:hAnsi="Consolas"/>
                <w:sz w:val="17"/>
                <w:szCs w:val="17"/>
              </w:rPr>
              <w:t xml:space="preserve">species threshold 95 %   genus threshold 70 %</w:t>
            </w:r>
          </w:p>
        </w:tc>
      </w:tr>
    </w:tbl>
    <w:p>
      <w:pPr>
        <w:spacing w:after="200"/>
      </w:pPr>
      <w:r>
        <w:rPr>
          <w:sz w:val="21"/>
          <w:szCs w:val="21"/>
        </w:rPr>
        <w:t xml:space="preserve">Aligned genome fraction and genome length ratio were recorded alongside every similarity value: a high similarity supported by a low aligned fraction does not indicate genome-wide relatedness.</w:t>
      </w:r>
    </w:p>
    <w:p>
      <w:pPr>
        <w:pStyle w:val="Heading2"/>
        <w:spacing w:after="100" w:before="240"/>
      </w:pPr>
      <w:r>
        <w:t xml:space="preserve">4.9 Re-annotation arms (Table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Pharokka 1.10.1  -&gt;  Phold 1.3.0  -&gt;  Phynteny_transformer 0.1.3</w:t>
            </w:r>
          </w:p>
        </w:tc>
      </w:tr>
    </w:tbl>
    <w:p>
      <w:pPr>
        <w:spacing w:after="200"/>
      </w:pPr>
      <w:r>
        <w:rPr>
          <w:sz w:val="21"/>
          <w:szCs w:val="21"/>
        </w:rPr>
        <w:t xml:space="preserve">Phold assigns function from ProstT5 protein-language-model embeddings followed by Foldseek structural search, run on GPU at half precision. Phynteny assigns a PHROG </w:t>
      </w:r>
      <w:r>
        <w:rPr>
          <w:b/>
          <w:bCs/>
          <w:sz w:val="21"/>
          <w:szCs w:val="21"/>
        </w:rPr>
        <w:t xml:space="preserve">category</w:t>
      </w:r>
      <w:r>
        <w:rPr>
          <w:sz w:val="21"/>
          <w:szCs w:val="21"/>
        </w:rPr>
        <w:t xml:space="preserve"> to proteins that remain of unknown function, not a product name, and is therefore reported separately rather than used to make module calls. The three arms differ only in the source of the CDS product names: keyword sets, InterPro protocol and curation funnel are identical.</w:t>
      </w:r>
    </w:p>
    <w:p>
      <w:r>
        <w:br w:type="page"/>
      </w:r>
    </w:p>
    <w:p>
      <w:pPr>
        <w:pStyle w:val="Heading1"/>
        <w:spacing w:after="140" w:before="320"/>
      </w:pPr>
      <w:r>
        <w:t xml:space="preserve">5. The host profile</w:t>
      </w:r>
    </w:p>
    <w:p>
      <w:pPr>
        <w:spacing w:after="150"/>
      </w:pPr>
      <w:r>
        <w:rPr>
          <w:i/>
          <w:iCs/>
          <w:sz w:val="21"/>
          <w:szCs w:val="21"/>
        </w:rPr>
        <w:t xml:space="preserve">phage_characterization/profiles/AureusPhage.yaml</w:t>
      </w:r>
      <w:r>
        <w:rPr>
          <w:sz w:val="21"/>
          <w:szCs w:val="21"/>
        </w:rPr>
        <w:t xml:space="preserve"> carries every host-specific value used by the analysis and is deposited in full so that each call is auditable.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shd w:fill="F2F2F2" w:val="clear"/>
            <w:tcMar>
              <w:top w:type="dxa" w:w="45"/>
              <w:left w:type="dxa" w:w="70"/>
              <w:bottom w:type="dxa" w:w="45"/>
              <w:right w:type="dxa" w:w="70"/>
            </w:tcMar>
          </w:tcPr>
          <w:p>
            <w:r>
              <w:rPr>
                <w:b/>
                <w:bCs/>
                <w:sz w:val="16"/>
                <w:szCs w:val="16"/>
              </w:rPr>
              <w:t xml:space="preserve">Field group</w:t>
            </w:r>
          </w:p>
        </w:tc>
        <w:tc>
          <w:tcPr>
            <w:tcW w:type="dxa" w:w="3500"/>
            <w:shd w:fill="F2F2F2" w:val="clear"/>
            <w:tcMar>
              <w:top w:type="dxa" w:w="45"/>
              <w:left w:type="dxa" w:w="70"/>
              <w:bottom w:type="dxa" w:w="45"/>
              <w:right w:type="dxa" w:w="70"/>
            </w:tcMar>
          </w:tcPr>
          <w:p>
            <w:r>
              <w:rPr>
                <w:b/>
                <w:bCs/>
                <w:sz w:val="16"/>
                <w:szCs w:val="16"/>
              </w:rPr>
              <w:t xml:space="preserve">Contents</w:t>
            </w:r>
          </w:p>
        </w:tc>
        <w:tc>
          <w:tcPr>
            <w:tcW w:type="dxa" w:w="4160"/>
            <w:shd w:fill="F2F2F2" w:val="clear"/>
            <w:tcMar>
              <w:top w:type="dxa" w:w="45"/>
              <w:left w:type="dxa" w:w="70"/>
              <w:bottom w:type="dxa" w:w="45"/>
              <w:right w:type="dxa" w:w="70"/>
            </w:tcMar>
          </w:tcPr>
          <w:p>
            <w:r>
              <w:rPr>
                <w:b/>
                <w:bCs/>
                <w:sz w:val="16"/>
                <w:szCs w:val="16"/>
              </w:rPr>
              <w:t xml:space="preserve">Role</w:t>
            </w:r>
          </w:p>
        </w:tc>
      </w:tr>
      <w:tr>
        <w:tc>
          <w:tcPr>
            <w:tcW w:type="dxa" w:w="1700"/>
            <w:tcMar>
              <w:top w:type="dxa" w:w="45"/>
              <w:left w:type="dxa" w:w="70"/>
              <w:bottom w:type="dxa" w:w="45"/>
              <w:right w:type="dxa" w:w="70"/>
            </w:tcMar>
          </w:tcPr>
          <w:p>
            <w:r>
              <w:rPr>
                <w:b w:val="false"/>
                <w:bCs w:val="false"/>
                <w:sz w:val="16"/>
                <w:szCs w:val="16"/>
              </w:rPr>
              <w:t xml:space="preserve">QC envelope</w:t>
            </w:r>
          </w:p>
        </w:tc>
        <w:tc>
          <w:tcPr>
            <w:tcW w:type="dxa" w:w="3500"/>
            <w:tcMar>
              <w:top w:type="dxa" w:w="45"/>
              <w:left w:type="dxa" w:w="70"/>
              <w:bottom w:type="dxa" w:w="45"/>
              <w:right w:type="dxa" w:w="70"/>
            </w:tcMar>
          </w:tcPr>
          <w:p>
            <w:r>
              <w:rPr>
                <w:b w:val="false"/>
                <w:bCs w:val="false"/>
                <w:sz w:val="16"/>
                <w:szCs w:val="16"/>
              </w:rPr>
              <w:t xml:space="preserve">genome size 15–300 kb, GC 24–38 %, minimum size for the zero-CDS check</w:t>
            </w:r>
          </w:p>
        </w:tc>
        <w:tc>
          <w:tcPr>
            <w:tcW w:type="dxa" w:w="4160"/>
            <w:tcMar>
              <w:top w:type="dxa" w:w="45"/>
              <w:left w:type="dxa" w:w="70"/>
              <w:bottom w:type="dxa" w:w="45"/>
              <w:right w:type="dxa" w:w="70"/>
            </w:tcMar>
          </w:tcPr>
          <w:p>
            <w:r>
              <w:rPr>
                <w:b w:val="false"/>
                <w:bCs w:val="false"/>
                <w:sz w:val="16"/>
                <w:szCs w:val="16"/>
              </w:rPr>
              <w:t xml:space="preserve">Plausibility flags. Derived empirically from a wider calibration set of S. aureus phage genomes, NOT from the 22 analysed here; the observed range in this dataset is 17.5–148.6 kb and 29.34–35.99 % GC.</w:t>
            </w:r>
          </w:p>
        </w:tc>
      </w:tr>
      <w:tr>
        <w:tc>
          <w:tcPr>
            <w:tcW w:type="dxa" w:w="1700"/>
            <w:tcMar>
              <w:top w:type="dxa" w:w="45"/>
              <w:left w:type="dxa" w:w="70"/>
              <w:bottom w:type="dxa" w:w="45"/>
              <w:right w:type="dxa" w:w="70"/>
            </w:tcMar>
          </w:tcPr>
          <w:p>
            <w:r>
              <w:rPr>
                <w:b w:val="false"/>
                <w:bCs w:val="false"/>
                <w:sz w:val="16"/>
                <w:szCs w:val="16"/>
              </w:rPr>
              <w:t xml:space="preserve">Detection vocabulary</w:t>
            </w:r>
          </w:p>
        </w:tc>
        <w:tc>
          <w:tcPr>
            <w:tcW w:type="dxa" w:w="3500"/>
            <w:tcMar>
              <w:top w:type="dxa" w:w="45"/>
              <w:left w:type="dxa" w:w="70"/>
              <w:bottom w:type="dxa" w:w="45"/>
              <w:right w:type="dxa" w:w="70"/>
            </w:tcMar>
          </w:tcPr>
          <w:p>
            <w:r>
              <w:rPr>
                <w:b w:val="false"/>
                <w:bCs w:val="false"/>
                <w:sz w:val="16"/>
                <w:szCs w:val="16"/>
              </w:rPr>
              <w:t xml:space="preserve">holin_keywords (5), rbp_keywords (12), lysis_keywords (16), vaph_markers (9)</w:t>
            </w:r>
          </w:p>
        </w:tc>
        <w:tc>
          <w:tcPr>
            <w:tcW w:type="dxa" w:w="4160"/>
            <w:tcMar>
              <w:top w:type="dxa" w:w="45"/>
              <w:left w:type="dxa" w:w="70"/>
              <w:bottom w:type="dxa" w:w="45"/>
              <w:right w:type="dxa" w:w="70"/>
            </w:tcMar>
          </w:tcPr>
          <w:p>
            <w:r>
              <w:rPr>
                <w:b w:val="false"/>
                <w:bCs w:val="false"/>
                <w:sz w:val="16"/>
                <w:szCs w:val="16"/>
              </w:rPr>
              <w:t xml:space="preserve">What S2 and S4 match against. lysis_keywords is a deliberately broad collection net; precision is restored by the denylist below.</w:t>
            </w:r>
          </w:p>
        </w:tc>
      </w:tr>
      <w:tr>
        <w:tc>
          <w:tcPr>
            <w:tcW w:type="dxa" w:w="1700"/>
            <w:tcMar>
              <w:top w:type="dxa" w:w="45"/>
              <w:left w:type="dxa" w:w="70"/>
              <w:bottom w:type="dxa" w:w="45"/>
              <w:right w:type="dxa" w:w="70"/>
            </w:tcMar>
          </w:tcPr>
          <w:p>
            <w:r>
              <w:rPr>
                <w:b w:val="false"/>
                <w:bCs w:val="false"/>
                <w:sz w:val="16"/>
                <w:szCs w:val="16"/>
              </w:rPr>
              <w:t xml:space="preserve">Precision denylist</w:t>
            </w:r>
          </w:p>
        </w:tc>
        <w:tc>
          <w:tcPr>
            <w:tcW w:type="dxa" w:w="3500"/>
            <w:tcMar>
              <w:top w:type="dxa" w:w="45"/>
              <w:left w:type="dxa" w:w="70"/>
              <w:bottom w:type="dxa" w:w="45"/>
              <w:right w:type="dxa" w:w="70"/>
            </w:tcMar>
          </w:tcPr>
          <w:p>
            <w:r>
              <w:rPr>
                <w:b w:val="false"/>
                <w:bCs w:val="false"/>
                <w:sz w:val="16"/>
                <w:szCs w:val="16"/>
              </w:rPr>
              <w:t xml:space="preserve">non_endolysin_markers (18)</w:t>
            </w:r>
          </w:p>
        </w:tc>
        <w:tc>
          <w:tcPr>
            <w:tcW w:type="dxa" w:w="4160"/>
            <w:tcMar>
              <w:top w:type="dxa" w:w="45"/>
              <w:left w:type="dxa" w:w="70"/>
              <w:bottom w:type="dxa" w:w="45"/>
              <w:right w:type="dxa" w:w="70"/>
            </w:tcMar>
          </w:tcPr>
          <w:p>
            <w:r>
              <w:rPr>
                <w:b w:val="false"/>
                <w:bCs w:val="false"/>
                <w:sz w:val="16"/>
                <w:szCs w:val="16"/>
              </w:rPr>
              <w:t xml:space="preserve">Broad-keyword false positives confirmed non-endolysin by InterPro, e.g. dUTPase, chaperonin, ribonuclease, tailspike.</w:t>
            </w:r>
          </w:p>
        </w:tc>
      </w:tr>
      <w:tr>
        <w:tc>
          <w:tcPr>
            <w:tcW w:type="dxa" w:w="1700"/>
            <w:tcMar>
              <w:top w:type="dxa" w:w="45"/>
              <w:left w:type="dxa" w:w="70"/>
              <w:bottom w:type="dxa" w:w="45"/>
              <w:right w:type="dxa" w:w="70"/>
            </w:tcMar>
          </w:tcPr>
          <w:p>
            <w:r>
              <w:rPr>
                <w:b w:val="false"/>
                <w:bCs w:val="false"/>
                <w:sz w:val="16"/>
                <w:szCs w:val="16"/>
              </w:rPr>
              <w:t xml:space="preserve">Length windows</w:t>
            </w:r>
          </w:p>
        </w:tc>
        <w:tc>
          <w:tcPr>
            <w:tcW w:type="dxa" w:w="3500"/>
            <w:tcMar>
              <w:top w:type="dxa" w:w="45"/>
              <w:left w:type="dxa" w:w="70"/>
              <w:bottom w:type="dxa" w:w="45"/>
              <w:right w:type="dxa" w:w="70"/>
            </w:tcMar>
          </w:tcPr>
          <w:p>
            <w:r>
              <w:rPr>
                <w:b w:val="false"/>
                <w:bCs w:val="false"/>
                <w:sz w:val="16"/>
                <w:szCs w:val="16"/>
              </w:rPr>
              <w:t xml:space="preserve">endolysin canonical 440–520 aa, plausible 200–600 aa, VAPH threshold 700 aa</w:t>
            </w:r>
          </w:p>
        </w:tc>
        <w:tc>
          <w:tcPr>
            <w:tcW w:type="dxa" w:w="4160"/>
            <w:tcMar>
              <w:top w:type="dxa" w:w="45"/>
              <w:left w:type="dxa" w:w="70"/>
              <w:bottom w:type="dxa" w:w="45"/>
              <w:right w:type="dxa" w:w="70"/>
            </w:tcMar>
          </w:tcPr>
          <w:p>
            <w:r>
              <w:rPr>
                <w:b w:val="false"/>
                <w:bCs w:val="false"/>
                <w:sz w:val="16"/>
                <w:szCs w:val="16"/>
              </w:rPr>
              <w:t xml:space="preserve">Ranking and classification.</w:t>
            </w:r>
          </w:p>
        </w:tc>
      </w:tr>
      <w:tr>
        <w:tc>
          <w:tcPr>
            <w:tcW w:type="dxa" w:w="1700"/>
            <w:tcMar>
              <w:top w:type="dxa" w:w="45"/>
              <w:left w:type="dxa" w:w="70"/>
              <w:bottom w:type="dxa" w:w="45"/>
              <w:right w:type="dxa" w:w="70"/>
            </w:tcMar>
          </w:tcPr>
          <w:p>
            <w:r>
              <w:rPr>
                <w:b w:val="false"/>
                <w:bCs w:val="false"/>
                <w:sz w:val="16"/>
                <w:szCs w:val="16"/>
              </w:rPr>
              <w:t xml:space="preserve">known_cases</w:t>
            </w:r>
          </w:p>
        </w:tc>
        <w:tc>
          <w:tcPr>
            <w:tcW w:type="dxa" w:w="3500"/>
            <w:tcMar>
              <w:top w:type="dxa" w:w="45"/>
              <w:left w:type="dxa" w:w="70"/>
              <w:bottom w:type="dxa" w:w="45"/>
              <w:right w:type="dxa" w:w="70"/>
            </w:tcMar>
          </w:tcPr>
          <w:p>
            <w:r>
              <w:rPr>
                <w:b w:val="false"/>
                <w:bCs w:val="false"/>
                <w:sz w:val="16"/>
                <w:szCs w:val="16"/>
              </w:rPr>
              <w:t xml:space="preserve">eight validated exceptions with status, identity and a literature note</w:t>
            </w:r>
          </w:p>
        </w:tc>
        <w:tc>
          <w:tcPr>
            <w:tcW w:type="dxa" w:w="4160"/>
            <w:tcMar>
              <w:top w:type="dxa" w:w="45"/>
              <w:left w:type="dxa" w:w="70"/>
              <w:bottom w:type="dxa" w:w="45"/>
              <w:right w:type="dxa" w:w="70"/>
            </w:tcMar>
          </w:tcPr>
          <w:p>
            <w:r>
              <w:rPr>
                <w:b w:val="false"/>
                <w:bCs w:val="false"/>
                <w:sz w:val="16"/>
                <w:szCs w:val="16"/>
              </w:rPr>
              <w:t xml:space="preserve">Curated evidence, not hardcoded shortcuts: each records a case where the deposited annotation alone gives the wrong answer.</w:t>
            </w:r>
          </w:p>
        </w:tc>
      </w:tr>
      <w:tr>
        <w:tc>
          <w:tcPr>
            <w:tcW w:type="dxa" w:w="1700"/>
            <w:tcMar>
              <w:top w:type="dxa" w:w="45"/>
              <w:left w:type="dxa" w:w="70"/>
              <w:bottom w:type="dxa" w:w="45"/>
              <w:right w:type="dxa" w:w="70"/>
            </w:tcMar>
          </w:tcPr>
          <w:p>
            <w:r>
              <w:rPr>
                <w:b w:val="false"/>
                <w:bCs w:val="false"/>
                <w:sz w:val="16"/>
                <w:szCs w:val="16"/>
              </w:rPr>
              <w:t xml:space="preserve">S6/S7 anchors</w:t>
            </w:r>
          </w:p>
        </w:tc>
        <w:tc>
          <w:tcPr>
            <w:tcW w:type="dxa" w:w="3500"/>
            <w:tcMar>
              <w:top w:type="dxa" w:w="45"/>
              <w:left w:type="dxa" w:w="70"/>
              <w:bottom w:type="dxa" w:w="45"/>
              <w:right w:type="dxa" w:w="70"/>
            </w:tcMar>
          </w:tcPr>
          <w:p>
            <w:r>
              <w:rPr>
                <w:b w:val="false"/>
                <w:bCs w:val="false"/>
                <w:sz w:val="16"/>
                <w:szCs w:val="16"/>
              </w:rPr>
              <w:t xml:space="preserve">tRNA ground-truth accession, canonical isotypes [Ile, Phe, Asp], host codon reference NC_007795.1</w:t>
            </w:r>
          </w:p>
        </w:tc>
        <w:tc>
          <w:tcPr>
            <w:tcW w:type="dxa" w:w="4160"/>
            <w:tcMar>
              <w:top w:type="dxa" w:w="45"/>
              <w:left w:type="dxa" w:w="70"/>
              <w:bottom w:type="dxa" w:w="45"/>
              <w:right w:type="dxa" w:w="70"/>
            </w:tcMar>
          </w:tcPr>
          <w:p>
            <w:r>
              <w:rPr>
                <w:b w:val="false"/>
                <w:bCs w:val="false"/>
                <w:sz w:val="16"/>
                <w:szCs w:val="16"/>
              </w:rPr>
              <w:t xml:space="preserve">Calibration for the de novo tRNA and codon stages.</w:t>
            </w:r>
          </w:p>
        </w:tc>
      </w:tr>
    </w:tbl>
    <w:p>
      <w:pPr>
        <w:spacing w:after="150"/>
      </w:pPr>
      <w:r>
        <w:rPr>
          <w:sz w:val="21"/>
          <w:szCs w:val="21"/>
        </w:rPr>
        <w:t xml:space="preserve">The eight known_cases cover two intron-split lysK.1 genes (MN047438, MF398190), two tBLASTn-recovered endolysins (MN045228, NC_019726), two HNH-disrupted ORFs (MN336262, MN336263), one tail-anchored VAPH (NC_007021) and one divergent endolysin (NC_007056).</w:t>
      </w:r>
    </w:p>
    <w:p>
      <w:pPr>
        <w:spacing w:after="150"/>
      </w:pPr>
      <w:r>
        <w:rPr>
          <w:b/>
          <w:bCs/>
          <w:sz w:val="21"/>
          <w:szCs w:val="21"/>
        </w:rPr>
        <w:t xml:space="preserve">Reading the Selected column. </w:t>
      </w:r>
      <w:r>
        <w:rPr>
          <w:sz w:val="21"/>
          <w:szCs w:val="21"/>
        </w:rPr>
        <w:t xml:space="preserve">For genomes whose status is tblastn-recovered or hnh-disrupted the audit contains no row marked Selected, because the deposited annotation holds no CDS that is the endolysin — only decoys or fragments. Selected means "an annotated CDS was chosen as the representative", not "an endolysin is present". Endolysin is present in 22 of 22 genomes; a representative CDS could be selected in 18 of 22.</w:t>
      </w:r>
    </w:p>
    <w:p>
      <w:pPr>
        <w:spacing w:after="200"/>
      </w:pPr>
      <w:r>
        <w:rPr>
          <w:sz w:val="21"/>
          <w:szCs w:val="21"/>
        </w:rPr>
        <w:t xml:space="preserve">The profile also contains fields consumed only by stage S5, which is included in this archive for completeness but produces no manuscript output.</w:t>
      </w:r>
    </w:p>
    <w:p>
      <w:pPr>
        <w:pStyle w:val="Heading1"/>
        <w:spacing w:after="140" w:before="320"/>
      </w:pPr>
      <w:r>
        <w:t xml:space="preserve">6. Validation</w:t>
      </w:r>
    </w:p>
    <w:p>
      <w:pPr>
        <w:spacing w:after="200"/>
      </w:pPr>
      <w:r>
        <w:rPr>
          <w:i/>
          <w:iCs/>
          <w:sz w:val="21"/>
          <w:szCs w:val="21"/>
        </w:rPr>
        <w:t xml:space="preserve">validate_outputs.py</w:t>
      </w:r>
      <w:r>
        <w:rPr>
          <w:sz w:val="21"/>
          <w:szCs w:val="21"/>
        </w:rPr>
        <w:t xml:space="preserve"> reads the output files, never the scripts, and re-derives each stage's invariants, printing PASS or FAIL: every zero-CDS genome flagged (S1); unique FASTA headers (S4); no duplicate or unknown protein identifier (S5); de novo anticodons filled and CAT rows flagged ambiguous (S6); the RSCU family-sum invariant holds and Ile2-CAT decodes ATA (S7).</w:t>
      </w:r>
    </w:p>
    <w:p>
      <w:pPr>
        <w:pStyle w:val="Heading1"/>
        <w:spacing w:after="140" w:before="320"/>
      </w:pPr>
      <w:r>
        <w:t xml:space="preserve">7. Complete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90"/>
              <w:left w:type="dxa" w:w="130"/>
              <w:bottom w:type="dxa" w:w="90"/>
              <w:right w:type="dxa" w:w="130"/>
            </w:tcMar>
          </w:tcPr>
          <w:p>
            <w:pPr>
              <w:spacing w:after="0"/>
            </w:pPr>
            <w:r>
              <w:rPr>
                <w:rFonts w:ascii="Consolas" w:cs="Consolas" w:eastAsia="Consolas" w:hAnsi="Consolas"/>
                <w:sz w:val="17"/>
                <w:szCs w:val="17"/>
              </w:rPr>
              <w:t xml:space="preserve">REM ---- TABLE I ----</w:t>
            </w:r>
          </w:p>
          <w:p>
            <w:pPr>
              <w:spacing w:after="0"/>
            </w:pPr>
            <w:r>
              <w:rPr>
                <w:rFonts w:ascii="Consolas" w:cs="Consolas" w:eastAsia="Consolas" w:hAnsi="Consolas"/>
                <w:sz w:val="17"/>
                <w:szCs w:val="17"/>
              </w:rPr>
              <w:t xml:space="preserve">python S1_genome_statistics.py -i GenBank -o results\result_aureus_04 ^</w:t>
            </w:r>
          </w:p>
          <w:p>
            <w:pPr>
              <w:spacing w:after="0"/>
            </w:pPr>
            <w:r>
              <w:rPr>
                <w:rFonts w:ascii="Consolas" w:cs="Consolas" w:eastAsia="Consolas" w:hAnsi="Consolas"/>
                <w:sz w:val="17"/>
                <w:szCs w:val="17"/>
              </w:rPr>
              <w:t xml:space="preserve">       --profile phage_characterization\profiles\AureusPhage.yaml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REM ---- TABLE II part 1: holin + RBP ----</w:t>
            </w:r>
          </w:p>
          <w:p>
            <w:pPr>
              <w:spacing w:after="0"/>
            </w:pPr>
            <w:r>
              <w:rPr>
                <w:rFonts w:ascii="Consolas" w:cs="Consolas" w:eastAsia="Consolas" w:hAnsi="Consolas"/>
                <w:sz w:val="17"/>
                <w:szCs w:val="17"/>
              </w:rPr>
              <w:t xml:space="preserve">python S2_holin_rbp_annotation.py -i GenBank -o results\result_aureus_04 ^</w:t>
            </w:r>
          </w:p>
          <w:p>
            <w:pPr>
              <w:spacing w:after="0"/>
            </w:pPr>
            <w:r>
              <w:rPr>
                <w:rFonts w:ascii="Consolas" w:cs="Consolas" w:eastAsia="Consolas" w:hAnsi="Consolas"/>
                <w:sz w:val="17"/>
                <w:szCs w:val="17"/>
              </w:rPr>
              <w:t xml:space="preserve">       --profile phage_characterization\profiles\AureusPhage.yaml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REM ---- TABLE II part 2: endolysin -&gt; InterPro ----</w:t>
            </w:r>
          </w:p>
          <w:p>
            <w:pPr>
              <w:spacing w:after="0"/>
            </w:pPr>
            <w:r>
              <w:rPr>
                <w:rFonts w:ascii="Consolas" w:cs="Consolas" w:eastAsia="Consolas" w:hAnsi="Consolas"/>
                <w:sz w:val="17"/>
                <w:szCs w:val="17"/>
              </w:rPr>
              <w:t xml:space="preserve">python S4_endolysin_extractor.py -i GenBank -o results\result_aureus_04 ^</w:t>
            </w:r>
          </w:p>
          <w:p>
            <w:pPr>
              <w:spacing w:after="0"/>
            </w:pPr>
            <w:r>
              <w:rPr>
                <w:rFonts w:ascii="Consolas" w:cs="Consolas" w:eastAsia="Consolas" w:hAnsi="Consolas"/>
                <w:sz w:val="17"/>
                <w:szCs w:val="17"/>
              </w:rPr>
              <w:t xml:space="preserve">       --profile phage_characterization\profiles\AureusPhage.yaml --run-tblastn</w:t>
            </w:r>
          </w:p>
          <w:p>
            <w:pPr>
              <w:spacing w:after="0"/>
            </w:pPr>
            <w:r>
              <w:rPr>
                <w:rFonts w:ascii="Consolas" w:cs="Consolas" w:eastAsia="Consolas" w:hAnsi="Consolas"/>
                <w:sz w:val="17"/>
                <w:szCs w:val="17"/>
              </w:rPr>
              <w:t xml:space="preserve">REM  submit endolysin_unique_*.faa to https://www.ebi.ac.uk/interpro/</w:t>
            </w:r>
          </w:p>
          <w:p>
            <w:pPr>
              <w:spacing w:after="0"/>
            </w:pPr>
            <w:r>
              <w:rPr>
                <w:rFonts w:ascii="Consolas" w:cs="Consolas" w:eastAsia="Consolas" w:hAnsi="Consolas"/>
                <w:sz w:val="17"/>
                <w:szCs w:val="17"/>
              </w:rPr>
              <w:t xml:space="preserve">REM  save the TSV into interpro_endolysin\ and re-run S4 with --interpro</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REM ---- SUPPLEMENTARY TABLE S4: per-domain identity ----</w:t>
            </w:r>
          </w:p>
          <w:p>
            <w:pPr>
              <w:spacing w:after="0"/>
            </w:pPr>
            <w:r>
              <w:rPr>
                <w:rFonts w:ascii="Consolas" w:cs="Consolas" w:eastAsia="Consolas" w:hAnsi="Consolas"/>
                <w:sz w:val="17"/>
                <w:szCs w:val="17"/>
              </w:rPr>
              <w:t xml:space="preserve">python S4b_endolysin_domain_identity.py --faa ... --interpro ... ^</w:t>
            </w:r>
          </w:p>
          <w:p>
            <w:pPr>
              <w:spacing w:after="0"/>
            </w:pPr>
            <w:r>
              <w:rPr>
                <w:rFonts w:ascii="Consolas" w:cs="Consolas" w:eastAsia="Consolas" w:hAnsi="Consolas"/>
                <w:sz w:val="17"/>
                <w:szCs w:val="17"/>
              </w:rPr>
              <w:t xml:space="preserve">       -o results\result_aureus_04\endolysin_identity ^</w:t>
            </w:r>
          </w:p>
          <w:p>
            <w:pPr>
              <w:spacing w:after="0"/>
            </w:pPr>
            <w:r>
              <w:rPr>
                <w:rFonts w:ascii="Consolas" w:cs="Consolas" w:eastAsia="Consolas" w:hAnsi="Consolas"/>
                <w:sz w:val="17"/>
                <w:szCs w:val="17"/>
              </w:rPr>
              <w:t xml:space="preserve">       --profile phage_characterization\profiles\AureusPhage.yaml</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REM ---- FIGURE 1: TerL -&gt; MAFFT -&gt; MEGA ----</w:t>
            </w:r>
          </w:p>
          <w:p>
            <w:pPr>
              <w:spacing w:after="0"/>
            </w:pPr>
            <w:r>
              <w:rPr>
                <w:rFonts w:ascii="Consolas" w:cs="Consolas" w:eastAsia="Consolas" w:hAnsi="Consolas"/>
                <w:sz w:val="17"/>
                <w:szCs w:val="17"/>
              </w:rPr>
              <w:t xml:space="preserve">python S3_terl_extractor.py -i GenBank -o results\result_aureus_04\TerL_combined.faa</w:t>
            </w:r>
          </w:p>
          <w:p>
            <w:pPr>
              <w:spacing w:after="0"/>
            </w:pPr>
            <w:r>
              <w:rPr>
                <w:rFonts w:ascii="Consolas" w:cs="Consolas" w:eastAsia="Consolas" w:hAnsi="Consolas"/>
                <w:sz w:val="17"/>
                <w:szCs w:val="17"/>
              </w:rPr>
              <w:t xml:space="preserve">REM  MAFFT web (L-INS-i) -&gt; TerL_aligned.faa -&gt; MEGA 12.1.2 (LG+G+I, 1000 bootstrap)</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REM ---- SUPPLEMENTARY TABLE S2: tRNA + codon usage ----</w:t>
            </w:r>
          </w:p>
          <w:p>
            <w:pPr>
              <w:spacing w:after="0"/>
            </w:pPr>
            <w:r>
              <w:rPr>
                <w:rFonts w:ascii="Consolas" w:cs="Consolas" w:eastAsia="Consolas" w:hAnsi="Consolas"/>
                <w:sz w:val="17"/>
                <w:szCs w:val="17"/>
              </w:rPr>
              <w:t xml:space="preserve">python S6_tRNA_analyzer.py -i GenBank -o results\result_aureus_04 --profile ...</w:t>
            </w:r>
          </w:p>
          <w:p>
            <w:pPr>
              <w:spacing w:after="0"/>
            </w:pPr>
            <w:r>
              <w:rPr>
                <w:rFonts w:ascii="Consolas" w:cs="Consolas" w:eastAsia="Consolas" w:hAnsi="Consolas"/>
                <w:sz w:val="17"/>
                <w:szCs w:val="17"/>
              </w:rPr>
              <w:t xml:space="preserve">python S7_codon_trna_coverage.py --host host\Staphylococcus_aureus --trna ... --profile ...</w:t>
            </w:r>
          </w:p>
          <w:p>
            <w:pPr>
              <w:spacing w:after="0"/>
            </w:pPr>
            <w:r>
              <w:rPr>
                <w:rFonts w:ascii="Consolas" w:cs="Consolas" w:eastAsia="Consolas" w:hAnsi="Consolas"/>
                <w:sz w:val="17"/>
                <w:szCs w:val="17"/>
              </w:rPr>
              <w:t xml:space="preserve">python S7b_phage_codon_usage.py --phage-dir GenBank --host host\Staphylococcus_aureus --profile ...</w:t>
            </w:r>
          </w:p>
          <w:p>
            <w:pPr>
              <w:spacing w:after="0"/>
            </w:pPr>
            <w:r>
              <w:rPr>
                <w:rFonts w:ascii="Consolas" w:cs="Consolas" w:eastAsia="Consolas" w:hAnsi="Consolas"/>
                <w:sz w:val="17"/>
                <w:szCs w:val="17"/>
              </w:rPr>
              <w:t xml:space="preserve"/>
            </w:r>
          </w:p>
          <w:p>
            <w:pPr>
              <w:spacing w:after="0"/>
            </w:pPr>
            <w:r>
              <w:rPr>
                <w:rFonts w:ascii="Consolas" w:cs="Consolas" w:eastAsia="Consolas" w:hAnsi="Consolas"/>
                <w:sz w:val="17"/>
                <w:szCs w:val="17"/>
              </w:rPr>
              <w:t xml:space="preserve">REM ---- TABLE III: repeat S1-S4 on each annotation source ----</w:t>
            </w:r>
          </w:p>
          <w:p>
            <w:pPr>
              <w:spacing w:after="0"/>
            </w:pPr>
            <w:r>
              <w:rPr>
                <w:rFonts w:ascii="Consolas" w:cs="Consolas" w:eastAsia="Consolas" w:hAnsi="Consolas"/>
                <w:sz w:val="17"/>
                <w:szCs w:val="17"/>
              </w:rPr>
              <w:t xml:space="preserve">REM  arm 1 GenBank/   arm 2 GenBank\Pharokka_Phold (Pharokka)   arm 3 (Phold)</w:t>
            </w:r>
          </w:p>
        </w:tc>
      </w:tr>
    </w:tbl>
    <w:p>
      <w:pPr>
        <w:pStyle w:val="Heading1"/>
        <w:spacing w:after="140" w:before="320"/>
      </w:pPr>
      <w:r>
        <w:t xml:space="preserve">8. Known limitations of this release</w:t>
      </w:r>
    </w:p>
    <w:p>
      <w:pPr>
        <w:spacing w:after="110"/>
      </w:pPr>
      <w:r>
        <w:rPr>
          <w:b/>
          <w:bCs/>
          <w:sz w:val="21"/>
          <w:szCs w:val="21"/>
        </w:rPr>
        <w:t xml:space="preserve">Annotation dependence — </w:t>
      </w:r>
      <w:r>
        <w:rPr>
          <w:sz w:val="21"/>
          <w:szCs w:val="21"/>
        </w:rPr>
        <w:t xml:space="preserve">Stages S1–S4 extract and curate what the deposited annotation contains; they are not independent gene callers. The magnitude of that dependence is quantified in Table III of the manuscript.</w:t>
      </w:r>
    </w:p>
    <w:p>
      <w:pPr>
        <w:spacing w:after="110"/>
      </w:pPr>
      <w:r>
        <w:rPr>
          <w:b/>
          <w:bCs/>
          <w:sz w:val="21"/>
          <w:szCs w:val="21"/>
        </w:rPr>
        <w:t xml:space="preserve">Detection vocabulary — </w:t>
      </w:r>
      <w:r>
        <w:rPr>
          <w:sz w:val="21"/>
          <w:szCs w:val="21"/>
        </w:rPr>
        <w:t xml:space="preserve">A call can be missed because the submitter used wording outside the keyword set. Two micro-class genomes lose their RBP call under re-annotation for exactly this reason; this is reported in the manuscript rather than corrected silently.</w:t>
      </w:r>
    </w:p>
    <w:p>
      <w:pPr>
        <w:spacing w:after="110"/>
      </w:pPr>
      <w:r>
        <w:rPr>
          <w:b/>
          <w:bCs/>
          <w:sz w:val="21"/>
          <w:szCs w:val="21"/>
        </w:rPr>
        <w:t xml:space="preserve">One genome per file — </w:t>
      </w:r>
      <w:r>
        <w:rPr>
          <w:sz w:val="21"/>
          <w:szCs w:val="21"/>
        </w:rPr>
        <w:t xml:space="preserve">The engine reads the first record of each file. GenBank/Phynteny/phynteny.gbk holds all 22 genomes in a single file, as Phynteny writes it, and must be split before use as stage input.</w:t>
      </w:r>
    </w:p>
    <w:p>
      <w:pPr>
        <w:spacing w:after="110"/>
      </w:pPr>
      <w:r>
        <w:rPr>
          <w:b/>
          <w:bCs/>
          <w:sz w:val="21"/>
          <w:szCs w:val="21"/>
        </w:rPr>
        <w:t xml:space="preserve">Twort TerL is a fragment — </w:t>
      </w:r>
      <w:r>
        <w:rPr>
          <w:sz w:val="21"/>
          <w:szCs w:val="21"/>
        </w:rPr>
        <w:t xml:space="preserve">Twort's terminase is split across three CDS by HNH endonuclease insertions; S3 extracts the longest fragment (286 aa against a 605-aa reference) and InterPro returns no domain for it. Its position in Figure 1 rests on partial data.</w:t>
      </w:r>
    </w:p>
    <w:p>
      <w:pPr>
        <w:spacing w:after="110"/>
      </w:pPr>
      <w:r>
        <w:rPr>
          <w:b/>
          <w:bCs/>
          <w:sz w:val="21"/>
          <w:szCs w:val="21"/>
        </w:rPr>
        <w:t xml:space="preserve">Unresolved internal branching — </w:t>
      </w:r>
      <w:r>
        <w:rPr>
          <w:sz w:val="21"/>
          <w:szCs w:val="21"/>
        </w:rPr>
        <w:t xml:space="preserve">Ninety-two of the 190 TerL pairwise distances are exactly zero and bootstrap support inside the core clade is 27–64 %. Only the separation of the core clade from Twort and from EW/SA13 is supported at 100 %. Figure 1 states lineage separation, not branching order within the clade.</w:t>
      </w:r>
    </w:p>
    <w:p>
      <w:pPr>
        <w:spacing w:after="110"/>
      </w:pPr>
      <w:r>
        <w:rPr>
          <w:b/>
          <w:bCs/>
          <w:sz w:val="21"/>
          <w:szCs w:val="21"/>
        </w:rPr>
        <w:t xml:space="preserve">Genotype is not phenotype — </w:t>
      </w:r>
      <w:r>
        <w:rPr>
          <w:sz w:val="21"/>
          <w:szCs w:val="21"/>
        </w:rPr>
        <w:t xml:space="preserve">The pipeline establishes genomic capacity. Whether a module produces a given lytic or biofilm phenotype is a wet-lab readout outside its scope.</w:t>
      </w:r>
    </w:p>
    <w:p>
      <w:pPr>
        <w:pStyle w:val="Heading1"/>
        <w:spacing w:after="140" w:before="320"/>
      </w:pPr>
      <w:r>
        <w:t xml:space="preserve">9. References for the external tools</w:t>
      </w:r>
    </w:p>
    <w:p>
      <w:pPr>
        <w:spacing w:after="90"/>
      </w:pPr>
      <w:r>
        <w:rPr>
          <w:sz w:val="21"/>
          <w:szCs w:val="21"/>
        </w:rPr>
        <w:t xml:space="preserve">Bouras G, Nepal R, Houtak G, Psaltis AJ, Wormald PJ, Vreugde S. Pharokka: a fast scalable bacteriophage annotation tool. Bioinformatics. 2023;39(1):btac776.</w:t>
      </w:r>
    </w:p>
    <w:p>
      <w:pPr>
        <w:spacing w:after="90"/>
      </w:pPr>
      <w:r>
        <w:rPr>
          <w:sz w:val="21"/>
          <w:szCs w:val="21"/>
        </w:rPr>
        <w:t xml:space="preserve">Bouras G, Grigson SR, Mirdita M, Heinzinger M, Papudeshi B, Mallawaarachchi V, et al. Protein structure informed bacteriophage genome annotation with Phold. Nucleic Acids Res. 2026;54(1):gkaf1448.</w:t>
      </w:r>
    </w:p>
    <w:p>
      <w:pPr>
        <w:spacing w:after="90"/>
      </w:pPr>
      <w:r>
        <w:rPr>
          <w:sz w:val="21"/>
          <w:szCs w:val="21"/>
        </w:rPr>
        <w:t xml:space="preserve">Chan PP, Lin BY, Mak AJ, Lowe TM. tRNAscan-SE 2.0: improved detection and functional classification of transfer RNA genes. Nucleic Acids Res. 2021;49(16):9077-96.</w:t>
      </w:r>
    </w:p>
    <w:p>
      <w:pPr>
        <w:spacing w:after="90"/>
      </w:pPr>
      <w:r>
        <w:rPr>
          <w:sz w:val="21"/>
          <w:szCs w:val="21"/>
        </w:rPr>
        <w:t xml:space="preserve">Cock PJA, Antao T, Chang JT, Chapman BA, Cox CJ, Dalke A, et al. Biopython: freely available Python tools for computational molecular biology and bioinformatics. Bioinformatics. 2009;25(11):1422-3.</w:t>
      </w:r>
    </w:p>
    <w:p>
      <w:pPr>
        <w:spacing w:after="90"/>
      </w:pPr>
      <w:r>
        <w:rPr>
          <w:sz w:val="21"/>
          <w:szCs w:val="21"/>
        </w:rPr>
        <w:t xml:space="preserve">Katoh K, Rozewicki J, Yamada KD. MAFFT online service: multiple sequence alignment, interactive sequence choice and visualization. Brief Bioinform. 2019;20(4):1160-6.</w:t>
      </w:r>
    </w:p>
    <w:p>
      <w:pPr>
        <w:spacing w:after="90"/>
      </w:pPr>
      <w:r>
        <w:rPr>
          <w:sz w:val="21"/>
          <w:szCs w:val="21"/>
        </w:rPr>
        <w:t xml:space="preserve">Kumar S, Stecher G, Suleski M, Sanderford M, Sharma S, Tamura K. Molecular Evolutionary Genetics Analysis Version 12 for adaptive and green computing. Mol Biol Evol. 2024;41:1-9.</w:t>
      </w:r>
    </w:p>
    <w:p>
      <w:pPr>
        <w:spacing w:after="90"/>
      </w:pPr>
      <w:r>
        <w:rPr>
          <w:sz w:val="21"/>
          <w:szCs w:val="21"/>
        </w:rPr>
        <w:t xml:space="preserve">Moraru C, Varsani A, Kropinski AM. VIRIDIC - a novel tool to calculate the intergenomic similarities of prokaryote-infecting viruses. Viruses. 2020;12(11):1268.</w:t>
      </w:r>
    </w:p>
    <w:p>
      <w:pPr>
        <w:spacing w:after="90"/>
      </w:pPr>
      <w:r>
        <w:rPr>
          <w:sz w:val="21"/>
          <w:szCs w:val="21"/>
        </w:rPr>
        <w:t xml:space="preserve">Paysan-Lafosse T, Blum M, Chuguransky S, Grego T, Pinto BL, Salazar GA, et al. InterPro in 2022. Nucleic Acids Res. 2023;51(D1):D418-27.</w:t>
      </w:r>
    </w:p>
    <w:p>
      <w:pPr>
        <w:spacing w:after="90"/>
      </w:pPr>
      <w:r>
        <w:rPr>
          <w:sz w:val="21"/>
          <w:szCs w:val="21"/>
        </w:rPr>
        <w:t xml:space="preserve">Sharp PM, Tuohy TMF, Mosurski KR. Codon usage in yeast: cluster analysis clearly differentiates highly and lowly expressed genes. Nucleic Acids Res. 1986;14(13):5125-43.</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Code Documentation v3.2</dc:title>
  <dc:creator>Ivan A. Hasugian</dc:creator>
  <cp:lastModifiedBy>Un-named</cp:lastModifiedBy>
  <cp:revision>1</cp:revision>
  <dcterms:created xsi:type="dcterms:W3CDTF">2026-08-16T09:47:14.403Z</dcterms:created>
  <dcterms:modified xsi:type="dcterms:W3CDTF">2026-08-16T09:47:14.415Z</dcterms:modified>
</cp:coreProperties>
</file>

<file path=docProps/custom.xml><?xml version="1.0" encoding="utf-8"?>
<Properties xmlns="http://schemas.openxmlformats.org/officeDocument/2006/custom-properties" xmlns:vt="http://schemas.openxmlformats.org/officeDocument/2006/docPropsVTypes"/>
</file>