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left"/>
      </w:pPr>
      <w:r>
        <w:rPr>
          <w:rFonts w:ascii="Liberation Sans" w:hAnsi="Liberation Sans"/>
          <w:b/>
          <w:i w:val="0"/>
          <w:color w:val="315EFB"/>
          <w:sz w:val="26"/>
        </w:rPr>
        <w:t>KNOLO AGENTS</w:t>
      </w:r>
    </w:p>
    <w:p>
      <w:pPr>
        <w:spacing w:before="320" w:after="160"/>
      </w:pPr>
      <w:r>
        <w:rPr>
          <w:rFonts w:ascii="Liberation Sans" w:hAnsi="Liberation Sans"/>
          <w:b/>
          <w:i w:val="0"/>
          <w:color w:val="17233C"/>
          <w:sz w:val="60"/>
        </w:rPr>
        <w:t>Universal Agent Harness</w:t>
      </w:r>
    </w:p>
    <w:p>
      <w:pPr>
        <w:spacing w:after="360"/>
      </w:pPr>
      <w:r>
        <w:rPr>
          <w:rFonts w:ascii="Liberation Sans" w:hAnsi="Liberation Sans"/>
          <w:b/>
          <w:i w:val="0"/>
          <w:color w:val="1D2433"/>
          <w:sz w:val="40"/>
        </w:rPr>
        <w:t>Implementation &amp; Conversion Plan</w:t>
      </w:r>
    </w:p>
    <w:tbl>
      <w:tblPr>
        <w:tblW w:type="auto" w:w="0"/>
        <w:jc w:val="center"/>
        <w:tblLayout w:type="fixed"/>
        <w:tblLook w:firstColumn="1" w:firstRow="1" w:lastColumn="0" w:lastRow="0" w:noHBand="0" w:noVBand="1" w:val="04A0"/>
      </w:tblPr>
      <w:tblGrid>
        <w:gridCol w:w="9994"/>
      </w:tblGrid>
      <w:tr>
        <w:trPr>
          <w:cantSplit/>
        </w:trPr>
        <w:tc>
          <w:tcPr>
            <w:tcW w:type="dxa" w:w="9576"/>
            <w:shd w:fill="EDF3FF"/>
            <w:tcMar>
              <w:top w:w="150" w:type="dxa"/>
              <w:start w:w="180" w:type="dxa"/>
              <w:bottom w:w="150" w:type="dxa"/>
              <w:end w:w="180" w:type="dxa"/>
            </w:tcMar>
            <w:tcBorders>
              <w:top w:val="nil"/>
              <w:left w:val="single" w:sz="18" w:color="315EFB"/>
              <w:bottom w:val="nil"/>
              <w:right w:val="nil"/>
            </w:tcBorders>
          </w:tcPr>
          <w:p>
            <w:pPr>
              <w:spacing w:before="0" w:after="60" w:line="259" w:lineRule="auto"/>
            </w:pPr>
            <w:r>
              <w:rPr>
                <w:rFonts w:ascii="Liberation Sans" w:hAnsi="Liberation Sans"/>
                <w:b/>
                <w:i w:val="0"/>
                <w:color w:val="315EFB"/>
                <w:sz w:val="23"/>
              </w:rPr>
              <w:t>Product objective</w:t>
            </w:r>
          </w:p>
          <w:p>
            <w:pPr>
              <w:spacing w:before="0" w:after="0" w:line="259" w:lineRule="auto"/>
            </w:pPr>
            <w:r>
              <w:rPr>
                <w:rFonts w:ascii="Liberation Sans" w:hAnsi="Liberation Sans"/>
                <w:b w:val="0"/>
                <w:i w:val="0"/>
                <w:color w:val="1D2433"/>
                <w:sz w:val="21"/>
              </w:rPr>
              <w:t>Convert Knolo Agents from a Knolo-native deterministic agent runtime into an additive universal intelligence and trust harness that can wrap, augment, govern, evaluate, and teach any compatible agent - including Claude-based agents, Grok-based agents, OpenClaw, custom TypeScript/Python agents, CLI agents, MCP agents, and future frameworks - while preserving every working capability already in the repository.</w:t>
            </w:r>
          </w:p>
        </w:tc>
      </w:tr>
    </w:tbl>
    <w:p>
      <w:pPr>
        <w:spacing w:after="20"/>
      </w:pP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192"/>
            <w:shd w:fill="F3F6FA"/>
            <w:tcMar>
              <w:top w:w="135" w:type="dxa"/>
              <w:start w:w="110" w:type="dxa"/>
              <w:bottom w:w="135" w:type="dxa"/>
              <w:end w:w="110" w:type="dxa"/>
            </w:tcMar>
            <w:tcBorders>
              <w:top w:val="single" w:sz="4" w:color="D8E0EA"/>
              <w:left w:val="single" w:sz="4" w:color="D8E0EA"/>
              <w:bottom w:val="single" w:sz="4" w:color="D8E0EA"/>
              <w:right w:val="single" w:sz="4" w:color="D8E0EA"/>
            </w:tcBorders>
            <w:vAlign w:val="center"/>
          </w:tcPr>
          <w:p>
            <w:pPr>
              <w:spacing w:before="0" w:after="40" w:line="240" w:lineRule="auto"/>
              <w:jc w:val="center"/>
            </w:pPr>
            <w:r>
              <w:rPr>
                <w:rFonts w:ascii="Liberation Sans" w:hAnsi="Liberation Sans"/>
                <w:b/>
                <w:i w:val="0"/>
                <w:color w:val="315EFB"/>
                <w:sz w:val="34"/>
              </w:rPr>
              <w:t>0</w:t>
            </w:r>
          </w:p>
          <w:p>
            <w:pPr>
              <w:spacing w:before="0" w:after="0" w:line="240" w:lineRule="auto"/>
              <w:jc w:val="center"/>
            </w:pPr>
            <w:r>
              <w:rPr>
                <w:rFonts w:ascii="Liberation Sans" w:hAnsi="Liberation Sans"/>
                <w:b w:val="0"/>
                <w:i w:val="0"/>
                <w:color w:val="5E6A7D"/>
                <w:sz w:val="17"/>
              </w:rPr>
              <w:t>Existing capabilities intentionally deleted</w:t>
            </w:r>
          </w:p>
        </w:tc>
        <w:tc>
          <w:tcPr>
            <w:tcW w:type="dxa" w:w="3192"/>
            <w:shd w:fill="F3F6FA"/>
            <w:tcMar>
              <w:top w:w="135" w:type="dxa"/>
              <w:start w:w="110" w:type="dxa"/>
              <w:bottom w:w="135" w:type="dxa"/>
              <w:end w:w="110" w:type="dxa"/>
            </w:tcMar>
            <w:tcBorders>
              <w:top w:val="single" w:sz="4" w:color="D8E0EA"/>
              <w:left w:val="single" w:sz="4" w:color="D8E0EA"/>
              <w:bottom w:val="single" w:sz="4" w:color="D8E0EA"/>
              <w:right w:val="single" w:sz="4" w:color="D8E0EA"/>
            </w:tcBorders>
            <w:vAlign w:val="center"/>
          </w:tcPr>
          <w:p>
            <w:pPr>
              <w:spacing w:before="0" w:after="40" w:line="240" w:lineRule="auto"/>
              <w:jc w:val="center"/>
            </w:pPr>
            <w:r>
              <w:rPr>
                <w:rFonts w:ascii="Liberation Sans" w:hAnsi="Liberation Sans"/>
                <w:b/>
                <w:i w:val="0"/>
                <w:color w:val="315EFB"/>
                <w:sz w:val="34"/>
              </w:rPr>
              <w:t>4</w:t>
            </w:r>
          </w:p>
          <w:p>
            <w:pPr>
              <w:spacing w:before="0" w:after="0" w:line="240" w:lineRule="auto"/>
              <w:jc w:val="center"/>
            </w:pPr>
            <w:r>
              <w:rPr>
                <w:rFonts w:ascii="Liberation Sans" w:hAnsi="Liberation Sans"/>
                <w:b w:val="0"/>
                <w:i w:val="0"/>
                <w:color w:val="5E6A7D"/>
                <w:sz w:val="17"/>
              </w:rPr>
              <w:t>Integration assurance levels</w:t>
            </w:r>
          </w:p>
        </w:tc>
        <w:tc>
          <w:tcPr>
            <w:tcW w:type="dxa" w:w="3192"/>
            <w:shd w:fill="F3F6FA"/>
            <w:tcMar>
              <w:top w:w="135" w:type="dxa"/>
              <w:start w:w="110" w:type="dxa"/>
              <w:bottom w:w="135" w:type="dxa"/>
              <w:end w:w="110" w:type="dxa"/>
            </w:tcMar>
            <w:tcBorders>
              <w:top w:val="single" w:sz="4" w:color="D8E0EA"/>
              <w:left w:val="single" w:sz="4" w:color="D8E0EA"/>
              <w:bottom w:val="single" w:sz="4" w:color="D8E0EA"/>
              <w:right w:val="single" w:sz="4" w:color="D8E0EA"/>
            </w:tcBorders>
            <w:vAlign w:val="center"/>
          </w:tcPr>
          <w:p>
            <w:pPr>
              <w:spacing w:before="0" w:after="40" w:line="240" w:lineRule="auto"/>
              <w:jc w:val="center"/>
            </w:pPr>
            <w:r>
              <w:rPr>
                <w:rFonts w:ascii="Liberation Sans" w:hAnsi="Liberation Sans"/>
                <w:b/>
                <w:i w:val="0"/>
                <w:color w:val="315EFB"/>
                <w:sz w:val="34"/>
              </w:rPr>
              <w:t>1</w:t>
            </w:r>
          </w:p>
          <w:p>
            <w:pPr>
              <w:spacing w:before="0" w:after="0" w:line="240" w:lineRule="auto"/>
              <w:jc w:val="center"/>
            </w:pPr>
            <w:r>
              <w:rPr>
                <w:rFonts w:ascii="Liberation Sans" w:hAnsi="Liberation Sans"/>
                <w:b w:val="0"/>
                <w:i w:val="0"/>
                <w:color w:val="5E6A7D"/>
                <w:sz w:val="17"/>
              </w:rPr>
              <w:t>Shared .knolo capability supply chain</w:t>
            </w:r>
          </w:p>
        </w:tc>
      </w:tr>
    </w:tbl>
    <w:p>
      <w:pPr>
        <w:spacing w:after="60"/>
      </w:pPr>
    </w:p>
    <w:p>
      <w:pPr>
        <w:spacing w:before="0" w:after="80" w:line="269" w:lineRule="auto"/>
      </w:pPr>
      <w:r>
        <w:rPr>
          <w:rFonts w:ascii="Liberation Sans" w:hAnsi="Liberation Sans"/>
          <w:b/>
          <w:i w:val="0"/>
          <w:color w:val="5E6A7D"/>
          <w:sz w:val="18"/>
        </w:rPr>
        <w:t>Prepared for</w:t>
      </w:r>
    </w:p>
    <w:p>
      <w:pPr>
        <w:spacing w:before="0" w:after="40" w:line="269" w:lineRule="auto"/>
      </w:pPr>
      <w:r>
        <w:rPr>
          <w:rFonts w:ascii="Liberation Sans" w:hAnsi="Liberation Sans"/>
          <w:b/>
          <w:i w:val="0"/>
          <w:color w:val="17233C"/>
          <w:sz w:val="24"/>
        </w:rPr>
        <w:t>Knolo Engineering Team</w:t>
      </w:r>
    </w:p>
    <w:p>
      <w:pPr>
        <w:spacing w:before="0" w:after="40" w:line="269" w:lineRule="auto"/>
      </w:pPr>
      <w:r>
        <w:rPr>
          <w:rFonts w:ascii="Liberation Sans" w:hAnsi="Liberation Sans"/>
          <w:b w:val="0"/>
          <w:i w:val="0"/>
          <w:color w:val="5E6A7D"/>
          <w:sz w:val="19"/>
        </w:rPr>
        <w:t>Date: September 5, 2026</w:t>
      </w:r>
    </w:p>
    <w:p>
      <w:pPr>
        <w:spacing w:before="0" w:after="40" w:line="269" w:lineRule="auto"/>
      </w:pPr>
      <w:r>
        <w:rPr>
          <w:rFonts w:ascii="Liberation Sans" w:hAnsi="Liberation Sans"/>
          <w:b w:val="0"/>
          <w:i w:val="0"/>
          <w:color w:val="5E6A7D"/>
          <w:sz w:val="18"/>
        </w:rPr>
        <w:t>Primary repositories: HiveForensics-AI/Knolo-Agents, HiveForensics-AI/knolo-core, HiveForensics-AI/knolo-hub</w:t>
      </w:r>
    </w:p>
    <w:p>
      <w:r>
        <w:br w:type="page"/>
      </w:r>
    </w:p>
    <w:p>
      <w:pPr>
        <w:pStyle w:val="Heading1"/>
        <w:keepNext/>
        <w:spacing w:before="280" w:after="120"/>
      </w:pPr>
      <w:r>
        <w:rPr>
          <w:rFonts w:ascii="Liberation Sans" w:hAnsi="Liberation Sans"/>
          <w:b/>
          <w:color w:val="17233C"/>
          <w:sz w:val="36"/>
        </w:rPr>
        <w:t>Contents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007"/>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9"/>
              </w:rPr>
              <w:t>Section</w:t>
            </w:r>
          </w:p>
        </w:tc>
        <w:tc>
          <w:tcPr>
            <w:tcW w:type="dxa" w:w="8568"/>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9"/>
              </w:rPr>
              <w:t>Topic</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1</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Executive decision</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2</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Product outcome and non-negotiables</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3</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Current-state findings</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4</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What “smarter” means and how it will be proven</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5</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Target product architecture</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6</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Universal integration model</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7</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Core public contracts</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8</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Runtime lifecycle</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9</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Hub, CLI, and live Capability Packs</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10</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Skills and capability resolution</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11</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Memory, experience, and learning</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12</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Evaluation and recovery</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13</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Security and authority model</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14</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Claude, Grok, and OpenClaw adapters</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15</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Repository conversion map</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16</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Release and PR implementation sequence</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17</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Testing and conformance strategy</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18</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Definition of done</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19</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First engineering backlog</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20</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Risks and mitigations</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A</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Normative interface examples</w:t>
            </w:r>
          </w:p>
        </w:tc>
      </w:tr>
      <w:tr>
        <w:trPr>
          <w:cantSplit/>
        </w:trPr>
        <w:tc>
          <w:tcPr>
            <w:tcW w:type="dxa" w:w="1007"/>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B</w:t>
            </w:r>
          </w:p>
        </w:tc>
        <w:tc>
          <w:tcPr>
            <w:tcW w:type="dxa" w:w="856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9"/>
              </w:rPr>
              <w:t>Source and compatibility references</w:t>
            </w:r>
          </w:p>
        </w:tc>
      </w:tr>
    </w:tbl>
    <w:p>
      <w:pPr>
        <w:spacing w:after="40"/>
      </w:pPr>
    </w:p>
    <w:tbl>
      <w:tblPr>
        <w:tblW w:type="auto" w:w="0"/>
        <w:jc w:val="center"/>
        <w:tblLayout w:type="fixed"/>
        <w:tblLook w:firstColumn="1" w:firstRow="1" w:lastColumn="0" w:lastRow="0" w:noHBand="0" w:noVBand="1" w:val="04A0"/>
      </w:tblPr>
      <w:tblGrid>
        <w:gridCol w:w="9994"/>
      </w:tblGrid>
      <w:tr>
        <w:trPr>
          <w:cantSplit/>
        </w:trPr>
        <w:tc>
          <w:tcPr>
            <w:tcW w:type="dxa" w:w="9576"/>
            <w:shd w:fill="EAF8F7"/>
            <w:tcMar>
              <w:top w:w="150" w:type="dxa"/>
              <w:start w:w="180" w:type="dxa"/>
              <w:bottom w:w="150" w:type="dxa"/>
              <w:end w:w="180" w:type="dxa"/>
            </w:tcMar>
            <w:tcBorders>
              <w:top w:val="nil"/>
              <w:left w:val="single" w:sz="18" w:color="149C95"/>
              <w:bottom w:val="nil"/>
              <w:right w:val="nil"/>
            </w:tcBorders>
          </w:tcPr>
          <w:p>
            <w:pPr>
              <w:spacing w:before="0" w:after="60" w:line="259" w:lineRule="auto"/>
            </w:pPr>
            <w:r>
              <w:rPr>
                <w:rFonts w:ascii="Liberation Sans" w:hAnsi="Liberation Sans"/>
                <w:b/>
                <w:i w:val="0"/>
                <w:color w:val="149C95"/>
                <w:sz w:val="23"/>
              </w:rPr>
              <w:t>Implementation principle</w:t>
            </w:r>
          </w:p>
          <w:p>
            <w:pPr>
              <w:spacing w:before="0" w:after="0" w:line="259" w:lineRule="auto"/>
            </w:pPr>
            <w:r>
              <w:rPr>
                <w:rFonts w:ascii="Liberation Sans" w:hAnsi="Liberation Sans"/>
                <w:b w:val="0"/>
                <w:i w:val="0"/>
                <w:color w:val="1D2433"/>
                <w:sz w:val="21"/>
              </w:rPr>
              <w:t>Do not rewrite Knolo Agents as another provider orchestration framework. Preserve the deterministic graph runtime as the highest-assurance execution mode, then add a harness around it so non-Knolo agents can receive Knolo knowledge, skills, memory, policy, recovery, evaluation, and Hub-distributed capabilities.</w:t>
            </w:r>
          </w:p>
        </w:tc>
      </w:tr>
    </w:tbl>
    <w:p>
      <w:pPr>
        <w:spacing w:after="20"/>
      </w:pPr>
    </w:p>
    <w:p>
      <w:pPr>
        <w:pStyle w:val="Heading1"/>
        <w:keepNext/>
        <w:spacing w:before="280" w:after="120"/>
      </w:pPr>
      <w:r>
        <w:rPr>
          <w:rFonts w:ascii="Liberation Sans" w:hAnsi="Liberation Sans"/>
          <w:b/>
          <w:color w:val="17233C"/>
          <w:sz w:val="36"/>
        </w:rPr>
        <w:t>1. Executive decision</w:t>
      </w:r>
    </w:p>
    <w:p>
      <w:pPr>
        <w:spacing w:before="0" w:after="140" w:line="269" w:lineRule="auto"/>
      </w:pPr>
      <w:r>
        <w:rPr>
          <w:rFonts w:ascii="Liberation Sans" w:hAnsi="Liberation Sans"/>
          <w:b w:val="0"/>
          <w:i w:val="0"/>
          <w:color w:val="1D2433"/>
        </w:rPr>
        <w:t>Knolo Agents should become the universal intelligence and trust harness for AI agents. A developer must not be required to rebuild an existing agent with Knolo in order to gain Knolo benefits. The current Rust scheduler, TypeScript graph engine, packs, policy, HITL, replay, checkpoints, and narrowed handoffs remain intact and become the Level 3 native implementation.</w:t>
      </w:r>
    </w:p>
    <w:p>
      <w:pPr>
        <w:spacing w:before="0" w:after="140" w:line="269" w:lineRule="auto"/>
      </w:pPr>
      <w:r>
        <w:rPr>
          <w:rFonts w:ascii="Liberation Sans" w:hAnsi="Liberation Sans"/>
          <w:b w:val="0"/>
          <w:i w:val="0"/>
          <w:color w:val="1D2433"/>
        </w:rPr>
        <w:t>The conversion adds a compatibility shell around arbitrary agents. That shell compiles task context, retrieves verified knowledge, resolves reusable skills, gates tools, records experience, evaluates results, performs recovery, and can acquire immutable capability packs from hub.knolo.dev when authorized.</w:t>
      </w:r>
    </w:p>
    <w:tbl>
      <w:tblPr>
        <w:tblW w:type="auto" w:w="0"/>
        <w:jc w:val="center"/>
        <w:tblLayout w:type="fixed"/>
        <w:tblLook w:firstColumn="1" w:firstRow="1" w:lastColumn="0" w:lastRow="0" w:noHBand="0" w:noVBand="1" w:val="04A0"/>
      </w:tblPr>
      <w:tblGrid>
        <w:gridCol w:w="9994"/>
      </w:tblGrid>
      <w:tr>
        <w:trPr>
          <w:cantSplit/>
        </w:trPr>
        <w:tc>
          <w:tcPr>
            <w:tcW w:type="dxa" w:w="9576"/>
            <w:shd w:fill="EDF3FF"/>
            <w:tcMar>
              <w:top w:w="150" w:type="dxa"/>
              <w:start w:w="180" w:type="dxa"/>
              <w:bottom w:w="150" w:type="dxa"/>
              <w:end w:w="180" w:type="dxa"/>
            </w:tcMar>
            <w:tcBorders>
              <w:top w:val="nil"/>
              <w:left w:val="single" w:sz="18" w:color="315EFB"/>
              <w:bottom w:val="nil"/>
              <w:right w:val="nil"/>
            </w:tcBorders>
          </w:tcPr>
          <w:p>
            <w:pPr>
              <w:spacing w:before="0" w:after="60" w:line="259" w:lineRule="auto"/>
            </w:pPr>
            <w:r>
              <w:rPr>
                <w:rFonts w:ascii="Liberation Sans" w:hAnsi="Liberation Sans"/>
                <w:b/>
                <w:i w:val="0"/>
                <w:color w:val="315EFB"/>
                <w:sz w:val="23"/>
              </w:rPr>
              <w:t>North-star API</w:t>
            </w:r>
          </w:p>
          <w:p>
            <w:pPr>
              <w:spacing w:before="0" w:after="0" w:line="259" w:lineRule="auto"/>
            </w:pPr>
            <w:r>
              <w:rPr>
                <w:rFonts w:ascii="Liberation Sans" w:hAnsi="Liberation Sans"/>
                <w:b w:val="0"/>
                <w:i w:val="0"/>
                <w:color w:val="1D2433"/>
                <w:sz w:val="21"/>
              </w:rPr>
              <w:t>Any agent should be able to sit behind a small AgentAdapter. Everything else - knowledge, memory, skills, Hub resolution, policy, recovery, and evaluation - belongs to Knolo.</w:t>
            </w:r>
          </w:p>
        </w:tc>
      </w:tr>
    </w:tbl>
    <w:p>
      <w:pPr>
        <w:spacing w:after="20"/>
      </w:pPr>
    </w:p>
    <w:tbl>
      <w:tblPr>
        <w:tblW w:type="auto" w:w="0"/>
        <w:jc w:val="center"/>
        <w:tblLayout w:type="fixed"/>
        <w:tblLook w:firstColumn="1" w:firstRow="1" w:lastColumn="0" w:lastRow="0" w:noHBand="0" w:noVBand="1" w:val="04A0"/>
      </w:tblPr>
      <w:tblGrid>
        <w:gridCol w:w="9994"/>
      </w:tblGrid>
      <w:tr>
        <w:trPr>
          <w:cantSplit/>
        </w:trPr>
        <w:tc>
          <w:tcPr>
            <w:tcW w:type="dxa" w:w="9576"/>
            <w:shd w:fill="F6F7F9"/>
            <w:tcMar>
              <w:top w:w="120" w:type="dxa"/>
              <w:start w:w="150" w:type="dxa"/>
              <w:bottom w:w="120" w:type="dxa"/>
              <w:end w:w="150" w:type="dxa"/>
            </w:tcMar>
            <w:tcBorders>
              <w:top w:val="single" w:sz="5" w:color="D8E0EA"/>
              <w:left w:val="single" w:sz="5" w:color="D8E0EA"/>
              <w:bottom w:val="single" w:sz="5" w:color="D8E0EA"/>
              <w:right w:val="single" w:sz="5" w:color="D8E0EA"/>
            </w:tcBorders>
          </w:tcPr>
          <w:p>
            <w:pPr>
              <w:spacing w:before="0" w:after="0" w:line="240" w:lineRule="auto"/>
            </w:pPr>
            <w:r>
              <w:rPr>
                <w:rFonts w:ascii="Liberation Mono" w:hAnsi="Liberation Mono"/>
                <w:b w:val="0"/>
                <w:i w:val="0"/>
                <w:color w:val="2A3240"/>
                <w:sz w:val="17"/>
              </w:rPr>
              <w:t>const harness = await createHarness({</w:t>
            </w:r>
            <w:r>
              <w:br/>
            </w:r>
            <w:r>
              <w:rPr>
                <w:rFonts w:ascii="Liberation Mono" w:hAnsi="Liberation Mono"/>
                <w:b w:val="0"/>
                <w:i w:val="0"/>
                <w:color w:val="2A3240"/>
                <w:sz w:val="17"/>
              </w:rPr>
              <w:t xml:space="preserve">  agent: callableAgent(existingAgent),</w:t>
            </w:r>
            <w:r>
              <w:br/>
            </w:r>
            <w:r>
              <w:rPr>
                <w:rFonts w:ascii="Liberation Mono" w:hAnsi="Liberation Mono"/>
                <w:b w:val="0"/>
                <w:i w:val="0"/>
                <w:color w:val="2A3240"/>
                <w:sz w:val="17"/>
              </w:rPr>
              <w:t xml:space="preserve">  knowledge: ['./company.knolo'],</w:t>
            </w:r>
            <w:r>
              <w:br/>
            </w:r>
            <w:r>
              <w:rPr>
                <w:rFonts w:ascii="Liberation Mono" w:hAnsi="Liberation Mono"/>
                <w:b w:val="0"/>
                <w:i w:val="0"/>
                <w:color w:val="2A3240"/>
                <w:sz w:val="17"/>
              </w:rPr>
              <w:t xml:space="preserve">  skills: { resolution: 'auto', registry: true },</w:t>
            </w:r>
            <w:r>
              <w:br/>
            </w:r>
            <w:r>
              <w:rPr>
                <w:rFonts w:ascii="Liberation Mono" w:hAnsi="Liberation Mono"/>
                <w:b w:val="0"/>
                <w:i w:val="0"/>
                <w:color w:val="2A3240"/>
                <w:sz w:val="17"/>
              </w:rPr>
              <w:t xml:space="preserve">  memory: true,</w:t>
            </w:r>
            <w:r>
              <w:br/>
            </w:r>
            <w:r>
              <w:rPr>
                <w:rFonts w:ascii="Liberation Mono" w:hAnsi="Liberation Mono"/>
                <w:b w:val="0"/>
                <w:i w:val="0"/>
                <w:color w:val="2A3240"/>
                <w:sz w:val="17"/>
              </w:rPr>
              <w:t xml:space="preserve">  evaluation: true,</w:t>
            </w:r>
            <w:r>
              <w:br/>
            </w:r>
            <w:r>
              <w:rPr>
                <w:rFonts w:ascii="Liberation Mono" w:hAnsi="Liberation Mono"/>
                <w:b w:val="0"/>
                <w:i w:val="0"/>
                <w:color w:val="2A3240"/>
                <w:sz w:val="17"/>
              </w:rPr>
              <w:t>});</w:t>
            </w:r>
            <w:r>
              <w:br/>
            </w:r>
            <w:r>
              <w:rPr>
                <w:rFonts w:ascii="Liberation Mono" w:hAnsi="Liberation Mono"/>
                <w:b w:val="0"/>
                <w:i w:val="0"/>
                <w:color w:val="2A3240"/>
                <w:sz w:val="17"/>
              </w:rPr>
            </w:r>
            <w:r>
              <w:br/>
            </w:r>
            <w:r>
              <w:rPr>
                <w:rFonts w:ascii="Liberation Mono" w:hAnsi="Liberation Mono"/>
                <w:b w:val="0"/>
                <w:i w:val="0"/>
                <w:color w:val="2A3240"/>
                <w:sz w:val="17"/>
              </w:rPr>
              <w:t>const result = await harness.run({</w:t>
            </w:r>
            <w:r>
              <w:br/>
            </w:r>
            <w:r>
              <w:rPr>
                <w:rFonts w:ascii="Liberation Mono" w:hAnsi="Liberation Mono"/>
                <w:b w:val="0"/>
                <w:i w:val="0"/>
                <w:color w:val="2A3240"/>
                <w:sz w:val="17"/>
              </w:rPr>
              <w:t xml:space="preserve">  objective: 'Investigate these transactions for potential fraud.',</w:t>
            </w:r>
            <w:r>
              <w:br/>
            </w:r>
            <w:r>
              <w:rPr>
                <w:rFonts w:ascii="Liberation Mono" w:hAnsi="Liberation Mono"/>
                <w:b w:val="0"/>
                <w:i w:val="0"/>
                <w:color w:val="2A3240"/>
                <w:sz w:val="17"/>
              </w:rPr>
              <w:t xml:space="preserve">  successCriteria: [</w:t>
            </w:r>
            <w:r>
              <w:br/>
            </w:r>
            <w:r>
              <w:rPr>
                <w:rFonts w:ascii="Liberation Mono" w:hAnsi="Liberation Mono"/>
                <w:b w:val="0"/>
                <w:i w:val="0"/>
                <w:color w:val="2A3240"/>
                <w:sz w:val="17"/>
              </w:rPr>
              <w:t xml:space="preserve">    'identify suspicious transactions',</w:t>
            </w:r>
            <w:r>
              <w:br/>
            </w:r>
            <w:r>
              <w:rPr>
                <w:rFonts w:ascii="Liberation Mono" w:hAnsi="Liberation Mono"/>
                <w:b w:val="0"/>
                <w:i w:val="0"/>
                <w:color w:val="2A3240"/>
                <w:sz w:val="17"/>
              </w:rPr>
              <w:t xml:space="preserve">    'cite supporting evidence',</w:t>
            </w:r>
            <w:r>
              <w:br/>
            </w:r>
            <w:r>
              <w:rPr>
                <w:rFonts w:ascii="Liberation Mono" w:hAnsi="Liberation Mono"/>
                <w:b w:val="0"/>
                <w:i w:val="0"/>
                <w:color w:val="2A3240"/>
                <w:sz w:val="17"/>
              </w:rPr>
              <w:t xml:space="preserve">    'do not perform irreversible actions'</w:t>
            </w:r>
            <w:r>
              <w:br/>
            </w:r>
            <w:r>
              <w:rPr>
                <w:rFonts w:ascii="Liberation Mono" w:hAnsi="Liberation Mono"/>
                <w:b w:val="0"/>
                <w:i w:val="0"/>
                <w:color w:val="2A3240"/>
                <w:sz w:val="17"/>
              </w:rPr>
              <w:t xml:space="preserve">  ]</w:t>
            </w:r>
            <w:r>
              <w:br/>
            </w:r>
            <w:r>
              <w:rPr>
                <w:rFonts w:ascii="Liberation Mono" w:hAnsi="Liberation Mono"/>
                <w:b w:val="0"/>
                <w:i w:val="0"/>
                <w:color w:val="2A3240"/>
                <w:sz w:val="17"/>
              </w:rPr>
              <w:t>});</w:t>
            </w:r>
          </w:p>
        </w:tc>
      </w:tr>
    </w:tbl>
    <w:p>
      <w:pPr>
        <w:spacing w:after="20"/>
      </w:pPr>
    </w:p>
    <w:p>
      <w:pPr>
        <w:pStyle w:val="Heading1"/>
        <w:keepNext/>
        <w:spacing w:before="280" w:after="120"/>
      </w:pPr>
      <w:r>
        <w:rPr>
          <w:rFonts w:ascii="Liberation Sans" w:hAnsi="Liberation Sans"/>
          <w:b/>
          <w:color w:val="17233C"/>
          <w:sz w:val="36"/>
        </w:rPr>
        <w:t>2. Product outcome and non-negotiables</w:t>
      </w:r>
    </w:p>
    <w:p>
      <w:pPr>
        <w:pStyle w:val="Heading2"/>
        <w:keepNext/>
        <w:spacing w:before="180" w:after="80"/>
      </w:pPr>
      <w:r>
        <w:rPr>
          <w:rFonts w:ascii="Liberation Sans" w:hAnsi="Liberation Sans"/>
          <w:b/>
          <w:color w:val="17233C"/>
          <w:sz w:val="27"/>
        </w:rPr>
        <w:t>2.1 Target product definition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7"/>
              </w:rPr>
              <w:t>Product</w:t>
            </w:r>
          </w:p>
        </w:tc>
        <w:tc>
          <w:tcPr>
            <w:tcW w:type="dxa" w:w="7632"/>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7"/>
              </w:rPr>
              <w:t>Responsibility</w:t>
            </w:r>
          </w:p>
        </w:tc>
      </w:tr>
      <w:tr>
        <w:trPr>
          <w:cantSplit/>
        </w:trPr>
        <w:tc>
          <w:tcPr>
            <w:tcW w:type="dxa" w:w="194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Knolo Core V5</w:t>
            </w:r>
          </w:p>
        </w:tc>
        <w:tc>
          <w:tcPr>
            <w:tcW w:type="dxa" w:w="763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Verifiable Knowledge Images, deterministic retrieval, evidence, roots, authority, Cortex memory, durable runs, diagnostics and replay foundations.</w:t>
            </w:r>
          </w:p>
        </w:tc>
      </w:tr>
      <w:tr>
        <w:trPr>
          <w:cantSplit/>
        </w:trPr>
        <w:tc>
          <w:tcPr>
            <w:tcW w:type="dxa" w:w="194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Knolo Agents</w:t>
            </w:r>
          </w:p>
        </w:tc>
        <w:tc>
          <w:tcPr>
            <w:tcW w:type="dxa" w:w="763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Universal harness: task contracts, context compilation, skill resolution, tool governance, recovery, evaluation, memory promotion, multi-agent coordination, and native high-assurance execution.</w:t>
            </w:r>
          </w:p>
        </w:tc>
      </w:tr>
      <w:tr>
        <w:trPr>
          <w:cantSplit/>
        </w:trPr>
        <w:tc>
          <w:tcPr>
            <w:tcW w:type="dxa" w:w="194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Knolo Hub</w:t>
            </w:r>
          </w:p>
        </w:tc>
        <w:tc>
          <w:tcPr>
            <w:tcW w:type="dxa" w:w="763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Public distribution and discovery network for immutable Knowledge/Capability Packs. Registry metadata in Postgres; content-addressed bytes in Blob; local verification by Core.</w:t>
            </w:r>
          </w:p>
        </w:tc>
      </w:tr>
      <w:tr>
        <w:trPr>
          <w:cantSplit/>
        </w:trPr>
        <w:tc>
          <w:tcPr>
            <w:tcW w:type="dxa" w:w="194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Knolo CLI</w:t>
            </w:r>
          </w:p>
        </w:tc>
        <w:tc>
          <w:tcPr>
            <w:tcW w:type="dxa" w:w="763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Package-manager experience for search, add, publish, yank, verification, cache, and lockfile management.</w:t>
            </w:r>
          </w:p>
        </w:tc>
      </w:tr>
      <w:tr>
        <w:trPr>
          <w:cantSplit/>
        </w:trPr>
        <w:tc>
          <w:tcPr>
            <w:tcW w:type="dxa" w:w="194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.knolo artifact</w:t>
            </w:r>
          </w:p>
        </w:tc>
        <w:tc>
          <w:tcPr>
            <w:tcW w:type="dxa" w:w="763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Portable, immutable, locally verifiable unit that can carry knowledge plus optional agent-oriented capability metadata without embedding credentials or silently executing code.</w:t>
            </w:r>
          </w:p>
        </w:tc>
      </w:tr>
    </w:tbl>
    <w:p>
      <w:pPr>
        <w:spacing w:after="40"/>
      </w:pPr>
    </w:p>
    <w:p>
      <w:pPr>
        <w:pStyle w:val="Heading2"/>
        <w:keepNext/>
        <w:spacing w:before="180" w:after="80"/>
      </w:pPr>
      <w:r>
        <w:rPr>
          <w:rFonts w:ascii="Liberation Sans" w:hAnsi="Liberation Sans"/>
          <w:b/>
          <w:color w:val="17233C"/>
          <w:sz w:val="27"/>
        </w:rPr>
        <w:t>2.2 Non-negotiable architectural rules</w:t>
      </w:r>
    </w:p>
    <w:p>
      <w:pPr>
        <w:pStyle w:val="ListBullet"/>
        <w:spacing w:before="0" w:after="80" w:line="259" w:lineRule="auto"/>
        <w:ind w:left="317" w:hanging="202"/>
      </w:pPr>
      <w:r>
        <w:rPr>
          <w:rFonts w:ascii="Liberation Sans" w:hAnsi="Liberation Sans"/>
          <w:b w:val="0"/>
          <w:i w:val="0"/>
          <w:color w:val="1D2433"/>
        </w:rPr>
        <w:t>No existing working agent capability is deleted during the conversion. Deprecations must have compatibility shims and migration tests.</w:t>
      </w:r>
    </w:p>
    <w:p>
      <w:pPr>
        <w:pStyle w:val="ListBullet"/>
        <w:spacing w:before="0" w:after="80" w:line="259" w:lineRule="auto"/>
        <w:ind w:left="317" w:hanging="202"/>
      </w:pPr>
      <w:r>
        <w:rPr>
          <w:rFonts w:ascii="Liberation Sans" w:hAnsi="Liberation Sans"/>
          <w:b w:val="0"/>
          <w:i w:val="0"/>
          <w:color w:val="1D2433"/>
        </w:rPr>
        <w:t>Host applications continue to own credentials, networking, model inference, external side effects, and deployment.</w:t>
      </w:r>
    </w:p>
    <w:p>
      <w:pPr>
        <w:pStyle w:val="ListBullet"/>
        <w:spacing w:before="0" w:after="80" w:line="259" w:lineRule="auto"/>
        <w:ind w:left="317" w:hanging="202"/>
      </w:pPr>
      <w:r>
        <w:rPr>
          <w:rFonts w:ascii="Liberation Sans" w:hAnsi="Liberation Sans"/>
          <w:b w:val="0"/>
          <w:i w:val="0"/>
          <w:color w:val="1D2433"/>
        </w:rPr>
        <w:t>Knolo owns portable artifacts, deterministic planning/selection where specified, policy/authority, roots, evidence, receipts, bounded runtime state, and replay contracts.</w:t>
      </w:r>
    </w:p>
    <w:p>
      <w:pPr>
        <w:pStyle w:val="ListBullet"/>
        <w:spacing w:before="0" w:after="80" w:line="259" w:lineRule="auto"/>
        <w:ind w:left="317" w:hanging="202"/>
      </w:pPr>
      <w:r>
        <w:rPr>
          <w:rFonts w:ascii="Liberation Sans" w:hAnsi="Liberation Sans"/>
          <w:b w:val="0"/>
          <w:i w:val="0"/>
          <w:color w:val="1D2433"/>
        </w:rPr>
        <w:t>Hub remains a registry and supply chain, not hosted RAG, hosted inference, or a server-side agent runner.</w:t>
      </w:r>
    </w:p>
    <w:p>
      <w:pPr>
        <w:pStyle w:val="ListBullet"/>
        <w:spacing w:before="0" w:after="80" w:line="259" w:lineRule="auto"/>
        <w:ind w:left="317" w:hanging="202"/>
      </w:pPr>
      <w:r>
        <w:rPr>
          <w:rFonts w:ascii="Liberation Sans" w:hAnsi="Liberation Sans"/>
          <w:b w:val="0"/>
          <w:i w:val="0"/>
          <w:color w:val="1D2433"/>
        </w:rPr>
        <w:t>Packs are immutable by digest. “Live packs” means a live registry of immutable versions - never bytes that mutate during a run.</w:t>
      </w:r>
    </w:p>
    <w:p>
      <w:pPr>
        <w:pStyle w:val="ListBullet"/>
        <w:spacing w:before="0" w:after="80" w:line="259" w:lineRule="auto"/>
        <w:ind w:left="317" w:hanging="202"/>
      </w:pPr>
      <w:r>
        <w:rPr>
          <w:rFonts w:ascii="Liberation Sans" w:hAnsi="Liberation Sans"/>
          <w:b w:val="0"/>
          <w:i w:val="0"/>
          <w:color w:val="1D2433"/>
        </w:rPr>
        <w:t>No dependency may hot-swap during an active run. Every run freezes exact pack versions/digests before execution.</w:t>
      </w:r>
    </w:p>
    <w:p>
      <w:pPr>
        <w:pStyle w:val="ListBullet"/>
        <w:spacing w:before="0" w:after="80" w:line="259" w:lineRule="auto"/>
        <w:ind w:left="317" w:hanging="202"/>
      </w:pPr>
      <w:r>
        <w:rPr>
          <w:rFonts w:ascii="Liberation Sans" w:hAnsi="Liberation Sans"/>
          <w:b w:val="0"/>
          <w:i w:val="0"/>
          <w:color w:val="1D2433"/>
        </w:rPr>
        <w:t>Deterministic and non-deterministic operations remain visibly separated. LLM inference and external tools are recorded; they are not falsely labeled deterministic.</w:t>
      </w:r>
    </w:p>
    <w:p>
      <w:pPr>
        <w:pStyle w:val="ListBullet"/>
        <w:spacing w:before="0" w:after="80" w:line="259" w:lineRule="auto"/>
        <w:ind w:left="317" w:hanging="202"/>
      </w:pPr>
      <w:r>
        <w:rPr>
          <w:rFonts w:ascii="Liberation Sans" w:hAnsi="Liberation Sans"/>
          <w:b w:val="0"/>
          <w:i w:val="0"/>
          <w:color w:val="1D2433"/>
        </w:rPr>
        <w:t>Automatic skill acquisition is opt-in, policy-gated, and cannot grant the agent new authority by itself.</w:t>
      </w:r>
    </w:p>
    <w:p>
      <w:pPr>
        <w:pStyle w:val="ListBullet"/>
        <w:spacing w:before="0" w:after="80" w:line="259" w:lineRule="auto"/>
        <w:ind w:left="317" w:hanging="202"/>
      </w:pPr>
      <w:r>
        <w:rPr>
          <w:rFonts w:ascii="Liberation Sans" w:hAnsi="Liberation Sans"/>
          <w:b w:val="0"/>
          <w:i w:val="0"/>
          <w:color w:val="1D2433"/>
        </w:rPr>
        <w:t>Core is not vendored into Knolo Agents. Integration is through stable contracts/adapters.</w:t>
      </w:r>
    </w:p>
    <w:p>
      <w:pPr>
        <w:pStyle w:val="Heading1"/>
        <w:keepNext/>
        <w:spacing w:before="280" w:after="120"/>
      </w:pPr>
      <w:r>
        <w:rPr>
          <w:rFonts w:ascii="Liberation Sans" w:hAnsi="Liberation Sans"/>
          <w:b/>
          <w:color w:val="17233C"/>
          <w:sz w:val="36"/>
        </w:rPr>
        <w:t>3. Current-state findings</w:t>
      </w:r>
    </w:p>
    <w:p>
      <w:pPr>
        <w:spacing w:before="0" w:after="140" w:line="269" w:lineRule="auto"/>
      </w:pPr>
      <w:r>
        <w:rPr>
          <w:rFonts w:ascii="Liberation Sans" w:hAnsi="Liberation Sans"/>
          <w:b w:val="0"/>
          <w:i w:val="0"/>
          <w:color w:val="1D2433"/>
        </w:rPr>
        <w:t>The existing Knolo Agents foundation is worth preserving. The repository already defines explicit graph execution, state schemas, budgets, pack-constrained authority, host-injected effects, HITL suspension, durable checkpoints, replay contracts, and authority-narrowing multi-agent handoffs. Rust is the authoritative control plane; TypeScript provides an ergonomic portable subset.</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6"/>
              </w:rPr>
              <w:t>Current component</w:t>
            </w:r>
          </w:p>
        </w:tc>
        <w:tc>
          <w:tcPr>
            <w:tcW w:type="dxa" w:w="864"/>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6"/>
              </w:rPr>
              <w:t>Keep</w:t>
            </w:r>
          </w:p>
        </w:tc>
        <w:tc>
          <w:tcPr>
            <w:tcW w:type="dxa" w:w="6480"/>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6"/>
              </w:rPr>
              <w:t>Conversion action</w:t>
            </w:r>
          </w:p>
        </w:tc>
      </w:tr>
      <w:tr>
        <w:trPr>
          <w:cantSplit/>
        </w:trPr>
        <w:tc>
          <w:tcPr>
            <w:tcW w:type="dxa" w:w="223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Rust knolo-agent-core contracts</w:t>
            </w:r>
          </w:p>
        </w:tc>
        <w:tc>
          <w:tcPr>
            <w:tcW w:type="dxa" w:w="86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Yes</w:t>
            </w:r>
          </w:p>
        </w:tc>
        <w:tc>
          <w:tcPr>
            <w:tcW w:type="dxa" w:w="64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Extend shared contracts for harness tasks, capability metadata, dependency roots, evaluations, and adapter events.</w:t>
            </w:r>
          </w:p>
        </w:tc>
      </w:tr>
      <w:tr>
        <w:trPr>
          <w:cantSplit/>
        </w:trPr>
        <w:tc>
          <w:tcPr>
            <w:tcW w:type="dxa" w:w="223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Rust native scheduler</w:t>
            </w:r>
          </w:p>
        </w:tc>
        <w:tc>
          <w:tcPr>
            <w:tcW w:type="dxa" w:w="86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Yes</w:t>
            </w:r>
          </w:p>
        </w:tc>
        <w:tc>
          <w:tcPr>
            <w:tcW w:type="dxa" w:w="64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Make it the highest-assurance native executor behind the universal harness.</w:t>
            </w:r>
          </w:p>
        </w:tc>
      </w:tr>
      <w:tr>
        <w:trPr>
          <w:cantSplit/>
        </w:trPr>
        <w:tc>
          <w:tcPr>
            <w:tcW w:type="dxa" w:w="223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@knolo/agents graph builder + TS engine</w:t>
            </w:r>
          </w:p>
        </w:tc>
        <w:tc>
          <w:tcPr>
            <w:tcW w:type="dxa" w:w="86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Yes</w:t>
            </w:r>
          </w:p>
        </w:tc>
        <w:tc>
          <w:tcPr>
            <w:tcW w:type="dxa" w:w="64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Preserve public APIs; add HarnessSession and adapter layers around them.</w:t>
            </w:r>
          </w:p>
        </w:tc>
      </w:tr>
      <w:tr>
        <w:trPr>
          <w:cantSplit/>
        </w:trPr>
        <w:tc>
          <w:tcPr>
            <w:tcW w:type="dxa" w:w="223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Packs / least-authority policy</w:t>
            </w:r>
          </w:p>
        </w:tc>
        <w:tc>
          <w:tcPr>
            <w:tcW w:type="dxa" w:w="86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Yes</w:t>
            </w:r>
          </w:p>
        </w:tc>
        <w:tc>
          <w:tcPr>
            <w:tcW w:type="dxa" w:w="64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Converge naming with Core V5 authority and Capability Pack metadata without weakening deny-by-default behavior.</w:t>
            </w:r>
          </w:p>
        </w:tc>
      </w:tr>
      <w:tr>
        <w:trPr>
          <w:cantSplit/>
        </w:trPr>
        <w:tc>
          <w:tcPr>
            <w:tcW w:type="dxa" w:w="223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HITL / checkpoints / replay</w:t>
            </w:r>
          </w:p>
        </w:tc>
        <w:tc>
          <w:tcPr>
            <w:tcW w:type="dxa" w:w="86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Yes</w:t>
            </w:r>
          </w:p>
        </w:tc>
        <w:tc>
          <w:tcPr>
            <w:tcW w:type="dxa" w:w="64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Expose these capabilities through Level 2/3 adapters; black-box agents get bounded equivalents where possible.</w:t>
            </w:r>
          </w:p>
        </w:tc>
      </w:tr>
      <w:tr>
        <w:trPr>
          <w:cantSplit/>
        </w:trPr>
        <w:tc>
          <w:tcPr>
            <w:tcW w:type="dxa" w:w="223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Cortex / ClaimGraph narrow adapters</w:t>
            </w:r>
          </w:p>
        </w:tc>
        <w:tc>
          <w:tcPr>
            <w:tcW w:type="dxa" w:w="86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Yes</w:t>
            </w:r>
          </w:p>
        </w:tc>
        <w:tc>
          <w:tcPr>
            <w:tcW w:type="dxa" w:w="64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Add V5 adapters while retaining legacy interfaces.</w:t>
            </w:r>
          </w:p>
        </w:tc>
      </w:tr>
      <w:tr>
        <w:trPr>
          <w:cantSplit/>
        </w:trPr>
        <w:tc>
          <w:tcPr>
            <w:tcW w:type="dxa" w:w="223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ICP / WASM targets</w:t>
            </w:r>
          </w:p>
        </w:tc>
        <w:tc>
          <w:tcPr>
            <w:tcW w:type="dxa" w:w="86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Yes</w:t>
            </w:r>
          </w:p>
        </w:tc>
        <w:tc>
          <w:tcPr>
            <w:tcW w:type="dxa" w:w="64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Treat as execution targets; do not block universal harness rollout on complete parity.</w:t>
            </w:r>
          </w:p>
        </w:tc>
      </w:tr>
      <w:tr>
        <w:trPr>
          <w:cantSplit/>
        </w:trPr>
        <w:tc>
          <w:tcPr>
            <w:tcW w:type="dxa" w:w="223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FUTURE.md evaluation gap</w:t>
            </w:r>
          </w:p>
        </w:tc>
        <w:tc>
          <w:tcPr>
            <w:tcW w:type="dxa" w:w="86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Close</w:t>
            </w:r>
          </w:p>
        </w:tc>
        <w:tc>
          <w:tcPr>
            <w:tcW w:type="dxa" w:w="64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Build first-party deterministic evaluation harness and benchmark suite.</w:t>
            </w:r>
          </w:p>
        </w:tc>
      </w:tr>
      <w:tr>
        <w:trPr>
          <w:cantSplit/>
        </w:trPr>
        <w:tc>
          <w:tcPr>
            <w:tcW w:type="dxa" w:w="223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Core peer dependency</w:t>
            </w:r>
          </w:p>
        </w:tc>
        <w:tc>
          <w:tcPr>
            <w:tcW w:type="dxa" w:w="86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Fix immediately</w:t>
            </w:r>
          </w:p>
        </w:tc>
        <w:tc>
          <w:tcPr>
            <w:tcW w:type="dxa" w:w="64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@knolo/agents 0.1.3 currently declares @knolo/core ^3.5.0 while current Core is 5.1.0.</w:t>
            </w:r>
          </w:p>
        </w:tc>
      </w:tr>
    </w:tbl>
    <w:p>
      <w:pPr>
        <w:spacing w:after="40"/>
      </w:pPr>
    </w:p>
    <w:tbl>
      <w:tblPr>
        <w:tblW w:type="auto" w:w="0"/>
        <w:jc w:val="center"/>
        <w:tblLayout w:type="fixed"/>
        <w:tblLook w:firstColumn="1" w:firstRow="1" w:lastColumn="0" w:lastRow="0" w:noHBand="0" w:noVBand="1" w:val="04A0"/>
      </w:tblPr>
      <w:tblGrid>
        <w:gridCol w:w="9994"/>
      </w:tblGrid>
      <w:tr>
        <w:trPr>
          <w:cantSplit/>
        </w:trPr>
        <w:tc>
          <w:tcPr>
            <w:tcW w:type="dxa" w:w="9576"/>
            <w:shd w:fill="FFF5E5"/>
            <w:tcMar>
              <w:top w:w="150" w:type="dxa"/>
              <w:start w:w="180" w:type="dxa"/>
              <w:bottom w:w="150" w:type="dxa"/>
              <w:end w:w="180" w:type="dxa"/>
            </w:tcMar>
            <w:tcBorders>
              <w:top w:val="nil"/>
              <w:left w:val="single" w:sz="18" w:color="A86400"/>
              <w:bottom w:val="nil"/>
              <w:right w:val="nil"/>
            </w:tcBorders>
          </w:tcPr>
          <w:p>
            <w:pPr>
              <w:spacing w:before="0" w:after="60" w:line="259" w:lineRule="auto"/>
            </w:pPr>
            <w:r>
              <w:rPr>
                <w:rFonts w:ascii="Liberation Sans" w:hAnsi="Liberation Sans"/>
                <w:b/>
                <w:i w:val="0"/>
                <w:color w:val="A86400"/>
                <w:sz w:val="23"/>
              </w:rPr>
              <w:t>Immediate compatibility blocker</w:t>
            </w:r>
          </w:p>
          <w:p>
            <w:pPr>
              <w:spacing w:before="0" w:after="0" w:line="259" w:lineRule="auto"/>
            </w:pPr>
            <w:r>
              <w:rPr>
                <w:rFonts w:ascii="Liberation Sans" w:hAnsi="Liberation Sans"/>
                <w:b w:val="0"/>
                <w:i w:val="0"/>
                <w:color w:val="1D2433"/>
                <w:sz w:val="21"/>
              </w:rPr>
              <w:t>The TypeScript Agents package must be aligned with Core V5 before building new Hub/skills behavior. Introduce a V5 compatibility layer and tests first; do not make new harness code depend on the stale Core 3.5 boundary.</w:t>
            </w:r>
          </w:p>
        </w:tc>
      </w:tr>
    </w:tbl>
    <w:p>
      <w:pPr>
        <w:spacing w:after="20"/>
      </w:pPr>
    </w:p>
    <w:p>
      <w:pPr>
        <w:pStyle w:val="Heading1"/>
        <w:keepNext/>
        <w:spacing w:before="280" w:after="120"/>
      </w:pPr>
      <w:r>
        <w:rPr>
          <w:rFonts w:ascii="Liberation Sans" w:hAnsi="Liberation Sans"/>
          <w:b/>
          <w:color w:val="17233C"/>
          <w:sz w:val="36"/>
        </w:rPr>
        <w:t>4. What “smarter” means and how it will be proven</w:t>
      </w:r>
    </w:p>
    <w:p>
      <w:pPr>
        <w:spacing w:before="0" w:after="140" w:line="269" w:lineRule="auto"/>
      </w:pPr>
      <w:r>
        <w:rPr>
          <w:rFonts w:ascii="Liberation Sans" w:hAnsi="Liberation Sans"/>
          <w:b w:val="0"/>
          <w:i w:val="0"/>
          <w:color w:val="1D2433"/>
        </w:rPr>
        <w:t>The business objective is for a harnessed agent to perform materially better than the same raw agent. Engineering must not represent “10-100% smarter” as a universal guarantee because intelligence is not a single scalar. Instead, Knolo will publish benchmark uplift on a defined Agent Capability Score and per-task metrics.</w:t>
      </w:r>
    </w:p>
    <w:p>
      <w:pPr>
        <w:pStyle w:val="Heading2"/>
        <w:keepNext/>
        <w:spacing w:before="180" w:after="80"/>
      </w:pPr>
      <w:r>
        <w:rPr>
          <w:rFonts w:ascii="Liberation Sans" w:hAnsi="Liberation Sans"/>
          <w:b/>
          <w:color w:val="17233C"/>
          <w:sz w:val="27"/>
        </w:rPr>
        <w:t>4.1 Benchmark rule</w:t>
      </w:r>
    </w:p>
    <w:tbl>
      <w:tblPr>
        <w:tblW w:type="auto" w:w="0"/>
        <w:jc w:val="center"/>
        <w:tblLayout w:type="fixed"/>
        <w:tblLook w:firstColumn="1" w:firstRow="1" w:lastColumn="0" w:lastRow="0" w:noHBand="0" w:noVBand="1" w:val="04A0"/>
      </w:tblPr>
      <w:tblGrid>
        <w:gridCol w:w="9994"/>
      </w:tblGrid>
      <w:tr>
        <w:trPr>
          <w:cantSplit/>
        </w:trPr>
        <w:tc>
          <w:tcPr>
            <w:tcW w:type="dxa" w:w="9576"/>
            <w:shd w:fill="F6F7F9"/>
            <w:tcMar>
              <w:top w:w="120" w:type="dxa"/>
              <w:start w:w="150" w:type="dxa"/>
              <w:bottom w:w="120" w:type="dxa"/>
              <w:end w:w="150" w:type="dxa"/>
            </w:tcMar>
            <w:tcBorders>
              <w:top w:val="single" w:sz="5" w:color="D8E0EA"/>
              <w:left w:val="single" w:sz="5" w:color="D8E0EA"/>
              <w:bottom w:val="single" w:sz="5" w:color="D8E0EA"/>
              <w:right w:val="single" w:sz="5" w:color="D8E0EA"/>
            </w:tcBorders>
          </w:tcPr>
          <w:p>
            <w:pPr>
              <w:spacing w:before="0" w:after="0" w:line="240" w:lineRule="auto"/>
            </w:pPr>
            <w:r>
              <w:rPr>
                <w:rFonts w:ascii="Liberation Mono" w:hAnsi="Liberation Mono"/>
                <w:b w:val="0"/>
                <w:i w:val="0"/>
                <w:color w:val="2A3240"/>
                <w:sz w:val="17"/>
              </w:rPr>
              <w:t>Relative Uplift (%) = 100 * (HarnessScore - BaselineScore) / BaselineScore</w:t>
            </w:r>
            <w:r>
              <w:br/>
            </w:r>
            <w:r>
              <w:rPr>
                <w:rFonts w:ascii="Liberation Mono" w:hAnsi="Liberation Mono"/>
                <w:b w:val="0"/>
                <w:i w:val="0"/>
                <w:color w:val="2A3240"/>
                <w:sz w:val="17"/>
              </w:rPr>
            </w:r>
            <w:r>
              <w:br/>
            </w:r>
            <w:r>
              <w:rPr>
                <w:rFonts w:ascii="Liberation Mono" w:hAnsi="Liberation Mono"/>
                <w:b w:val="0"/>
                <w:i w:val="0"/>
                <w:color w:val="2A3240"/>
                <w:sz w:val="17"/>
              </w:rPr>
              <w:t>Baseline: same model / same task / same tool availability / same evaluation set</w:t>
            </w:r>
            <w:r>
              <w:br/>
            </w:r>
            <w:r>
              <w:rPr>
                <w:rFonts w:ascii="Liberation Mono" w:hAnsi="Liberation Mono"/>
                <w:b w:val="0"/>
                <w:i w:val="0"/>
                <w:color w:val="2A3240"/>
                <w:sz w:val="17"/>
              </w:rPr>
              <w:t>Harness: baseline + Knolo knowledge + skills + memory + policy + recovery + evaluation</w:t>
            </w:r>
          </w:p>
        </w:tc>
      </w:tr>
    </w:tbl>
    <w:p>
      <w:pPr>
        <w:spacing w:after="20"/>
      </w:pPr>
    </w:p>
    <w:p>
      <w:pPr>
        <w:pStyle w:val="Heading2"/>
        <w:keepNext/>
        <w:spacing w:before="180" w:after="80"/>
      </w:pPr>
      <w:r>
        <w:rPr>
          <w:rFonts w:ascii="Liberation Sans" w:hAnsi="Liberation Sans"/>
          <w:b/>
          <w:color w:val="17233C"/>
          <w:sz w:val="27"/>
        </w:rPr>
        <w:t>4.2 Agent Capability Score (ACS)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7"/>
              </w:rPr>
              <w:t>Metric</w:t>
            </w:r>
          </w:p>
        </w:tc>
        <w:tc>
          <w:tcPr>
            <w:tcW w:type="dxa" w:w="936"/>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7"/>
              </w:rPr>
              <w:t>Weight</w:t>
            </w:r>
          </w:p>
        </w:tc>
        <w:tc>
          <w:tcPr>
            <w:tcW w:type="dxa" w:w="6696"/>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7"/>
              </w:rPr>
              <w:t>How measured</w:t>
            </w:r>
          </w:p>
        </w:tc>
      </w:tr>
      <w:tr>
        <w:trPr>
          <w:cantSplit/>
        </w:trPr>
        <w:tc>
          <w:tcPr>
            <w:tcW w:type="dxa" w:w="194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Task success</w:t>
            </w:r>
          </w:p>
        </w:tc>
        <w:tc>
          <w:tcPr>
            <w:tcW w:type="dxa" w:w="93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30%</w:t>
            </w:r>
          </w:p>
        </w:tc>
        <w:tc>
          <w:tcPr>
            <w:tcW w:type="dxa" w:w="66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Deterministic expected outcome, structured result checks, or adjudicated test outcome.</w:t>
            </w:r>
          </w:p>
        </w:tc>
      </w:tr>
      <w:tr>
        <w:trPr>
          <w:cantSplit/>
        </w:trPr>
        <w:tc>
          <w:tcPr>
            <w:tcW w:type="dxa" w:w="194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Grounding / evidence quality</w:t>
            </w:r>
          </w:p>
        </w:tc>
        <w:tc>
          <w:tcPr>
            <w:tcW w:type="dxa" w:w="93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20%</w:t>
            </w:r>
          </w:p>
        </w:tc>
        <w:tc>
          <w:tcPr>
            <w:tcW w:type="dxa" w:w="66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Required evidence present, source provenance valid, unsupported claims penalized.</w:t>
            </w:r>
          </w:p>
        </w:tc>
      </w:tr>
      <w:tr>
        <w:trPr>
          <w:cantSplit/>
        </w:trPr>
        <w:tc>
          <w:tcPr>
            <w:tcW w:type="dxa" w:w="194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Tool correctness</w:t>
            </w:r>
          </w:p>
        </w:tc>
        <w:tc>
          <w:tcPr>
            <w:tcW w:type="dxa" w:w="93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15%</w:t>
            </w:r>
          </w:p>
        </w:tc>
        <w:tc>
          <w:tcPr>
            <w:tcW w:type="dxa" w:w="66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Correct tool chosen, valid arguments, no prohibited effects, valid result handling.</w:t>
            </w:r>
          </w:p>
        </w:tc>
      </w:tr>
      <w:tr>
        <w:trPr>
          <w:cantSplit/>
        </w:trPr>
        <w:tc>
          <w:tcPr>
            <w:tcW w:type="dxa" w:w="194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Recovery / resilience</w:t>
            </w:r>
          </w:p>
        </w:tc>
        <w:tc>
          <w:tcPr>
            <w:tcW w:type="dxa" w:w="93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15%</w:t>
            </w:r>
          </w:p>
        </w:tc>
        <w:tc>
          <w:tcPr>
            <w:tcW w:type="dxa" w:w="66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Successful alternate path after injected failures, retries bounded, graceful partial result.</w:t>
            </w:r>
          </w:p>
        </w:tc>
      </w:tr>
      <w:tr>
        <w:trPr>
          <w:cantSplit/>
        </w:trPr>
        <w:tc>
          <w:tcPr>
            <w:tcW w:type="dxa" w:w="194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Constraint / policy compliance</w:t>
            </w:r>
          </w:p>
        </w:tc>
        <w:tc>
          <w:tcPr>
            <w:tcW w:type="dxa" w:w="93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10%</w:t>
            </w:r>
          </w:p>
        </w:tc>
        <w:tc>
          <w:tcPr>
            <w:tcW w:type="dxa" w:w="66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No authority escalation; budgets and prohibited actions respected.</w:t>
            </w:r>
          </w:p>
        </w:tc>
      </w:tr>
      <w:tr>
        <w:trPr>
          <w:cantSplit/>
        </w:trPr>
        <w:tc>
          <w:tcPr>
            <w:tcW w:type="dxa" w:w="194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Efficiency</w:t>
            </w:r>
          </w:p>
        </w:tc>
        <w:tc>
          <w:tcPr>
            <w:tcW w:type="dxa" w:w="93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10%</w:t>
            </w:r>
          </w:p>
        </w:tc>
        <w:tc>
          <w:tcPr>
            <w:tcW w:type="dxa" w:w="66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Tokens, latency, tool calls, cost, and unnecessary context normalized against target task.</w:t>
            </w:r>
          </w:p>
        </w:tc>
      </w:tr>
    </w:tbl>
    <w:p>
      <w:pPr>
        <w:spacing w:after="40"/>
      </w:pPr>
    </w:p>
    <w:p>
      <w:pPr>
        <w:spacing w:before="0" w:after="140" w:line="269" w:lineRule="auto"/>
      </w:pPr>
      <w:r>
        <w:rPr>
          <w:rFonts w:ascii="Liberation Sans" w:hAnsi="Liberation Sans"/>
          <w:b w:val="0"/>
          <w:i w:val="0"/>
          <w:color w:val="1D2433"/>
        </w:rPr>
        <w:t>Launch target: prove at least +10% relative composite uplift on the first controlled benchmark suite without unacceptable cost/latency regression. Stretch targets of +25-50% are realistic where Knolo adds missing domain knowledge, verified context, or recovery. Gains approaching +100% should only be claimed on specific task families where the baseline fails and the harness succeeds, with the benchmark and denominator disclosed.</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192"/>
            <w:shd w:fill="F3F6FA"/>
            <w:tcMar>
              <w:top w:w="135" w:type="dxa"/>
              <w:start w:w="110" w:type="dxa"/>
              <w:bottom w:w="135" w:type="dxa"/>
              <w:end w:w="110" w:type="dxa"/>
            </w:tcMar>
            <w:tcBorders>
              <w:top w:val="single" w:sz="4" w:color="D8E0EA"/>
              <w:left w:val="single" w:sz="4" w:color="D8E0EA"/>
              <w:bottom w:val="single" w:sz="4" w:color="D8E0EA"/>
              <w:right w:val="single" w:sz="4" w:color="D8E0EA"/>
            </w:tcBorders>
            <w:vAlign w:val="center"/>
          </w:tcPr>
          <w:p>
            <w:pPr>
              <w:spacing w:before="0" w:after="40" w:line="240" w:lineRule="auto"/>
              <w:jc w:val="center"/>
            </w:pPr>
            <w:r>
              <w:rPr>
                <w:rFonts w:ascii="Liberation Sans" w:hAnsi="Liberation Sans"/>
                <w:b/>
                <w:i w:val="0"/>
                <w:color w:val="315EFB"/>
                <w:sz w:val="34"/>
              </w:rPr>
              <w:t>+10%</w:t>
            </w:r>
          </w:p>
          <w:p>
            <w:pPr>
              <w:spacing w:before="0" w:after="0" w:line="240" w:lineRule="auto"/>
              <w:jc w:val="center"/>
            </w:pPr>
            <w:r>
              <w:rPr>
                <w:rFonts w:ascii="Liberation Sans" w:hAnsi="Liberation Sans"/>
                <w:b w:val="0"/>
                <w:i w:val="0"/>
                <w:color w:val="5E6A7D"/>
                <w:sz w:val="17"/>
              </w:rPr>
              <w:t>Minimum launch composite uplift target</w:t>
            </w:r>
          </w:p>
        </w:tc>
        <w:tc>
          <w:tcPr>
            <w:tcW w:type="dxa" w:w="3192"/>
            <w:shd w:fill="F3F6FA"/>
            <w:tcMar>
              <w:top w:w="135" w:type="dxa"/>
              <w:start w:w="110" w:type="dxa"/>
              <w:bottom w:w="135" w:type="dxa"/>
              <w:end w:w="110" w:type="dxa"/>
            </w:tcMar>
            <w:tcBorders>
              <w:top w:val="single" w:sz="4" w:color="D8E0EA"/>
              <w:left w:val="single" w:sz="4" w:color="D8E0EA"/>
              <w:bottom w:val="single" w:sz="4" w:color="D8E0EA"/>
              <w:right w:val="single" w:sz="4" w:color="D8E0EA"/>
            </w:tcBorders>
            <w:vAlign w:val="center"/>
          </w:tcPr>
          <w:p>
            <w:pPr>
              <w:spacing w:before="0" w:after="40" w:line="240" w:lineRule="auto"/>
              <w:jc w:val="center"/>
            </w:pPr>
            <w:r>
              <w:rPr>
                <w:rFonts w:ascii="Liberation Sans" w:hAnsi="Liberation Sans"/>
                <w:b/>
                <w:i w:val="0"/>
                <w:color w:val="315EFB"/>
                <w:sz w:val="34"/>
              </w:rPr>
              <w:t>+25-50%</w:t>
            </w:r>
          </w:p>
          <w:p>
            <w:pPr>
              <w:spacing w:before="0" w:after="0" w:line="240" w:lineRule="auto"/>
              <w:jc w:val="center"/>
            </w:pPr>
            <w:r>
              <w:rPr>
                <w:rFonts w:ascii="Liberation Sans" w:hAnsi="Liberation Sans"/>
                <w:b w:val="0"/>
                <w:i w:val="0"/>
                <w:color w:val="5E6A7D"/>
                <w:sz w:val="17"/>
              </w:rPr>
              <w:t>Stretch uplift on knowledge/skill-sensitive tasks</w:t>
            </w:r>
          </w:p>
        </w:tc>
        <w:tc>
          <w:tcPr>
            <w:tcW w:type="dxa" w:w="3192"/>
            <w:shd w:fill="F3F6FA"/>
            <w:tcMar>
              <w:top w:w="135" w:type="dxa"/>
              <w:start w:w="110" w:type="dxa"/>
              <w:bottom w:w="135" w:type="dxa"/>
              <w:end w:w="110" w:type="dxa"/>
            </w:tcMar>
            <w:tcBorders>
              <w:top w:val="single" w:sz="4" w:color="D8E0EA"/>
              <w:left w:val="single" w:sz="4" w:color="D8E0EA"/>
              <w:bottom w:val="single" w:sz="4" w:color="D8E0EA"/>
              <w:right w:val="single" w:sz="4" w:color="D8E0EA"/>
            </w:tcBorders>
            <w:vAlign w:val="center"/>
          </w:tcPr>
          <w:p>
            <w:pPr>
              <w:spacing w:before="0" w:after="40" w:line="240" w:lineRule="auto"/>
              <w:jc w:val="center"/>
            </w:pPr>
            <w:r>
              <w:rPr>
                <w:rFonts w:ascii="Liberation Sans" w:hAnsi="Liberation Sans"/>
                <w:b/>
                <w:i w:val="0"/>
                <w:color w:val="315EFB"/>
                <w:sz w:val="34"/>
              </w:rPr>
              <w:t>100%</w:t>
            </w:r>
          </w:p>
          <w:p>
            <w:pPr>
              <w:spacing w:before="0" w:after="0" w:line="240" w:lineRule="auto"/>
              <w:jc w:val="center"/>
            </w:pPr>
            <w:r>
              <w:rPr>
                <w:rFonts w:ascii="Liberation Sans" w:hAnsi="Liberation Sans"/>
                <w:b w:val="0"/>
                <w:i w:val="0"/>
                <w:color w:val="5E6A7D"/>
                <w:sz w:val="17"/>
              </w:rPr>
              <w:t>Possible task-specific relative uplift, never a blanket promise</w:t>
            </w:r>
          </w:p>
        </w:tc>
      </w:tr>
    </w:tbl>
    <w:p>
      <w:pPr>
        <w:spacing w:after="60"/>
      </w:pPr>
    </w:p>
    <w:p>
      <w:r>
        <w:br w:type="page"/>
      </w:r>
    </w:p>
    <w:p>
      <w:pPr>
        <w:pStyle w:val="Heading1"/>
        <w:keepNext/>
        <w:spacing w:before="280" w:after="120"/>
      </w:pPr>
      <w:r>
        <w:rPr>
          <w:rFonts w:ascii="Liberation Sans" w:hAnsi="Liberation Sans"/>
          <w:b/>
          <w:color w:val="17233C"/>
          <w:sz w:val="36"/>
        </w:rPr>
        <w:t>5. Target product architecture</w:t>
      </w:r>
    </w:p>
    <w:tbl>
      <w:tblPr>
        <w:tblW w:type="auto" w:w="0"/>
        <w:jc w:val="center"/>
        <w:tblLayout w:type="fixed"/>
        <w:tblLook w:firstColumn="1" w:firstRow="1" w:lastColumn="0" w:lastRow="0" w:noHBand="0" w:noVBand="1" w:val="04A0"/>
      </w:tblPr>
      <w:tblGrid>
        <w:gridCol w:w="9994"/>
      </w:tblGrid>
      <w:tr>
        <w:trPr>
          <w:cantSplit/>
        </w:trPr>
        <w:tc>
          <w:tcPr>
            <w:tcW w:type="dxa" w:w="9576"/>
            <w:shd w:fill="F6F7F9"/>
            <w:tcMar>
              <w:top w:w="120" w:type="dxa"/>
              <w:start w:w="150" w:type="dxa"/>
              <w:bottom w:w="120" w:type="dxa"/>
              <w:end w:w="150" w:type="dxa"/>
            </w:tcMar>
            <w:tcBorders>
              <w:top w:val="single" w:sz="5" w:color="D8E0EA"/>
              <w:left w:val="single" w:sz="5" w:color="D8E0EA"/>
              <w:bottom w:val="single" w:sz="5" w:color="D8E0EA"/>
              <w:right w:val="single" w:sz="5" w:color="D8E0EA"/>
            </w:tcBorders>
          </w:tcPr>
          <w:p>
            <w:pPr>
              <w:spacing w:before="0" w:after="0" w:line="240" w:lineRule="auto"/>
            </w:pPr>
            <w:r>
              <w:rPr>
                <w:rFonts w:ascii="Liberation Mono" w:hAnsi="Liberation Mono"/>
                <w:b w:val="0"/>
                <w:i w:val="0"/>
                <w:color w:val="2A3240"/>
                <w:sz w:val="17"/>
              </w:rPr>
              <w:t xml:space="preserve">                         KNOLO HUB</w:t>
            </w:r>
            <w:r>
              <w:br/>
            </w:r>
            <w:r>
              <w:rPr>
                <w:rFonts w:ascii="Liberation Mono" w:hAnsi="Liberation Mono"/>
                <w:b w:val="0"/>
                <w:i w:val="0"/>
                <w:color w:val="2A3240"/>
                <w:sz w:val="17"/>
              </w:rPr>
              <w:t xml:space="preserve">                   hub.knolo.dev</w:t>
            </w:r>
            <w:r>
              <w:br/>
            </w:r>
            <w:r>
              <w:rPr>
                <w:rFonts w:ascii="Liberation Mono" w:hAnsi="Liberation Mono"/>
                <w:b w:val="0"/>
                <w:i w:val="0"/>
                <w:color w:val="2A3240"/>
                <w:sz w:val="17"/>
              </w:rPr>
              <w:t xml:space="preserve">        immutable Knowledge / Capability Packs</w:t>
            </w:r>
            <w:r>
              <w:br/>
            </w:r>
            <w:r>
              <w:rPr>
                <w:rFonts w:ascii="Liberation Mono" w:hAnsi="Liberation Mono"/>
                <w:b w:val="0"/>
                <w:i w:val="0"/>
                <w:color w:val="2A3240"/>
                <w:sz w:val="17"/>
              </w:rPr>
              <w:t xml:space="preserve">                         |</w:t>
            </w:r>
            <w:r>
              <w:br/>
            </w:r>
            <w:r>
              <w:rPr>
                <w:rFonts w:ascii="Liberation Mono" w:hAnsi="Liberation Mono"/>
                <w:b w:val="0"/>
                <w:i w:val="0"/>
                <w:color w:val="2A3240"/>
                <w:sz w:val="17"/>
              </w:rPr>
              <w:t xml:space="preserve">                  manifest + bytes</w:t>
            </w:r>
            <w:r>
              <w:br/>
            </w:r>
            <w:r>
              <w:rPr>
                <w:rFonts w:ascii="Liberation Mono" w:hAnsi="Liberation Mono"/>
                <w:b w:val="0"/>
                <w:i w:val="0"/>
                <w:color w:val="2A3240"/>
                <w:sz w:val="17"/>
              </w:rPr>
              <w:t xml:space="preserve">                         v</w:t>
            </w:r>
            <w:r>
              <w:br/>
            </w:r>
            <w:r>
              <w:rPr>
                <w:rFonts w:ascii="Liberation Mono" w:hAnsi="Liberation Mono"/>
                <w:b w:val="0"/>
                <w:i w:val="0"/>
                <w:color w:val="2A3240"/>
                <w:sz w:val="17"/>
              </w:rPr>
              <w:t xml:space="preserve">                    @knolo/core</w:t>
            </w:r>
            <w:r>
              <w:br/>
            </w:r>
            <w:r>
              <w:rPr>
                <w:rFonts w:ascii="Liberation Mono" w:hAnsi="Liberation Mono"/>
                <w:b w:val="0"/>
                <w:i w:val="0"/>
                <w:color w:val="2A3240"/>
                <w:sz w:val="17"/>
              </w:rPr>
              <w:t xml:space="preserve">       verification / retrieval / Cortex / evidence</w:t>
            </w:r>
            <w:r>
              <w:br/>
            </w:r>
            <w:r>
              <w:rPr>
                <w:rFonts w:ascii="Liberation Mono" w:hAnsi="Liberation Mono"/>
                <w:b w:val="0"/>
                <w:i w:val="0"/>
                <w:color w:val="2A3240"/>
                <w:sz w:val="17"/>
              </w:rPr>
              <w:t xml:space="preserve">          authority / durable runs / receipts</w:t>
            </w:r>
            <w:r>
              <w:br/>
            </w:r>
            <w:r>
              <w:rPr>
                <w:rFonts w:ascii="Liberation Mono" w:hAnsi="Liberation Mono"/>
                <w:b w:val="0"/>
                <w:i w:val="0"/>
                <w:color w:val="2A3240"/>
                <w:sz w:val="17"/>
              </w:rPr>
              <w:t xml:space="preserve">                         |</w:t>
            </w:r>
            <w:r>
              <w:br/>
            </w:r>
            <w:r>
              <w:rPr>
                <w:rFonts w:ascii="Liberation Mono" w:hAnsi="Liberation Mono"/>
                <w:b w:val="0"/>
                <w:i w:val="0"/>
                <w:color w:val="2A3240"/>
                <w:sz w:val="17"/>
              </w:rPr>
              <w:t xml:space="preserve">                         v</w:t>
            </w:r>
            <w:r>
              <w:br/>
            </w:r>
            <w:r>
              <w:rPr>
                <w:rFonts w:ascii="Liberation Mono" w:hAnsi="Liberation Mono"/>
                <w:b w:val="0"/>
                <w:i w:val="0"/>
                <w:color w:val="2A3240"/>
                <w:sz w:val="17"/>
              </w:rPr>
              <w:t xml:space="preserve">                 @knolo/agents</w:t>
            </w:r>
            <w:r>
              <w:br/>
            </w:r>
            <w:r>
              <w:rPr>
                <w:rFonts w:ascii="Liberation Mono" w:hAnsi="Liberation Mono"/>
                <w:b w:val="0"/>
                <w:i w:val="0"/>
                <w:color w:val="2A3240"/>
                <w:sz w:val="17"/>
              </w:rPr>
              <w:t xml:space="preserve">          UNIVERSAL AGENT HARNESS</w:t>
            </w:r>
            <w:r>
              <w:br/>
            </w:r>
            <w:r>
              <w:rPr>
                <w:rFonts w:ascii="Liberation Mono" w:hAnsi="Liberation Mono"/>
                <w:b w:val="0"/>
                <w:i w:val="0"/>
                <w:color w:val="2A3240"/>
                <w:sz w:val="17"/>
              </w:rPr>
              <w:t xml:space="preserve"> task -&gt; context -&gt; skills -&gt; tools -&gt; recovery -&gt; eval</w:t>
            </w:r>
            <w:r>
              <w:br/>
            </w:r>
            <w:r>
              <w:rPr>
                <w:rFonts w:ascii="Liberation Mono" w:hAnsi="Liberation Mono"/>
                <w:b w:val="0"/>
                <w:i w:val="0"/>
                <w:color w:val="2A3240"/>
                <w:sz w:val="17"/>
              </w:rPr>
              <w:t xml:space="preserve">                         |</w:t>
            </w:r>
            <w:r>
              <w:br/>
            </w:r>
            <w:r>
              <w:rPr>
                <w:rFonts w:ascii="Liberation Mono" w:hAnsi="Liberation Mono"/>
                <w:b w:val="0"/>
                <w:i w:val="0"/>
                <w:color w:val="2A3240"/>
                <w:sz w:val="17"/>
              </w:rPr>
              <w:t xml:space="preserve">                    AgentAdapter</w:t>
            </w:r>
            <w:r>
              <w:br/>
            </w:r>
            <w:r>
              <w:rPr>
                <w:rFonts w:ascii="Liberation Mono" w:hAnsi="Liberation Mono"/>
                <w:b w:val="0"/>
                <w:i w:val="0"/>
                <w:color w:val="2A3240"/>
                <w:sz w:val="17"/>
              </w:rPr>
              <w:t xml:space="preserve">                         |</w:t>
            </w:r>
            <w:r>
              <w:br/>
            </w:r>
            <w:r>
              <w:rPr>
                <w:rFonts w:ascii="Liberation Mono" w:hAnsi="Liberation Mono"/>
                <w:b w:val="0"/>
                <w:i w:val="0"/>
                <w:color w:val="2A3240"/>
                <w:sz w:val="17"/>
              </w:rPr>
              <w:t xml:space="preserve">     +-------------------+-------------------+</w:t>
            </w:r>
            <w:r>
              <w:br/>
            </w:r>
            <w:r>
              <w:rPr>
                <w:rFonts w:ascii="Liberation Mono" w:hAnsi="Liberation Mono"/>
                <w:b w:val="0"/>
                <w:i w:val="0"/>
                <w:color w:val="2A3240"/>
                <w:sz w:val="17"/>
              </w:rPr>
              <w:t xml:space="preserve">     |                   |                   |</w:t>
            </w:r>
            <w:r>
              <w:br/>
            </w:r>
            <w:r>
              <w:rPr>
                <w:rFonts w:ascii="Liberation Mono" w:hAnsi="Liberation Mono"/>
                <w:b w:val="0"/>
                <w:i w:val="0"/>
                <w:color w:val="2A3240"/>
                <w:sz w:val="17"/>
              </w:rPr>
              <w:t xml:space="preserve"> Knolo native       API/SDK agents       external agents</w:t>
            </w:r>
            <w:r>
              <w:br/>
            </w:r>
            <w:r>
              <w:rPr>
                <w:rFonts w:ascii="Liberation Mono" w:hAnsi="Liberation Mono"/>
                <w:b w:val="0"/>
                <w:i w:val="0"/>
                <w:color w:val="2A3240"/>
                <w:sz w:val="17"/>
              </w:rPr>
              <w:t xml:space="preserve"> graph runtime      Claude / Grok        OpenClaw / CLI /</w:t>
            </w:r>
            <w:r>
              <w:br/>
            </w:r>
            <w:r>
              <w:rPr>
                <w:rFonts w:ascii="Liberation Mono" w:hAnsi="Liberation Mono"/>
                <w:b w:val="0"/>
                <w:i w:val="0"/>
                <w:color w:val="2A3240"/>
                <w:sz w:val="17"/>
              </w:rPr>
              <w:t xml:space="preserve">                                        MCP / HTTP / custom</w:t>
            </w:r>
          </w:p>
        </w:tc>
      </w:tr>
    </w:tbl>
    <w:p>
      <w:pPr>
        <w:spacing w:after="20"/>
      </w:pPr>
    </w:p>
    <w:p>
      <w:pPr>
        <w:pStyle w:val="Heading2"/>
        <w:keepNext/>
        <w:spacing w:before="180" w:after="80"/>
      </w:pPr>
      <w:r>
        <w:rPr>
          <w:rFonts w:ascii="Liberation Sans" w:hAnsi="Liberation Sans"/>
          <w:b/>
          <w:color w:val="17233C"/>
          <w:sz w:val="27"/>
        </w:rPr>
        <w:t>5.1 Key architectural addition: the harness shell</w:t>
      </w:r>
    </w:p>
    <w:p>
      <w:pPr>
        <w:spacing w:before="0" w:after="140" w:line="269" w:lineRule="auto"/>
      </w:pPr>
      <w:r>
        <w:rPr>
          <w:rFonts w:ascii="Liberation Sans" w:hAnsi="Liberation Sans"/>
          <w:b w:val="0"/>
          <w:i w:val="0"/>
          <w:color w:val="1D2433"/>
        </w:rPr>
        <w:t>The harness shell is provider-neutral. It does not require access to an agent’s internal chain-of-thought. It only requires one of several bounded integration surfaces: callable request/response, tool interception, step/checkpoint hooks, plugin lifecycle hooks, MCP, HTTP, or the native Knolo graph.</w:t>
      </w:r>
    </w:p>
    <w:p>
      <w:pPr>
        <w:pStyle w:val="Heading1"/>
        <w:keepNext/>
        <w:spacing w:before="280" w:after="120"/>
      </w:pPr>
      <w:r>
        <w:rPr>
          <w:rFonts w:ascii="Liberation Sans" w:hAnsi="Liberation Sans"/>
          <w:b/>
          <w:color w:val="17233C"/>
          <w:sz w:val="36"/>
        </w:rPr>
        <w:t>6. Universal integration model</w:t>
      </w:r>
    </w:p>
    <w:p>
      <w:pPr>
        <w:pStyle w:val="Heading2"/>
        <w:keepNext/>
        <w:spacing w:before="180" w:after="80"/>
      </w:pPr>
      <w:r>
        <w:rPr>
          <w:rFonts w:ascii="Liberation Sans" w:hAnsi="Liberation Sans"/>
          <w:b/>
          <w:color w:val="17233C"/>
          <w:sz w:val="27"/>
        </w:rPr>
        <w:t>6.1 Four assurance levels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12"/>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5"/>
              </w:rPr>
              <w:t>Level</w:t>
            </w:r>
          </w:p>
        </w:tc>
        <w:tc>
          <w:tcPr>
            <w:tcW w:type="dxa" w:w="2232"/>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5"/>
              </w:rPr>
              <w:t>Integration</w:t>
            </w:r>
          </w:p>
        </w:tc>
        <w:tc>
          <w:tcPr>
            <w:tcW w:type="dxa" w:w="3960"/>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5"/>
              </w:rPr>
              <w:t>Knolo can add</w:t>
            </w:r>
          </w:p>
        </w:tc>
        <w:tc>
          <w:tcPr>
            <w:tcW w:type="dxa" w:w="1872"/>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5"/>
              </w:rPr>
              <w:t>Typical targets</w:t>
            </w:r>
          </w:p>
        </w:tc>
      </w:tr>
      <w:tr>
        <w:trPr>
          <w:cantSplit/>
        </w:trPr>
        <w:tc>
          <w:tcPr>
            <w:tcW w:type="dxa" w:w="151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L0 - Black box</w:t>
            </w:r>
          </w:p>
        </w:tc>
        <w:tc>
          <w:tcPr>
            <w:tcW w:type="dxa" w:w="223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Input -&gt; output only</w:t>
            </w:r>
          </w:p>
        </w:tc>
        <w:tc>
          <w:tcPr>
            <w:tcW w:type="dxa" w:w="396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Context, knowledge, skills, pre/post evaluation, experience recording, retry/re-prompt, receipts around the call.</w:t>
            </w:r>
          </w:p>
        </w:tc>
        <w:tc>
          <w:tcPr>
            <w:tcW w:type="dxa" w:w="187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Remote APIs, closed agents, simple CLI agents.</w:t>
            </w:r>
          </w:p>
        </w:tc>
      </w:tr>
      <w:tr>
        <w:trPr>
          <w:cantSplit/>
        </w:trPr>
        <w:tc>
          <w:tcPr>
            <w:tcW w:type="dxa" w:w="151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L1 - Tool aware</w:t>
            </w:r>
          </w:p>
        </w:tc>
        <w:tc>
          <w:tcPr>
            <w:tcW w:type="dxa" w:w="223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Agent exposes tool/function/MCP calls</w:t>
            </w:r>
          </w:p>
        </w:tc>
        <w:tc>
          <w:tcPr>
            <w:tcW w:type="dxa" w:w="396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Everything in L0 plus tool gating, argument validation, budgets, alternate tools, tool receipts.</w:t>
            </w:r>
          </w:p>
        </w:tc>
        <w:tc>
          <w:tcPr>
            <w:tcW w:type="dxa" w:w="187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Claude/Grok API agents, MCP/function-calling agents.</w:t>
            </w:r>
          </w:p>
        </w:tc>
      </w:tr>
      <w:tr>
        <w:trPr>
          <w:cantSplit/>
        </w:trPr>
        <w:tc>
          <w:tcPr>
            <w:tcW w:type="dxa" w:w="151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L2 - Step aware</w:t>
            </w:r>
          </w:p>
        </w:tc>
        <w:tc>
          <w:tcPr>
            <w:tcW w:type="dxa" w:w="223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Lifecycle, hooks, checkpoint or turn events</w:t>
            </w:r>
          </w:p>
        </w:tc>
        <w:tc>
          <w:tcPr>
            <w:tcW w:type="dxa" w:w="396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Everything in L1 plus pause/resume, HITL, step budgets, recovery strategies, handoffs, richer replay.</w:t>
            </w:r>
          </w:p>
        </w:tc>
        <w:tc>
          <w:tcPr>
            <w:tcW w:type="dxa" w:w="187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OpenClaw plugins, agent SDKs with hooks, custom orchestrators.</w:t>
            </w:r>
          </w:p>
        </w:tc>
      </w:tr>
      <w:tr>
        <w:trPr>
          <w:cantSplit/>
        </w:trPr>
        <w:tc>
          <w:tcPr>
            <w:tcW w:type="dxa" w:w="151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L3 - Knolo native</w:t>
            </w:r>
          </w:p>
        </w:tc>
        <w:tc>
          <w:tcPr>
            <w:tcW w:type="dxa" w:w="223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Knolo graph/runtime contracts</w:t>
            </w:r>
          </w:p>
        </w:tc>
        <w:tc>
          <w:tcPr>
            <w:tcW w:type="dxa" w:w="396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Full deterministic control-plane semantics, native replay, narrowed handoffs, artifact-hash checkpoint binding.</w:t>
            </w:r>
          </w:p>
        </w:tc>
        <w:tc>
          <w:tcPr>
            <w:tcW w:type="dxa" w:w="187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Current Knolo Agent runtime and future native hosts.</w:t>
            </w:r>
          </w:p>
        </w:tc>
      </w:tr>
    </w:tbl>
    <w:p>
      <w:pPr>
        <w:spacing w:after="40"/>
      </w:pPr>
    </w:p>
    <w:p>
      <w:pPr>
        <w:pStyle w:val="Heading2"/>
        <w:keepNext/>
        <w:spacing w:before="180" w:after="80"/>
      </w:pPr>
      <w:r>
        <w:rPr>
          <w:rFonts w:ascii="Liberation Sans" w:hAnsi="Liberation Sans"/>
          <w:b/>
          <w:color w:val="17233C"/>
          <w:sz w:val="27"/>
        </w:rPr>
        <w:t>6.2 Universal adapter surfaces</w:t>
      </w:r>
    </w:p>
    <w:p>
      <w:pPr>
        <w:pStyle w:val="ListBullet"/>
        <w:spacing w:before="0" w:after="80" w:line="259" w:lineRule="auto"/>
        <w:ind w:left="317" w:hanging="202"/>
      </w:pPr>
      <w:r>
        <w:rPr>
          <w:rFonts w:ascii="Liberation Sans" w:hAnsi="Liberation Sans"/>
          <w:b w:val="0"/>
          <w:i w:val="0"/>
          <w:color w:val="1D2433"/>
        </w:rPr>
        <w:t>Direct SDK adapter - wrap a callable TypeScript/Python agent function or provider client.</w:t>
      </w:r>
    </w:p>
    <w:p>
      <w:pPr>
        <w:pStyle w:val="ListBullet"/>
        <w:spacing w:before="0" w:after="80" w:line="259" w:lineRule="auto"/>
        <w:ind w:left="317" w:hanging="202"/>
      </w:pPr>
      <w:r>
        <w:rPr>
          <w:rFonts w:ascii="Liberation Sans" w:hAnsi="Liberation Sans"/>
          <w:b w:val="0"/>
          <w:i w:val="0"/>
          <w:color w:val="1D2433"/>
        </w:rPr>
        <w:t>Function/MCP adapter - expose Knolo retrieval, skills, policy-aware tool calls, evaluation, and memory as tools/resources while Knolo observes calls.</w:t>
      </w:r>
    </w:p>
    <w:p>
      <w:pPr>
        <w:pStyle w:val="ListBullet"/>
        <w:spacing w:before="0" w:after="80" w:line="259" w:lineRule="auto"/>
        <w:ind w:left="317" w:hanging="202"/>
      </w:pPr>
      <w:r>
        <w:rPr>
          <w:rFonts w:ascii="Liberation Sans" w:hAnsi="Liberation Sans"/>
          <w:b w:val="0"/>
          <w:i w:val="0"/>
          <w:color w:val="1D2433"/>
        </w:rPr>
        <w:t>Process/CLI adapter - spawn an explicitly authorized local process, pass structured input, capture structured output/events. No shell invocation hidden inside the core library.</w:t>
      </w:r>
    </w:p>
    <w:p>
      <w:pPr>
        <w:pStyle w:val="ListBullet"/>
        <w:spacing w:before="0" w:after="80" w:line="259" w:lineRule="auto"/>
        <w:ind w:left="317" w:hanging="202"/>
      </w:pPr>
      <w:r>
        <w:rPr>
          <w:rFonts w:ascii="Liberation Sans" w:hAnsi="Liberation Sans"/>
          <w:b w:val="0"/>
          <w:i w:val="0"/>
          <w:color w:val="1D2433"/>
        </w:rPr>
        <w:t>HTTP/remote adapter - call an external agent endpoint through host-provided networking and normalize result/tool events.</w:t>
      </w:r>
    </w:p>
    <w:p>
      <w:pPr>
        <w:pStyle w:val="ListBullet"/>
        <w:spacing w:before="0" w:after="80" w:line="259" w:lineRule="auto"/>
        <w:ind w:left="317" w:hanging="202"/>
      </w:pPr>
      <w:r>
        <w:rPr>
          <w:rFonts w:ascii="Liberation Sans" w:hAnsi="Liberation Sans"/>
          <w:b w:val="0"/>
          <w:i w:val="0"/>
          <w:color w:val="1D2433"/>
        </w:rPr>
        <w:t>Plugin/hook adapter - integrate deeply where the host exposes lifecycle hooks, prompt-building hooks, tool gating, run IDs, and end-of-run events.</w:t>
      </w:r>
    </w:p>
    <w:p>
      <w:pPr>
        <w:pStyle w:val="ListBullet"/>
        <w:spacing w:before="0" w:after="80" w:line="259" w:lineRule="auto"/>
        <w:ind w:left="317" w:hanging="202"/>
      </w:pPr>
      <w:r>
        <w:rPr>
          <w:rFonts w:ascii="Liberation Sans" w:hAnsi="Liberation Sans"/>
          <w:b w:val="0"/>
          <w:i w:val="0"/>
          <w:color w:val="1D2433"/>
        </w:rPr>
        <w:t>Native Knolo adapter - wrap the existing Agent class/Rust scheduler as L3.</w:t>
      </w:r>
    </w:p>
    <w:p>
      <w:pPr>
        <w:pStyle w:val="Heading1"/>
        <w:keepNext/>
        <w:spacing w:before="280" w:after="120"/>
      </w:pPr>
      <w:r>
        <w:rPr>
          <w:rFonts w:ascii="Liberation Sans" w:hAnsi="Liberation Sans"/>
          <w:b/>
          <w:color w:val="17233C"/>
          <w:sz w:val="36"/>
        </w:rPr>
        <w:t>7. Core public contracts</w:t>
      </w:r>
    </w:p>
    <w:p>
      <w:pPr>
        <w:pStyle w:val="Heading2"/>
        <w:keepNext/>
        <w:spacing w:before="180" w:after="80"/>
      </w:pPr>
      <w:r>
        <w:rPr>
          <w:rFonts w:ascii="Liberation Sans" w:hAnsi="Liberation Sans"/>
          <w:b/>
          <w:color w:val="17233C"/>
          <w:sz w:val="27"/>
        </w:rPr>
        <w:t>7.1 AgentAdapterV1</w:t>
      </w:r>
    </w:p>
    <w:tbl>
      <w:tblPr>
        <w:tblW w:type="auto" w:w="0"/>
        <w:jc w:val="center"/>
        <w:tblLayout w:type="fixed"/>
        <w:tblLook w:firstColumn="1" w:firstRow="1" w:lastColumn="0" w:lastRow="0" w:noHBand="0" w:noVBand="1" w:val="04A0"/>
      </w:tblPr>
      <w:tblGrid>
        <w:gridCol w:w="9994"/>
      </w:tblGrid>
      <w:tr>
        <w:trPr>
          <w:cantSplit/>
        </w:trPr>
        <w:tc>
          <w:tcPr>
            <w:tcW w:type="dxa" w:w="9576"/>
            <w:shd w:fill="F6F7F9"/>
            <w:tcMar>
              <w:top w:w="120" w:type="dxa"/>
              <w:start w:w="150" w:type="dxa"/>
              <w:bottom w:w="120" w:type="dxa"/>
              <w:end w:w="150" w:type="dxa"/>
            </w:tcMar>
            <w:tcBorders>
              <w:top w:val="single" w:sz="5" w:color="D8E0EA"/>
              <w:left w:val="single" w:sz="5" w:color="D8E0EA"/>
              <w:bottom w:val="single" w:sz="5" w:color="D8E0EA"/>
              <w:right w:val="single" w:sz="5" w:color="D8E0EA"/>
            </w:tcBorders>
          </w:tcPr>
          <w:p>
            <w:pPr>
              <w:spacing w:before="0" w:after="0" w:line="240" w:lineRule="auto"/>
            </w:pPr>
            <w:r>
              <w:rPr>
                <w:rFonts w:ascii="Liberation Mono" w:hAnsi="Liberation Mono"/>
                <w:b w:val="0"/>
                <w:i w:val="0"/>
                <w:color w:val="2A3240"/>
                <w:sz w:val="17"/>
              </w:rPr>
              <w:t>export interface AgentAdapter&lt;I = unknown, O = unknown&gt; {</w:t>
            </w:r>
            <w:r>
              <w:br/>
            </w:r>
            <w:r>
              <w:rPr>
                <w:rFonts w:ascii="Liberation Mono" w:hAnsi="Liberation Mono"/>
                <w:b w:val="0"/>
                <w:i w:val="0"/>
                <w:color w:val="2A3240"/>
                <w:sz w:val="17"/>
              </w:rPr>
              <w:t xml:space="preserve">  descriptor(): AgentDescriptorV1;</w:t>
            </w:r>
            <w:r>
              <w:br/>
            </w:r>
            <w:r>
              <w:rPr>
                <w:rFonts w:ascii="Liberation Mono" w:hAnsi="Liberation Mono"/>
                <w:b w:val="0"/>
                <w:i w:val="0"/>
                <w:color w:val="2A3240"/>
                <w:sz w:val="17"/>
              </w:rPr>
              <w:t xml:space="preserve">  capabilities(): AgentCapabilitiesV1;</w:t>
            </w:r>
            <w:r>
              <w:br/>
            </w:r>
            <w:r>
              <w:rPr>
                <w:rFonts w:ascii="Liberation Mono" w:hAnsi="Liberation Mono"/>
                <w:b w:val="0"/>
                <w:i w:val="0"/>
                <w:color w:val="2A3240"/>
                <w:sz w:val="17"/>
              </w:rPr>
              <w:t xml:space="preserve">  invoke(input: I, ctx: HarnessContextV1): Promise&lt;AgentInvocationResultV1&lt;O&gt;&gt;;</w:t>
            </w:r>
            <w:r>
              <w:br/>
            </w:r>
            <w:r>
              <w:rPr>
                <w:rFonts w:ascii="Liberation Mono" w:hAnsi="Liberation Mono"/>
                <w:b w:val="0"/>
                <w:i w:val="0"/>
                <w:color w:val="2A3240"/>
                <w:sz w:val="17"/>
              </w:rPr>
            </w:r>
            <w:r>
              <w:br/>
            </w:r>
            <w:r>
              <w:rPr>
                <w:rFonts w:ascii="Liberation Mono" w:hAnsi="Liberation Mono"/>
                <w:b w:val="0"/>
                <w:i w:val="0"/>
                <w:color w:val="2A3240"/>
                <w:sz w:val="17"/>
              </w:rPr>
              <w:t xml:space="preserve">  interrupt?(): Promise&lt;void&gt;;</w:t>
            </w:r>
            <w:r>
              <w:br/>
            </w:r>
            <w:r>
              <w:rPr>
                <w:rFonts w:ascii="Liberation Mono" w:hAnsi="Liberation Mono"/>
                <w:b w:val="0"/>
                <w:i w:val="0"/>
                <w:color w:val="2A3240"/>
                <w:sz w:val="17"/>
              </w:rPr>
              <w:t xml:space="preserve">  resume?(checkpoint: HarnessCheckpointV1): Promise&lt;AgentInvocationResultV1&lt;O&gt;&gt;;</w:t>
            </w:r>
            <w:r>
              <w:br/>
            </w:r>
            <w:r>
              <w:rPr>
                <w:rFonts w:ascii="Liberation Mono" w:hAnsi="Liberation Mono"/>
                <w:b w:val="0"/>
                <w:i w:val="0"/>
                <w:color w:val="2A3240"/>
                <w:sz w:val="17"/>
              </w:rPr>
              <w:t xml:space="preserve">  observe?(sink: AgentEventSinkV1): Promise&lt;DisposableV1&gt; | DisposableV1;</w:t>
            </w:r>
            <w:r>
              <w:br/>
            </w:r>
            <w:r>
              <w:rPr>
                <w:rFonts w:ascii="Liberation Mono" w:hAnsi="Liberation Mono"/>
                <w:b w:val="0"/>
                <w:i w:val="0"/>
                <w:color w:val="2A3240"/>
                <w:sz w:val="17"/>
              </w:rPr>
              <w:t>}</w:t>
            </w:r>
          </w:p>
        </w:tc>
      </w:tr>
    </w:tbl>
    <w:p>
      <w:pPr>
        <w:spacing w:after="20"/>
      </w:pPr>
    </w:p>
    <w:p>
      <w:pPr>
        <w:pStyle w:val="Heading2"/>
        <w:keepNext/>
        <w:spacing w:before="180" w:after="80"/>
      </w:pPr>
      <w:r>
        <w:rPr>
          <w:rFonts w:ascii="Liberation Sans" w:hAnsi="Liberation Sans"/>
          <w:b/>
          <w:color w:val="17233C"/>
          <w:sz w:val="27"/>
        </w:rPr>
        <w:t>7.2 TaskV1</w:t>
      </w:r>
    </w:p>
    <w:tbl>
      <w:tblPr>
        <w:tblW w:type="auto" w:w="0"/>
        <w:jc w:val="center"/>
        <w:tblLayout w:type="fixed"/>
        <w:tblLook w:firstColumn="1" w:firstRow="1" w:lastColumn="0" w:lastRow="0" w:noHBand="0" w:noVBand="1" w:val="04A0"/>
      </w:tblPr>
      <w:tblGrid>
        <w:gridCol w:w="9994"/>
      </w:tblGrid>
      <w:tr>
        <w:trPr>
          <w:cantSplit/>
        </w:trPr>
        <w:tc>
          <w:tcPr>
            <w:tcW w:type="dxa" w:w="9576"/>
            <w:shd w:fill="F6F7F9"/>
            <w:tcMar>
              <w:top w:w="120" w:type="dxa"/>
              <w:start w:w="150" w:type="dxa"/>
              <w:bottom w:w="120" w:type="dxa"/>
              <w:end w:w="150" w:type="dxa"/>
            </w:tcMar>
            <w:tcBorders>
              <w:top w:val="single" w:sz="5" w:color="D8E0EA"/>
              <w:left w:val="single" w:sz="5" w:color="D8E0EA"/>
              <w:bottom w:val="single" w:sz="5" w:color="D8E0EA"/>
              <w:right w:val="single" w:sz="5" w:color="D8E0EA"/>
            </w:tcBorders>
          </w:tcPr>
          <w:p>
            <w:pPr>
              <w:spacing w:before="0" w:after="0" w:line="240" w:lineRule="auto"/>
            </w:pPr>
            <w:r>
              <w:rPr>
                <w:rFonts w:ascii="Liberation Mono" w:hAnsi="Liberation Mono"/>
                <w:b w:val="0"/>
                <w:i w:val="0"/>
                <w:color w:val="2A3240"/>
                <w:sz w:val="17"/>
              </w:rPr>
              <w:t>export interface TaskV1 {</w:t>
            </w:r>
            <w:r>
              <w:br/>
            </w:r>
            <w:r>
              <w:rPr>
                <w:rFonts w:ascii="Liberation Mono" w:hAnsi="Liberation Mono"/>
                <w:b w:val="0"/>
                <w:i w:val="0"/>
                <w:color w:val="2A3240"/>
                <w:sz w:val="17"/>
              </w:rPr>
              <w:t xml:space="preserve">  id?: string;</w:t>
            </w:r>
            <w:r>
              <w:br/>
            </w:r>
            <w:r>
              <w:rPr>
                <w:rFonts w:ascii="Liberation Mono" w:hAnsi="Liberation Mono"/>
                <w:b w:val="0"/>
                <w:i w:val="0"/>
                <w:color w:val="2A3240"/>
                <w:sz w:val="17"/>
              </w:rPr>
              <w:t xml:space="preserve">  objective: string;</w:t>
            </w:r>
            <w:r>
              <w:br/>
            </w:r>
            <w:r>
              <w:rPr>
                <w:rFonts w:ascii="Liberation Mono" w:hAnsi="Liberation Mono"/>
                <w:b w:val="0"/>
                <w:i w:val="0"/>
                <w:color w:val="2A3240"/>
                <w:sz w:val="17"/>
              </w:rPr>
              <w:t xml:space="preserve">  inputs?: JsonValue;</w:t>
            </w:r>
            <w:r>
              <w:br/>
            </w:r>
            <w:r>
              <w:rPr>
                <w:rFonts w:ascii="Liberation Mono" w:hAnsi="Liberation Mono"/>
                <w:b w:val="0"/>
                <w:i w:val="0"/>
                <w:color w:val="2A3240"/>
                <w:sz w:val="17"/>
              </w:rPr>
              <w:t xml:space="preserve">  constraints?: ConstraintV1[];</w:t>
            </w:r>
            <w:r>
              <w:br/>
            </w:r>
            <w:r>
              <w:rPr>
                <w:rFonts w:ascii="Liberation Mono" w:hAnsi="Liberation Mono"/>
                <w:b w:val="0"/>
                <w:i w:val="0"/>
                <w:color w:val="2A3240"/>
                <w:sz w:val="17"/>
              </w:rPr>
              <w:t xml:space="preserve">  successCriteria: SuccessCriterionV1[];</w:t>
            </w:r>
            <w:r>
              <w:br/>
            </w:r>
            <w:r>
              <w:rPr>
                <w:rFonts w:ascii="Liberation Mono" w:hAnsi="Liberation Mono"/>
                <w:b w:val="0"/>
                <w:i w:val="0"/>
                <w:color w:val="2A3240"/>
                <w:sz w:val="17"/>
              </w:rPr>
              <w:t xml:space="preserve">  requiredCapabilities?: string[];</w:t>
            </w:r>
            <w:r>
              <w:br/>
            </w:r>
            <w:r>
              <w:rPr>
                <w:rFonts w:ascii="Liberation Mono" w:hAnsi="Liberation Mono"/>
                <w:b w:val="0"/>
                <w:i w:val="0"/>
                <w:color w:val="2A3240"/>
                <w:sz w:val="17"/>
              </w:rPr>
              <w:t xml:space="preserve">  preferredSkills?: string[];</w:t>
            </w:r>
            <w:r>
              <w:br/>
            </w:r>
            <w:r>
              <w:rPr>
                <w:rFonts w:ascii="Liberation Mono" w:hAnsi="Liberation Mono"/>
                <w:b w:val="0"/>
                <w:i w:val="0"/>
                <w:color w:val="2A3240"/>
                <w:sz w:val="17"/>
              </w:rPr>
              <w:t xml:space="preserve">  prohibitedActions?: string[];</w:t>
            </w:r>
            <w:r>
              <w:br/>
            </w:r>
            <w:r>
              <w:rPr>
                <w:rFonts w:ascii="Liberation Mono" w:hAnsi="Liberation Mono"/>
                <w:b w:val="0"/>
                <w:i w:val="0"/>
                <w:color w:val="2A3240"/>
                <w:sz w:val="17"/>
              </w:rPr>
              <w:t xml:space="preserve">  budget?: HarnessBudgetV1;</w:t>
            </w:r>
            <w:r>
              <w:br/>
            </w:r>
            <w:r>
              <w:rPr>
                <w:rFonts w:ascii="Liberation Mono" w:hAnsi="Liberation Mono"/>
                <w:b w:val="0"/>
                <w:i w:val="0"/>
                <w:color w:val="2A3240"/>
                <w:sz w:val="17"/>
              </w:rPr>
              <w:t xml:space="preserve">  deadlineMs?: number;</w:t>
            </w:r>
            <w:r>
              <w:br/>
            </w:r>
            <w:r>
              <w:rPr>
                <w:rFonts w:ascii="Liberation Mono" w:hAnsi="Liberation Mono"/>
                <w:b w:val="0"/>
                <w:i w:val="0"/>
                <w:color w:val="2A3240"/>
                <w:sz w:val="17"/>
              </w:rPr>
              <w:t xml:space="preserve">  outputSchema?: JsonSchema;</w:t>
            </w:r>
            <w:r>
              <w:br/>
            </w:r>
            <w:r>
              <w:rPr>
                <w:rFonts w:ascii="Liberation Mono" w:hAnsi="Liberation Mono"/>
                <w:b w:val="0"/>
                <w:i w:val="0"/>
                <w:color w:val="2A3240"/>
                <w:sz w:val="17"/>
              </w:rPr>
              <w:t xml:space="preserve">  evidenceRequirements?: EvidenceRequirementV1[];</w:t>
            </w:r>
            <w:r>
              <w:br/>
            </w:r>
            <w:r>
              <w:rPr>
                <w:rFonts w:ascii="Liberation Mono" w:hAnsi="Liberation Mono"/>
                <w:b w:val="0"/>
                <w:i w:val="0"/>
                <w:color w:val="2A3240"/>
                <w:sz w:val="17"/>
              </w:rPr>
              <w:t>}</w:t>
            </w:r>
          </w:p>
        </w:tc>
      </w:tr>
    </w:tbl>
    <w:p>
      <w:pPr>
        <w:spacing w:after="20"/>
      </w:pPr>
    </w:p>
    <w:p>
      <w:pPr>
        <w:pStyle w:val="Heading2"/>
        <w:keepNext/>
        <w:spacing w:before="180" w:after="80"/>
      </w:pPr>
      <w:r>
        <w:rPr>
          <w:rFonts w:ascii="Liberation Sans" w:hAnsi="Liberation Sans"/>
          <w:b/>
          <w:color w:val="17233C"/>
          <w:sz w:val="27"/>
        </w:rPr>
        <w:t>7.3 ContextEnvelopeV1</w:t>
      </w:r>
    </w:p>
    <w:tbl>
      <w:tblPr>
        <w:tblW w:type="auto" w:w="0"/>
        <w:jc w:val="center"/>
        <w:tblLayout w:type="fixed"/>
        <w:tblLook w:firstColumn="1" w:firstRow="1" w:lastColumn="0" w:lastRow="0" w:noHBand="0" w:noVBand="1" w:val="04A0"/>
      </w:tblPr>
      <w:tblGrid>
        <w:gridCol w:w="9994"/>
      </w:tblGrid>
      <w:tr>
        <w:trPr>
          <w:cantSplit/>
        </w:trPr>
        <w:tc>
          <w:tcPr>
            <w:tcW w:type="dxa" w:w="9576"/>
            <w:shd w:fill="F6F7F9"/>
            <w:tcMar>
              <w:top w:w="120" w:type="dxa"/>
              <w:start w:w="150" w:type="dxa"/>
              <w:bottom w:w="120" w:type="dxa"/>
              <w:end w:w="150" w:type="dxa"/>
            </w:tcMar>
            <w:tcBorders>
              <w:top w:val="single" w:sz="5" w:color="D8E0EA"/>
              <w:left w:val="single" w:sz="5" w:color="D8E0EA"/>
              <w:bottom w:val="single" w:sz="5" w:color="D8E0EA"/>
              <w:right w:val="single" w:sz="5" w:color="D8E0EA"/>
            </w:tcBorders>
          </w:tcPr>
          <w:p>
            <w:pPr>
              <w:spacing w:before="0" w:after="0" w:line="240" w:lineRule="auto"/>
            </w:pPr>
            <w:r>
              <w:rPr>
                <w:rFonts w:ascii="Liberation Mono" w:hAnsi="Liberation Mono"/>
                <w:b w:val="0"/>
                <w:i w:val="0"/>
                <w:color w:val="2A3240"/>
                <w:sz w:val="17"/>
              </w:rPr>
              <w:t>export interface ContextEnvelopeV1 {</w:t>
            </w:r>
            <w:r>
              <w:br/>
            </w:r>
            <w:r>
              <w:rPr>
                <w:rFonts w:ascii="Liberation Mono" w:hAnsi="Liberation Mono"/>
                <w:b w:val="0"/>
                <w:i w:val="0"/>
                <w:color w:val="2A3240"/>
                <w:sz w:val="17"/>
              </w:rPr>
              <w:t xml:space="preserve">  task: TaskV1;</w:t>
            </w:r>
            <w:r>
              <w:br/>
            </w:r>
            <w:r>
              <w:rPr>
                <w:rFonts w:ascii="Liberation Mono" w:hAnsi="Liberation Mono"/>
                <w:b w:val="0"/>
                <w:i w:val="0"/>
                <w:color w:val="2A3240"/>
                <w:sz w:val="17"/>
              </w:rPr>
              <w:t xml:space="preserve">  evidence: EvidenceBundleV1;</w:t>
            </w:r>
            <w:r>
              <w:br/>
            </w:r>
            <w:r>
              <w:rPr>
                <w:rFonts w:ascii="Liberation Mono" w:hAnsi="Liberation Mono"/>
                <w:b w:val="0"/>
                <w:i w:val="0"/>
                <w:color w:val="2A3240"/>
                <w:sz w:val="17"/>
              </w:rPr>
              <w:t xml:space="preserve">  memories: MemoryRecallV1[];</w:t>
            </w:r>
            <w:r>
              <w:br/>
            </w:r>
            <w:r>
              <w:rPr>
                <w:rFonts w:ascii="Liberation Mono" w:hAnsi="Liberation Mono"/>
                <w:b w:val="0"/>
                <w:i w:val="0"/>
                <w:color w:val="2A3240"/>
                <w:sz w:val="17"/>
              </w:rPr>
              <w:t xml:space="preserve">  skills: ResolvedSkillV1[];</w:t>
            </w:r>
            <w:r>
              <w:br/>
            </w:r>
            <w:r>
              <w:rPr>
                <w:rFonts w:ascii="Liberation Mono" w:hAnsi="Liberation Mono"/>
                <w:b w:val="0"/>
                <w:i w:val="0"/>
                <w:color w:val="2A3240"/>
                <w:sz w:val="17"/>
              </w:rPr>
              <w:t xml:space="preserve">  constraints: ConstraintV1[];</w:t>
            </w:r>
            <w:r>
              <w:br/>
            </w:r>
            <w:r>
              <w:rPr>
                <w:rFonts w:ascii="Liberation Mono" w:hAnsi="Liberation Mono"/>
                <w:b w:val="0"/>
                <w:i w:val="0"/>
                <w:color w:val="2A3240"/>
                <w:sz w:val="17"/>
              </w:rPr>
              <w:t xml:space="preserve">  capabilities: EffectiveCapabilitiesV1;</w:t>
            </w:r>
            <w:r>
              <w:br/>
            </w:r>
            <w:r>
              <w:rPr>
                <w:rFonts w:ascii="Liberation Mono" w:hAnsi="Liberation Mono"/>
                <w:b w:val="0"/>
                <w:i w:val="0"/>
                <w:color w:val="2A3240"/>
                <w:sz w:val="17"/>
              </w:rPr>
              <w:t xml:space="preserve">  budget: HarnessBudgetV1;</w:t>
            </w:r>
            <w:r>
              <w:br/>
            </w:r>
            <w:r>
              <w:rPr>
                <w:rFonts w:ascii="Liberation Mono" w:hAnsi="Liberation Mono"/>
                <w:b w:val="0"/>
                <w:i w:val="0"/>
                <w:color w:val="2A3240"/>
                <w:sz w:val="17"/>
              </w:rPr>
              <w:t xml:space="preserve">  dependencyRoot: string;</w:t>
            </w:r>
            <w:r>
              <w:br/>
            </w:r>
            <w:r>
              <w:rPr>
                <w:rFonts w:ascii="Liberation Mono" w:hAnsi="Liberation Mono"/>
                <w:b w:val="0"/>
                <w:i w:val="0"/>
                <w:color w:val="2A3240"/>
                <w:sz w:val="17"/>
              </w:rPr>
              <w:t xml:space="preserve">  receipts: ReceiptReferenceV1[];</w:t>
            </w:r>
            <w:r>
              <w:br/>
            </w:r>
            <w:r>
              <w:rPr>
                <w:rFonts w:ascii="Liberation Mono" w:hAnsi="Liberation Mono"/>
                <w:b w:val="0"/>
                <w:i w:val="0"/>
                <w:color w:val="2A3240"/>
                <w:sz w:val="17"/>
              </w:rPr>
              <w:t>}</w:t>
            </w:r>
          </w:p>
        </w:tc>
      </w:tr>
    </w:tbl>
    <w:p>
      <w:pPr>
        <w:spacing w:after="20"/>
      </w:pPr>
    </w:p>
    <w:p>
      <w:pPr>
        <w:pStyle w:val="Heading2"/>
        <w:keepNext/>
        <w:spacing w:before="180" w:after="80"/>
      </w:pPr>
      <w:r>
        <w:rPr>
          <w:rFonts w:ascii="Liberation Sans" w:hAnsi="Liberation Sans"/>
          <w:b/>
          <w:color w:val="17233C"/>
          <w:sz w:val="27"/>
        </w:rPr>
        <w:t>7.4 Registry and capability contracts</w:t>
      </w:r>
    </w:p>
    <w:tbl>
      <w:tblPr>
        <w:tblW w:type="auto" w:w="0"/>
        <w:jc w:val="center"/>
        <w:tblLayout w:type="fixed"/>
        <w:tblLook w:firstColumn="1" w:firstRow="1" w:lastColumn="0" w:lastRow="0" w:noHBand="0" w:noVBand="1" w:val="04A0"/>
      </w:tblPr>
      <w:tblGrid>
        <w:gridCol w:w="9994"/>
      </w:tblGrid>
      <w:tr>
        <w:trPr>
          <w:cantSplit/>
        </w:trPr>
        <w:tc>
          <w:tcPr>
            <w:tcW w:type="dxa" w:w="9576"/>
            <w:shd w:fill="F6F7F9"/>
            <w:tcMar>
              <w:top w:w="120" w:type="dxa"/>
              <w:start w:w="150" w:type="dxa"/>
              <w:bottom w:w="120" w:type="dxa"/>
              <w:end w:w="150" w:type="dxa"/>
            </w:tcMar>
            <w:tcBorders>
              <w:top w:val="single" w:sz="5" w:color="D8E0EA"/>
              <w:left w:val="single" w:sz="5" w:color="D8E0EA"/>
              <w:bottom w:val="single" w:sz="5" w:color="D8E0EA"/>
              <w:right w:val="single" w:sz="5" w:color="D8E0EA"/>
            </w:tcBorders>
          </w:tcPr>
          <w:p>
            <w:pPr>
              <w:spacing w:before="0" w:after="0" w:line="240" w:lineRule="auto"/>
            </w:pPr>
            <w:r>
              <w:rPr>
                <w:rFonts w:ascii="Liberation Mono" w:hAnsi="Liberation Mono"/>
                <w:b w:val="0"/>
                <w:i w:val="0"/>
                <w:color w:val="2A3240"/>
                <w:sz w:val="17"/>
              </w:rPr>
              <w:t>export interface PackRegistryCapabilityV1 {</w:t>
            </w:r>
            <w:r>
              <w:br/>
            </w:r>
            <w:r>
              <w:rPr>
                <w:rFonts w:ascii="Liberation Mono" w:hAnsi="Liberation Mono"/>
                <w:b w:val="0"/>
                <w:i w:val="0"/>
                <w:color w:val="2A3240"/>
                <w:sz w:val="17"/>
              </w:rPr>
              <w:t xml:space="preserve">  search(request: PackSearchRequestV1): Promise&lt;PackSearchResultV1[]&gt;;</w:t>
            </w:r>
            <w:r>
              <w:br/>
            </w:r>
            <w:r>
              <w:rPr>
                <w:rFonts w:ascii="Liberation Mono" w:hAnsi="Liberation Mono"/>
                <w:b w:val="0"/>
                <w:i w:val="0"/>
                <w:color w:val="2A3240"/>
                <w:sz w:val="17"/>
              </w:rPr>
              <w:t xml:space="preserve">  resolve(spec: PackSpecV1): Promise&lt;PackManifestV1&gt;;</w:t>
            </w:r>
            <w:r>
              <w:br/>
            </w:r>
            <w:r>
              <w:rPr>
                <w:rFonts w:ascii="Liberation Mono" w:hAnsi="Liberation Mono"/>
                <w:b w:val="0"/>
                <w:i w:val="0"/>
                <w:color w:val="2A3240"/>
                <w:sz w:val="17"/>
              </w:rPr>
              <w:t xml:space="preserve">  pull(manifest: PackManifestV1): Promise&lt;Uint8Array&gt;;</w:t>
            </w:r>
            <w:r>
              <w:br/>
            </w:r>
            <w:r>
              <w:rPr>
                <w:rFonts w:ascii="Liberation Mono" w:hAnsi="Liberation Mono"/>
                <w:b w:val="0"/>
                <w:i w:val="0"/>
                <w:color w:val="2A3240"/>
                <w:sz w:val="17"/>
              </w:rPr>
              <w:t xml:space="preserve">  publish?(request: PublishPackRequestV1): Promise&lt;PublishedPackV1&gt;;</w:t>
            </w:r>
            <w:r>
              <w:br/>
            </w:r>
            <w:r>
              <w:rPr>
                <w:rFonts w:ascii="Liberation Mono" w:hAnsi="Liberation Mono"/>
                <w:b w:val="0"/>
                <w:i w:val="0"/>
                <w:color w:val="2A3240"/>
                <w:sz w:val="17"/>
              </w:rPr>
              <w:t xml:space="preserve">  yank?(request: YankPackRequestV1): Promise&lt;void&gt;;</w:t>
            </w:r>
            <w:r>
              <w:br/>
            </w:r>
            <w:r>
              <w:rPr>
                <w:rFonts w:ascii="Liberation Mono" w:hAnsi="Liberation Mono"/>
                <w:b w:val="0"/>
                <w:i w:val="0"/>
                <w:color w:val="2A3240"/>
                <w:sz w:val="17"/>
              </w:rPr>
              <w:t>}</w:t>
            </w:r>
            <w:r>
              <w:br/>
            </w:r>
            <w:r>
              <w:rPr>
                <w:rFonts w:ascii="Liberation Mono" w:hAnsi="Liberation Mono"/>
                <w:b w:val="0"/>
                <w:i w:val="0"/>
                <w:color w:val="2A3240"/>
                <w:sz w:val="17"/>
              </w:rPr>
            </w:r>
            <w:r>
              <w:br/>
            </w:r>
            <w:r>
              <w:rPr>
                <w:rFonts w:ascii="Liberation Mono" w:hAnsi="Liberation Mono"/>
                <w:b w:val="0"/>
                <w:i w:val="0"/>
                <w:color w:val="2A3240"/>
                <w:sz w:val="17"/>
              </w:rPr>
              <w:t>export interface SkillDefinitionV1 {</w:t>
            </w:r>
            <w:r>
              <w:br/>
            </w:r>
            <w:r>
              <w:rPr>
                <w:rFonts w:ascii="Liberation Mono" w:hAnsi="Liberation Mono"/>
                <w:b w:val="0"/>
                <w:i w:val="0"/>
                <w:color w:val="2A3240"/>
                <w:sz w:val="17"/>
              </w:rPr>
              <w:t xml:space="preserve">  id: string;</w:t>
            </w:r>
            <w:r>
              <w:br/>
            </w:r>
            <w:r>
              <w:rPr>
                <w:rFonts w:ascii="Liberation Mono" w:hAnsi="Liberation Mono"/>
                <w:b w:val="0"/>
                <w:i w:val="0"/>
                <w:color w:val="2A3240"/>
                <w:sz w:val="17"/>
              </w:rPr>
              <w:t xml:space="preserve">  version: string;</w:t>
            </w:r>
            <w:r>
              <w:br/>
            </w:r>
            <w:r>
              <w:rPr>
                <w:rFonts w:ascii="Liberation Mono" w:hAnsi="Liberation Mono"/>
                <w:b w:val="0"/>
                <w:i w:val="0"/>
                <w:color w:val="2A3240"/>
                <w:sz w:val="17"/>
              </w:rPr>
              <w:t xml:space="preserve">  description: string;</w:t>
            </w:r>
            <w:r>
              <w:br/>
            </w:r>
            <w:r>
              <w:rPr>
                <w:rFonts w:ascii="Liberation Mono" w:hAnsi="Liberation Mono"/>
                <w:b w:val="0"/>
                <w:i w:val="0"/>
                <w:color w:val="2A3240"/>
                <w:sz w:val="17"/>
              </w:rPr>
              <w:t xml:space="preserve">  triggers: string[];</w:t>
            </w:r>
            <w:r>
              <w:br/>
            </w:r>
            <w:r>
              <w:rPr>
                <w:rFonts w:ascii="Liberation Mono" w:hAnsi="Liberation Mono"/>
                <w:b w:val="0"/>
                <w:i w:val="0"/>
                <w:color w:val="2A3240"/>
                <w:sz w:val="17"/>
              </w:rPr>
              <w:t xml:space="preserve">  domains: string[];</w:t>
            </w:r>
            <w:r>
              <w:br/>
            </w:r>
            <w:r>
              <w:rPr>
                <w:rFonts w:ascii="Liberation Mono" w:hAnsi="Liberation Mono"/>
                <w:b w:val="0"/>
                <w:i w:val="0"/>
                <w:color w:val="2A3240"/>
                <w:sz w:val="17"/>
              </w:rPr>
              <w:t xml:space="preserve">  inputSchema?: JsonSchema;</w:t>
            </w:r>
            <w:r>
              <w:br/>
            </w:r>
            <w:r>
              <w:rPr>
                <w:rFonts w:ascii="Liberation Mono" w:hAnsi="Liberation Mono"/>
                <w:b w:val="0"/>
                <w:i w:val="0"/>
                <w:color w:val="2A3240"/>
                <w:sz w:val="17"/>
              </w:rPr>
              <w:t xml:space="preserve">  outputSchema?: JsonSchema;</w:t>
            </w:r>
            <w:r>
              <w:br/>
            </w:r>
            <w:r>
              <w:rPr>
                <w:rFonts w:ascii="Liberation Mono" w:hAnsi="Liberation Mono"/>
                <w:b w:val="0"/>
                <w:i w:val="0"/>
                <w:color w:val="2A3240"/>
                <w:sz w:val="17"/>
              </w:rPr>
              <w:t xml:space="preserve">  instructions?: string;</w:t>
            </w:r>
            <w:r>
              <w:br/>
            </w:r>
            <w:r>
              <w:rPr>
                <w:rFonts w:ascii="Liberation Mono" w:hAnsi="Liberation Mono"/>
                <w:b w:val="0"/>
                <w:i w:val="0"/>
                <w:color w:val="2A3240"/>
                <w:sz w:val="17"/>
              </w:rPr>
              <w:t xml:space="preserve">  requiredCapabilities: string[];</w:t>
            </w:r>
            <w:r>
              <w:br/>
            </w:r>
            <w:r>
              <w:rPr>
                <w:rFonts w:ascii="Liberation Mono" w:hAnsi="Liberation Mono"/>
                <w:b w:val="0"/>
                <w:i w:val="0"/>
                <w:color w:val="2A3240"/>
                <w:sz w:val="17"/>
              </w:rPr>
              <w:t xml:space="preserve">  requiredTools: string[];</w:t>
            </w:r>
            <w:r>
              <w:br/>
            </w:r>
            <w:r>
              <w:rPr>
                <w:rFonts w:ascii="Liberation Mono" w:hAnsi="Liberation Mono"/>
                <w:b w:val="0"/>
                <w:i w:val="0"/>
                <w:color w:val="2A3240"/>
                <w:sz w:val="17"/>
              </w:rPr>
              <w:t xml:space="preserve">  knowledgeRefs?: string[];</w:t>
            </w:r>
            <w:r>
              <w:br/>
            </w:r>
            <w:r>
              <w:rPr>
                <w:rFonts w:ascii="Liberation Mono" w:hAnsi="Liberation Mono"/>
                <w:b w:val="0"/>
                <w:i w:val="0"/>
                <w:color w:val="2A3240"/>
                <w:sz w:val="17"/>
              </w:rPr>
              <w:t xml:space="preserve">  examples?: SkillExampleV1[];</w:t>
            </w:r>
            <w:r>
              <w:br/>
            </w:r>
            <w:r>
              <w:rPr>
                <w:rFonts w:ascii="Liberation Mono" w:hAnsi="Liberation Mono"/>
                <w:b w:val="0"/>
                <w:i w:val="0"/>
                <w:color w:val="2A3240"/>
                <w:sz w:val="17"/>
              </w:rPr>
              <w:t xml:space="preserve">  evaluations?: string[];</w:t>
            </w:r>
            <w:r>
              <w:br/>
            </w:r>
            <w:r>
              <w:rPr>
                <w:rFonts w:ascii="Liberation Mono" w:hAnsi="Liberation Mono"/>
                <w:b w:val="0"/>
                <w:i w:val="0"/>
                <w:color w:val="2A3240"/>
                <w:sz w:val="17"/>
              </w:rPr>
              <w:t xml:space="preserve">  provenance: SkillProvenanceV1;</w:t>
            </w:r>
            <w:r>
              <w:br/>
            </w:r>
            <w:r>
              <w:rPr>
                <w:rFonts w:ascii="Liberation Mono" w:hAnsi="Liberation Mono"/>
                <w:b w:val="0"/>
                <w:i w:val="0"/>
                <w:color w:val="2A3240"/>
                <w:sz w:val="17"/>
              </w:rPr>
              <w:t xml:space="preserve">  contentHash: string;</w:t>
            </w:r>
            <w:r>
              <w:br/>
            </w:r>
            <w:r>
              <w:rPr>
                <w:rFonts w:ascii="Liberation Mono" w:hAnsi="Liberation Mono"/>
                <w:b w:val="0"/>
                <w:i w:val="0"/>
                <w:color w:val="2A3240"/>
                <w:sz w:val="17"/>
              </w:rPr>
              <w:t>}</w:t>
            </w:r>
          </w:p>
        </w:tc>
      </w:tr>
    </w:tbl>
    <w:p>
      <w:pPr>
        <w:spacing w:after="20"/>
      </w:pPr>
    </w:p>
    <w:p>
      <w:pPr>
        <w:pStyle w:val="Heading1"/>
        <w:keepNext/>
        <w:spacing w:before="280" w:after="120"/>
      </w:pPr>
      <w:r>
        <w:rPr>
          <w:rFonts w:ascii="Liberation Sans" w:hAnsi="Liberation Sans"/>
          <w:b/>
          <w:color w:val="17233C"/>
          <w:sz w:val="36"/>
        </w:rPr>
        <w:t>8. Runtime lifecycle</w:t>
      </w:r>
    </w:p>
    <w:p>
      <w:pPr>
        <w:pStyle w:val="ListNumber"/>
        <w:spacing w:before="0" w:after="80" w:line="259" w:lineRule="auto"/>
        <w:ind w:left="346" w:hanging="230"/>
      </w:pPr>
      <w:r>
        <w:rPr>
          <w:rFonts w:ascii="Liberation Sans" w:hAnsi="Liberation Sans"/>
          <w:b w:val="0"/>
          <w:i w:val="0"/>
          <w:color w:val="1D2433"/>
        </w:rPr>
        <w:t>Normalize the incoming request into TaskV1 and validate hard constraints.</w:t>
      </w:r>
    </w:p>
    <w:p>
      <w:pPr>
        <w:pStyle w:val="ListNumber"/>
        <w:spacing w:before="0" w:after="80" w:line="259" w:lineRule="auto"/>
        <w:ind w:left="346" w:hanging="230"/>
      </w:pPr>
      <w:r>
        <w:rPr>
          <w:rFonts w:ascii="Liberation Sans" w:hAnsi="Liberation Sans"/>
          <w:b w:val="0"/>
          <w:i w:val="0"/>
          <w:color w:val="1D2433"/>
        </w:rPr>
        <w:t>Resolve local pinned packs from knolo.lock.json and validate format, digest, compatibility, license, and policy.</w:t>
      </w:r>
    </w:p>
    <w:p>
      <w:pPr>
        <w:pStyle w:val="ListNumber"/>
        <w:spacing w:before="0" w:after="80" w:line="259" w:lineRule="auto"/>
        <w:ind w:left="346" w:hanging="230"/>
      </w:pPr>
      <w:r>
        <w:rPr>
          <w:rFonts w:ascii="Liberation Sans" w:hAnsi="Liberation Sans"/>
          <w:b w:val="0"/>
          <w:i w:val="0"/>
          <w:color w:val="1D2433"/>
        </w:rPr>
        <w:t>Retrieve task evidence from mounted Knowledge Images using deterministic lexical-first retrieval; optional semantic reranking remains additive.</w:t>
      </w:r>
    </w:p>
    <w:p>
      <w:pPr>
        <w:pStyle w:val="ListNumber"/>
        <w:spacing w:before="0" w:after="80" w:line="259" w:lineRule="auto"/>
        <w:ind w:left="346" w:hanging="230"/>
      </w:pPr>
      <w:r>
        <w:rPr>
          <w:rFonts w:ascii="Liberation Sans" w:hAnsi="Liberation Sans"/>
          <w:b w:val="0"/>
          <w:i w:val="0"/>
          <w:color w:val="1D2433"/>
        </w:rPr>
        <w:t>Recall bounded Cortex experience relevant to the task.</w:t>
      </w:r>
    </w:p>
    <w:p>
      <w:pPr>
        <w:pStyle w:val="ListNumber"/>
        <w:spacing w:before="0" w:after="80" w:line="259" w:lineRule="auto"/>
        <w:ind w:left="346" w:hanging="230"/>
      </w:pPr>
      <w:r>
        <w:rPr>
          <w:rFonts w:ascii="Liberation Sans" w:hAnsi="Liberation Sans"/>
          <w:b w:val="0"/>
          <w:i w:val="0"/>
          <w:color w:val="1D2433"/>
        </w:rPr>
        <w:t>Resolve applicable local skills. If insufficient and registry acquisition is authorized, query Hub, verify candidates, pull immutable bytes, mount with Core, and stage activation.</w:t>
      </w:r>
    </w:p>
    <w:p>
      <w:pPr>
        <w:pStyle w:val="ListNumber"/>
        <w:spacing w:before="0" w:after="80" w:line="259" w:lineRule="auto"/>
        <w:ind w:left="346" w:hanging="230"/>
      </w:pPr>
      <w:r>
        <w:rPr>
          <w:rFonts w:ascii="Liberation Sans" w:hAnsi="Liberation Sans"/>
          <w:b w:val="0"/>
          <w:i w:val="0"/>
          <w:color w:val="1D2433"/>
        </w:rPr>
        <w:t>Freeze the dependency set and calculate HarnessDependencyRootV1. No pack changes after this point.</w:t>
      </w:r>
    </w:p>
    <w:p>
      <w:pPr>
        <w:pStyle w:val="ListNumber"/>
        <w:spacing w:before="0" w:after="80" w:line="259" w:lineRule="auto"/>
        <w:ind w:left="346" w:hanging="230"/>
      </w:pPr>
      <w:r>
        <w:rPr>
          <w:rFonts w:ascii="Liberation Sans" w:hAnsi="Liberation Sans"/>
          <w:b w:val="0"/>
          <w:i w:val="0"/>
          <w:color w:val="1D2433"/>
        </w:rPr>
        <w:t>Calculate effective authority and compile ContextEnvelopeV1 within token/context budget.</w:t>
      </w:r>
    </w:p>
    <w:p>
      <w:pPr>
        <w:pStyle w:val="ListNumber"/>
        <w:spacing w:before="0" w:after="80" w:line="259" w:lineRule="auto"/>
        <w:ind w:left="346" w:hanging="230"/>
      </w:pPr>
      <w:r>
        <w:rPr>
          <w:rFonts w:ascii="Liberation Sans" w:hAnsi="Liberation Sans"/>
          <w:b w:val="0"/>
          <w:i w:val="0"/>
          <w:color w:val="1D2433"/>
        </w:rPr>
        <w:t>Invoke the agent through AgentAdapter. Intercept tools/events according to integration level.</w:t>
      </w:r>
    </w:p>
    <w:p>
      <w:pPr>
        <w:pStyle w:val="ListNumber"/>
        <w:spacing w:before="0" w:after="80" w:line="259" w:lineRule="auto"/>
        <w:ind w:left="346" w:hanging="230"/>
      </w:pPr>
      <w:r>
        <w:rPr>
          <w:rFonts w:ascii="Liberation Sans" w:hAnsi="Liberation Sans"/>
          <w:b w:val="0"/>
          <w:i w:val="0"/>
          <w:color w:val="1D2433"/>
        </w:rPr>
        <w:t>On failure, execute RecoveryPolicyV1: bounded retry -&gt; alternate strategy -&gt; fallback skill -&gt; alternate tool -&gt; child delegation -&gt; HITL -&gt; graceful partial result.</w:t>
      </w:r>
    </w:p>
    <w:p>
      <w:pPr>
        <w:pStyle w:val="ListNumber"/>
        <w:spacing w:before="0" w:after="80" w:line="259" w:lineRule="auto"/>
        <w:ind w:left="346" w:hanging="230"/>
      </w:pPr>
      <w:r>
        <w:rPr>
          <w:rFonts w:ascii="Liberation Sans" w:hAnsi="Liberation Sans"/>
          <w:b w:val="0"/>
          <w:i w:val="0"/>
          <w:color w:val="1D2433"/>
        </w:rPr>
        <w:t>Evaluate outcome against deterministic criteria first, optional host-provided semantic judge second.</w:t>
      </w:r>
    </w:p>
    <w:p>
      <w:pPr>
        <w:pStyle w:val="ListNumber"/>
        <w:spacing w:before="0" w:after="80" w:line="259" w:lineRule="auto"/>
        <w:ind w:left="346" w:hanging="230"/>
      </w:pPr>
      <w:r>
        <w:rPr>
          <w:rFonts w:ascii="Liberation Sans" w:hAnsi="Liberation Sans"/>
          <w:b w:val="0"/>
          <w:i w:val="0"/>
          <w:color w:val="1D2433"/>
        </w:rPr>
        <w:t>Persist bounded experience, receipts, events, evaluation, and any lesson/skill candidate. Promote only through policy/evaluation approval.</w:t>
      </w:r>
    </w:p>
    <w:tbl>
      <w:tblPr>
        <w:tblW w:type="auto" w:w="0"/>
        <w:jc w:val="center"/>
        <w:tblLayout w:type="fixed"/>
        <w:tblLook w:firstColumn="1" w:firstRow="1" w:lastColumn="0" w:lastRow="0" w:noHBand="0" w:noVBand="1" w:val="04A0"/>
      </w:tblPr>
      <w:tblGrid>
        <w:gridCol w:w="9994"/>
      </w:tblGrid>
      <w:tr>
        <w:trPr>
          <w:cantSplit/>
        </w:trPr>
        <w:tc>
          <w:tcPr>
            <w:tcW w:type="dxa" w:w="9576"/>
            <w:shd w:fill="EAF8F7"/>
            <w:tcMar>
              <w:top w:w="150" w:type="dxa"/>
              <w:start w:w="180" w:type="dxa"/>
              <w:bottom w:w="150" w:type="dxa"/>
              <w:end w:w="180" w:type="dxa"/>
            </w:tcMar>
            <w:tcBorders>
              <w:top w:val="nil"/>
              <w:left w:val="single" w:sz="18" w:color="149C95"/>
              <w:bottom w:val="nil"/>
              <w:right w:val="nil"/>
            </w:tcBorders>
          </w:tcPr>
          <w:p>
            <w:pPr>
              <w:spacing w:before="0" w:after="60" w:line="259" w:lineRule="auto"/>
            </w:pPr>
            <w:r>
              <w:rPr>
                <w:rFonts w:ascii="Liberation Sans" w:hAnsi="Liberation Sans"/>
                <w:b/>
                <w:i w:val="0"/>
                <w:color w:val="149C95"/>
                <w:sz w:val="23"/>
              </w:rPr>
              <w:t>Freeze point</w:t>
            </w:r>
          </w:p>
          <w:p>
            <w:pPr>
              <w:spacing w:before="0" w:after="0" w:line="259" w:lineRule="auto"/>
            </w:pPr>
            <w:r>
              <w:rPr>
                <w:rFonts w:ascii="Liberation Sans" w:hAnsi="Liberation Sans"/>
                <w:b w:val="0"/>
                <w:i w:val="0"/>
                <w:color w:val="1D2433"/>
                <w:sz w:val="21"/>
              </w:rPr>
              <w:t>Once HarnessDependencyRootV1 is computed for a run, new Hub versions may be discovered but may not become active until a subsequent run. This preserves reproducibility and replay.</w:t>
            </w:r>
          </w:p>
        </w:tc>
      </w:tr>
    </w:tbl>
    <w:p>
      <w:pPr>
        <w:spacing w:after="20"/>
      </w:pPr>
    </w:p>
    <w:p>
      <w:pPr>
        <w:pStyle w:val="Heading1"/>
        <w:keepNext/>
        <w:spacing w:before="280" w:after="120"/>
      </w:pPr>
      <w:r>
        <w:rPr>
          <w:rFonts w:ascii="Liberation Sans" w:hAnsi="Liberation Sans"/>
          <w:b/>
          <w:color w:val="17233C"/>
          <w:sz w:val="36"/>
        </w:rPr>
        <w:t>9. Hub, CLI, and live Capability Packs</w:t>
      </w:r>
    </w:p>
    <w:p>
      <w:pPr>
        <w:spacing w:before="0" w:after="140" w:line="269" w:lineRule="auto"/>
      </w:pPr>
      <w:r>
        <w:rPr>
          <w:rFonts w:ascii="Liberation Sans" w:hAnsi="Liberation Sans"/>
          <w:b w:val="0"/>
          <w:i w:val="0"/>
          <w:color w:val="1D2433"/>
        </w:rPr>
        <w:t>Hub is part of the runtime supply chain, not an optional marketing site. The current system already has the correct split: Hub returns metadata/manifests; artifacts download directly from content-addressed Vercel Blob; Core verifies locally; the CLI manages add/publish/yank, cache, and lockfile behavior.</w:t>
      </w:r>
    </w:p>
    <w:p>
      <w:pPr>
        <w:pStyle w:val="Heading2"/>
        <w:keepNext/>
        <w:spacing w:before="180" w:after="80"/>
      </w:pPr>
      <w:r>
        <w:rPr>
          <w:rFonts w:ascii="Liberation Sans" w:hAnsi="Liberation Sans"/>
          <w:b/>
          <w:color w:val="17233C"/>
          <w:sz w:val="27"/>
        </w:rPr>
        <w:t>9.1 Do not create a second skill registry</w:t>
      </w:r>
    </w:p>
    <w:p>
      <w:pPr>
        <w:spacing w:before="0" w:after="140" w:line="269" w:lineRule="auto"/>
      </w:pPr>
      <w:r>
        <w:rPr>
          <w:rFonts w:ascii="Liberation Sans" w:hAnsi="Liberation Sans"/>
          <w:b w:val="0"/>
          <w:i w:val="0"/>
          <w:color w:val="1D2433"/>
        </w:rPr>
        <w:t>Skills, policies, evaluations, workflows, and agent profiles should remain metadata/objects carried by the existing .knolo artifact and indexed by Hub. They are categories and capability surfaces, not new binary formats.</w:t>
      </w:r>
    </w:p>
    <w:tbl>
      <w:tblPr>
        <w:tblW w:type="auto" w:w="0"/>
        <w:jc w:val="center"/>
        <w:tblLayout w:type="fixed"/>
        <w:tblLook w:firstColumn="1" w:firstRow="1" w:lastColumn="0" w:lastRow="0" w:noHBand="0" w:noVBand="1" w:val="04A0"/>
      </w:tblPr>
      <w:tblGrid>
        <w:gridCol w:w="9994"/>
      </w:tblGrid>
      <w:tr>
        <w:trPr>
          <w:cantSplit/>
        </w:trPr>
        <w:tc>
          <w:tcPr>
            <w:tcW w:type="dxa" w:w="9576"/>
            <w:shd w:fill="F6F7F9"/>
            <w:tcMar>
              <w:top w:w="120" w:type="dxa"/>
              <w:start w:w="150" w:type="dxa"/>
              <w:bottom w:w="120" w:type="dxa"/>
              <w:end w:w="150" w:type="dxa"/>
            </w:tcMar>
            <w:tcBorders>
              <w:top w:val="single" w:sz="5" w:color="D8E0EA"/>
              <w:left w:val="single" w:sz="5" w:color="D8E0EA"/>
              <w:bottom w:val="single" w:sz="5" w:color="D8E0EA"/>
              <w:right w:val="single" w:sz="5" w:color="D8E0EA"/>
            </w:tcBorders>
          </w:tcPr>
          <w:p>
            <w:pPr>
              <w:spacing w:before="0" w:after="0" w:line="240" w:lineRule="auto"/>
            </w:pPr>
            <w:r>
              <w:rPr>
                <w:rFonts w:ascii="Liberation Mono" w:hAnsi="Liberation Mono"/>
                <w:b w:val="0"/>
                <w:i w:val="0"/>
                <w:color w:val="2A3240"/>
                <w:sz w:val="17"/>
              </w:rPr>
              <w:t>.knolo</w:t>
            </w:r>
            <w:r>
              <w:br/>
            </w:r>
            <w:r>
              <w:rPr>
                <w:rFonts w:ascii="Liberation Mono" w:hAnsi="Liberation Mono"/>
                <w:b w:val="0"/>
                <w:i w:val="0"/>
                <w:color w:val="2A3240"/>
                <w:sz w:val="17"/>
              </w:rPr>
              <w:t xml:space="preserve">  knowledge / evidence / namespaces / provenance</w:t>
            </w:r>
            <w:r>
              <w:br/>
            </w:r>
            <w:r>
              <w:rPr>
                <w:rFonts w:ascii="Liberation Mono" w:hAnsi="Liberation Mono"/>
                <w:b w:val="0"/>
                <w:i w:val="0"/>
                <w:color w:val="2A3240"/>
                <w:sz w:val="17"/>
              </w:rPr>
              <w:t xml:space="preserve">  + optional skill definitions</w:t>
            </w:r>
            <w:r>
              <w:br/>
            </w:r>
            <w:r>
              <w:rPr>
                <w:rFonts w:ascii="Liberation Mono" w:hAnsi="Liberation Mono"/>
                <w:b w:val="0"/>
                <w:i w:val="0"/>
                <w:color w:val="2A3240"/>
                <w:sz w:val="17"/>
              </w:rPr>
              <w:t xml:space="preserve">  + optional policy requirements</w:t>
            </w:r>
            <w:r>
              <w:br/>
            </w:r>
            <w:r>
              <w:rPr>
                <w:rFonts w:ascii="Liberation Mono" w:hAnsi="Liberation Mono"/>
                <w:b w:val="0"/>
                <w:i w:val="0"/>
                <w:color w:val="2A3240"/>
                <w:sz w:val="17"/>
              </w:rPr>
              <w:t xml:space="preserve">  + optional evaluation suites</w:t>
            </w:r>
            <w:r>
              <w:br/>
            </w:r>
            <w:r>
              <w:rPr>
                <w:rFonts w:ascii="Liberation Mono" w:hAnsi="Liberation Mono"/>
                <w:b w:val="0"/>
                <w:i w:val="0"/>
                <w:color w:val="2A3240"/>
                <w:sz w:val="17"/>
              </w:rPr>
              <w:t xml:space="preserve">  + optional workflow definitions</w:t>
            </w:r>
            <w:r>
              <w:br/>
            </w:r>
            <w:r>
              <w:rPr>
                <w:rFonts w:ascii="Liberation Mono" w:hAnsi="Liberation Mono"/>
                <w:b w:val="0"/>
                <w:i w:val="0"/>
                <w:color w:val="2A3240"/>
                <w:sz w:val="17"/>
              </w:rPr>
              <w:t xml:space="preserve">  + optional agent profiles</w:t>
            </w:r>
            <w:r>
              <w:br/>
            </w:r>
            <w:r>
              <w:rPr>
                <w:rFonts w:ascii="Liberation Mono" w:hAnsi="Liberation Mono"/>
                <w:b w:val="0"/>
                <w:i w:val="0"/>
                <w:color w:val="2A3240"/>
                <w:sz w:val="17"/>
              </w:rPr>
              <w:t xml:space="preserve">  + optional pack dependencies</w:t>
            </w:r>
            <w:r>
              <w:br/>
            </w:r>
            <w:r>
              <w:rPr>
                <w:rFonts w:ascii="Liberation Mono" w:hAnsi="Liberation Mono"/>
                <w:b w:val="0"/>
                <w:i w:val="0"/>
                <w:color w:val="2A3240"/>
                <w:sz w:val="17"/>
              </w:rPr>
              <w:t xml:space="preserve">  + tests / examples / compatibility metadata</w:t>
            </w:r>
          </w:p>
        </w:tc>
      </w:tr>
    </w:tbl>
    <w:p>
      <w:pPr>
        <w:spacing w:after="20"/>
      </w:pPr>
    </w:p>
    <w:p>
      <w:pPr>
        <w:pStyle w:val="Heading2"/>
        <w:keepNext/>
        <w:spacing w:before="180" w:after="80"/>
      </w:pPr>
      <w:r>
        <w:rPr>
          <w:rFonts w:ascii="Liberation Sans" w:hAnsi="Liberation Sans"/>
          <w:b/>
          <w:color w:val="17233C"/>
          <w:sz w:val="27"/>
        </w:rPr>
        <w:t>9.2 Hub capability metadata</w:t>
      </w:r>
    </w:p>
    <w:tbl>
      <w:tblPr>
        <w:tblW w:type="auto" w:w="0"/>
        <w:jc w:val="center"/>
        <w:tblLayout w:type="fixed"/>
        <w:tblLook w:firstColumn="1" w:firstRow="1" w:lastColumn="0" w:lastRow="0" w:noHBand="0" w:noVBand="1" w:val="04A0"/>
      </w:tblPr>
      <w:tblGrid>
        <w:gridCol w:w="9994"/>
      </w:tblGrid>
      <w:tr>
        <w:trPr>
          <w:cantSplit/>
        </w:trPr>
        <w:tc>
          <w:tcPr>
            <w:tcW w:type="dxa" w:w="9576"/>
            <w:shd w:fill="F6F7F9"/>
            <w:tcMar>
              <w:top w:w="120" w:type="dxa"/>
              <w:start w:w="150" w:type="dxa"/>
              <w:bottom w:w="120" w:type="dxa"/>
              <w:end w:w="150" w:type="dxa"/>
            </w:tcMar>
            <w:tcBorders>
              <w:top w:val="single" w:sz="5" w:color="D8E0EA"/>
              <w:left w:val="single" w:sz="5" w:color="D8E0EA"/>
              <w:bottom w:val="single" w:sz="5" w:color="D8E0EA"/>
              <w:right w:val="single" w:sz="5" w:color="D8E0EA"/>
            </w:tcBorders>
          </w:tcPr>
          <w:p>
            <w:pPr>
              <w:spacing w:before="0" w:after="0" w:line="240" w:lineRule="auto"/>
            </w:pPr>
            <w:r>
              <w:rPr>
                <w:rFonts w:ascii="Liberation Mono" w:hAnsi="Liberation Mono"/>
                <w:b w:val="0"/>
                <w:i w:val="0"/>
                <w:color w:val="2A3240"/>
                <w:sz w:val="17"/>
              </w:rPr>
              <w:t>interface CapabilityMetadataV1 {</w:t>
            </w:r>
            <w:r>
              <w:br/>
            </w:r>
            <w:r>
              <w:rPr>
                <w:rFonts w:ascii="Liberation Mono" w:hAnsi="Liberation Mono"/>
                <w:b w:val="0"/>
                <w:i w:val="0"/>
                <w:color w:val="2A3240"/>
                <w:sz w:val="17"/>
              </w:rPr>
              <w:t xml:space="preserve">  kinds: ('knowledge'|'skill'|'policy'|'evaluation'|'agent'|'workflow')[];</w:t>
            </w:r>
            <w:r>
              <w:br/>
            </w:r>
            <w:r>
              <w:rPr>
                <w:rFonts w:ascii="Liberation Mono" w:hAnsi="Liberation Mono"/>
                <w:b w:val="0"/>
                <w:i w:val="0"/>
                <w:color w:val="2A3240"/>
                <w:sz w:val="17"/>
              </w:rPr>
              <w:t xml:space="preserve">  skillIds: string[];</w:t>
            </w:r>
            <w:r>
              <w:br/>
            </w:r>
            <w:r>
              <w:rPr>
                <w:rFonts w:ascii="Liberation Mono" w:hAnsi="Liberation Mono"/>
                <w:b w:val="0"/>
                <w:i w:val="0"/>
                <w:color w:val="2A3240"/>
                <w:sz w:val="17"/>
              </w:rPr>
              <w:t xml:space="preserve">  requiredCapabilities: string[];</w:t>
            </w:r>
            <w:r>
              <w:br/>
            </w:r>
            <w:r>
              <w:rPr>
                <w:rFonts w:ascii="Liberation Mono" w:hAnsi="Liberation Mono"/>
                <w:b w:val="0"/>
                <w:i w:val="0"/>
                <w:color w:val="2A3240"/>
                <w:sz w:val="17"/>
              </w:rPr>
              <w:t xml:space="preserve">  requiredTools: string[];</w:t>
            </w:r>
            <w:r>
              <w:br/>
            </w:r>
            <w:r>
              <w:rPr>
                <w:rFonts w:ascii="Liberation Mono" w:hAnsi="Liberation Mono"/>
                <w:b w:val="0"/>
                <w:i w:val="0"/>
                <w:color w:val="2A3240"/>
                <w:sz w:val="17"/>
              </w:rPr>
              <w:t xml:space="preserve">  namespaces: string[];</w:t>
            </w:r>
            <w:r>
              <w:br/>
            </w:r>
            <w:r>
              <w:rPr>
                <w:rFonts w:ascii="Liberation Mono" w:hAnsi="Liberation Mono"/>
                <w:b w:val="0"/>
                <w:i w:val="0"/>
                <w:color w:val="2A3240"/>
                <w:sz w:val="17"/>
              </w:rPr>
              <w:t xml:space="preserve">  compatibleContracts: { core?: number[]; agents?: number[] };</w:t>
            </w:r>
            <w:r>
              <w:br/>
            </w:r>
            <w:r>
              <w:rPr>
                <w:rFonts w:ascii="Liberation Mono" w:hAnsi="Liberation Mono"/>
                <w:b w:val="0"/>
                <w:i w:val="0"/>
                <w:color w:val="2A3240"/>
                <w:sz w:val="17"/>
              </w:rPr>
              <w:t xml:space="preserve">  dependencies?: PackDependencyV1[];</w:t>
            </w:r>
            <w:r>
              <w:br/>
            </w:r>
            <w:r>
              <w:rPr>
                <w:rFonts w:ascii="Liberation Mono" w:hAnsi="Liberation Mono"/>
                <w:b w:val="0"/>
                <w:i w:val="0"/>
                <w:color w:val="2A3240"/>
                <w:sz w:val="17"/>
              </w:rPr>
              <w:t xml:space="preserve">  evaluationCount?: number;</w:t>
            </w:r>
            <w:r>
              <w:br/>
            </w:r>
            <w:r>
              <w:rPr>
                <w:rFonts w:ascii="Liberation Mono" w:hAnsi="Liberation Mono"/>
                <w:b w:val="0"/>
                <w:i w:val="0"/>
                <w:color w:val="2A3240"/>
                <w:sz w:val="17"/>
              </w:rPr>
              <w:t xml:space="preserve">  agentProfiles?: string[];</w:t>
            </w:r>
            <w:r>
              <w:br/>
            </w:r>
            <w:r>
              <w:rPr>
                <w:rFonts w:ascii="Liberation Mono" w:hAnsi="Liberation Mono"/>
                <w:b w:val="0"/>
                <w:i w:val="0"/>
                <w:color w:val="2A3240"/>
                <w:sz w:val="17"/>
              </w:rPr>
              <w:t>}</w:t>
            </w:r>
          </w:p>
        </w:tc>
      </w:tr>
    </w:tbl>
    <w:p>
      <w:pPr>
        <w:spacing w:after="20"/>
      </w:pPr>
    </w:p>
    <w:p>
      <w:pPr>
        <w:pStyle w:val="Heading2"/>
        <w:keepNext/>
        <w:spacing w:before="180" w:after="80"/>
      </w:pPr>
      <w:r>
        <w:rPr>
          <w:rFonts w:ascii="Liberation Sans" w:hAnsi="Liberation Sans"/>
          <w:b/>
          <w:color w:val="17233C"/>
          <w:sz w:val="27"/>
        </w:rPr>
        <w:t>9.3 Harness dependency root</w:t>
      </w:r>
    </w:p>
    <w:tbl>
      <w:tblPr>
        <w:tblW w:type="auto" w:w="0"/>
        <w:jc w:val="center"/>
        <w:tblLayout w:type="fixed"/>
        <w:tblLook w:firstColumn="1" w:firstRow="1" w:lastColumn="0" w:lastRow="0" w:noHBand="0" w:noVBand="1" w:val="04A0"/>
      </w:tblPr>
      <w:tblGrid>
        <w:gridCol w:w="9994"/>
      </w:tblGrid>
      <w:tr>
        <w:trPr>
          <w:cantSplit/>
        </w:trPr>
        <w:tc>
          <w:tcPr>
            <w:tcW w:type="dxa" w:w="9576"/>
            <w:shd w:fill="F6F7F9"/>
            <w:tcMar>
              <w:top w:w="120" w:type="dxa"/>
              <w:start w:w="150" w:type="dxa"/>
              <w:bottom w:w="120" w:type="dxa"/>
              <w:end w:w="150" w:type="dxa"/>
            </w:tcMar>
            <w:tcBorders>
              <w:top w:val="single" w:sz="5" w:color="D8E0EA"/>
              <w:left w:val="single" w:sz="5" w:color="D8E0EA"/>
              <w:bottom w:val="single" w:sz="5" w:color="D8E0EA"/>
              <w:right w:val="single" w:sz="5" w:color="D8E0EA"/>
            </w:tcBorders>
          </w:tcPr>
          <w:p>
            <w:pPr>
              <w:spacing w:before="0" w:after="0" w:line="240" w:lineRule="auto"/>
            </w:pPr>
            <w:r>
              <w:rPr>
                <w:rFonts w:ascii="Liberation Mono" w:hAnsi="Liberation Mono"/>
                <w:b w:val="0"/>
                <w:i w:val="0"/>
                <w:color w:val="2A3240"/>
                <w:sz w:val="17"/>
              </w:rPr>
              <w:t>HarnessDependencyRootV1 = H(</w:t>
            </w:r>
            <w:r>
              <w:br/>
            </w:r>
            <w:r>
              <w:rPr>
                <w:rFonts w:ascii="Liberation Mono" w:hAnsi="Liberation Mono"/>
                <w:b w:val="0"/>
                <w:i w:val="0"/>
                <w:color w:val="2A3240"/>
                <w:sz w:val="17"/>
              </w:rPr>
              <w:t xml:space="preserve">  "knolo.harness.dependencies.v1" ||</w:t>
            </w:r>
            <w:r>
              <w:br/>
            </w:r>
            <w:r>
              <w:rPr>
                <w:rFonts w:ascii="Liberation Mono" w:hAnsi="Liberation Mono"/>
                <w:b w:val="0"/>
                <w:i w:val="0"/>
                <w:color w:val="2A3240"/>
                <w:sz w:val="17"/>
              </w:rPr>
              <w:t xml:space="preserve">  canonicalCBOR(sorted([</w:t>
            </w:r>
            <w:r>
              <w:br/>
            </w:r>
            <w:r>
              <w:rPr>
                <w:rFonts w:ascii="Liberation Mono" w:hAnsi="Liberation Mono"/>
                <w:b w:val="0"/>
                <w:i w:val="0"/>
                <w:color w:val="2A3240"/>
                <w:sz w:val="17"/>
              </w:rPr>
              <w:t xml:space="preserve">    { name, version, sha256, stateRoot, role }</w:t>
            </w:r>
            <w:r>
              <w:br/>
            </w:r>
            <w:r>
              <w:rPr>
                <w:rFonts w:ascii="Liberation Mono" w:hAnsi="Liberation Mono"/>
                <w:b w:val="0"/>
                <w:i w:val="0"/>
                <w:color w:val="2A3240"/>
                <w:sz w:val="17"/>
              </w:rPr>
              <w:t xml:space="preserve">  ]))</w:t>
            </w:r>
            <w:r>
              <w:br/>
            </w:r>
            <w:r>
              <w:rPr>
                <w:rFonts w:ascii="Liberation Mono" w:hAnsi="Liberation Mono"/>
                <w:b w:val="0"/>
                <w:i w:val="0"/>
                <w:color w:val="2A3240"/>
                <w:sz w:val="17"/>
              </w:rPr>
              <w:t>)</w:t>
            </w:r>
            <w:r>
              <w:br/>
            </w:r>
            <w:r>
              <w:rPr>
                <w:rFonts w:ascii="Liberation Mono" w:hAnsi="Liberation Mono"/>
                <w:b w:val="0"/>
                <w:i w:val="0"/>
                <w:color w:val="2A3240"/>
                <w:sz w:val="17"/>
              </w:rPr>
            </w:r>
            <w:r>
              <w:br/>
            </w:r>
            <w:r>
              <w:rPr>
                <w:rFonts w:ascii="Liberation Mono" w:hAnsi="Liberation Mono"/>
                <w:b w:val="0"/>
                <w:i w:val="0"/>
                <w:color w:val="2A3240"/>
                <w:sz w:val="17"/>
              </w:rPr>
              <w:t>role = knowledge | skill | policy | evaluation | workflow</w:t>
            </w:r>
          </w:p>
        </w:tc>
      </w:tr>
    </w:tbl>
    <w:p>
      <w:pPr>
        <w:spacing w:after="20"/>
      </w:pPr>
    </w:p>
    <w:p>
      <w:pPr>
        <w:pStyle w:val="Heading2"/>
        <w:keepNext/>
        <w:spacing w:before="180" w:after="80"/>
      </w:pPr>
      <w:r>
        <w:rPr>
          <w:rFonts w:ascii="Liberation Sans" w:hAnsi="Liberation Sans"/>
          <w:b/>
          <w:color w:val="17233C"/>
          <w:sz w:val="27"/>
        </w:rPr>
        <w:t>9.4 CLI additions after harness stabilizes</w:t>
      </w:r>
    </w:p>
    <w:p>
      <w:pPr>
        <w:pStyle w:val="ListBullet"/>
        <w:spacing w:before="0" w:after="80" w:line="259" w:lineRule="auto"/>
        <w:ind w:left="317" w:hanging="202"/>
      </w:pPr>
      <w:r>
        <w:rPr>
          <w:rFonts w:ascii="Liberation Sans" w:hAnsi="Liberation Sans"/>
          <w:b w:val="0"/>
          <w:i w:val="0"/>
          <w:color w:val="1D2433"/>
        </w:rPr>
        <w:t>knolo skills search &lt;query&gt; - convenience alias over Hub capability filters; not a new registry.</w:t>
      </w:r>
    </w:p>
    <w:p>
      <w:pPr>
        <w:pStyle w:val="ListBullet"/>
        <w:spacing w:before="0" w:after="80" w:line="259" w:lineRule="auto"/>
        <w:ind w:left="317" w:hanging="202"/>
      </w:pPr>
      <w:r>
        <w:rPr>
          <w:rFonts w:ascii="Liberation Sans" w:hAnsi="Liberation Sans"/>
          <w:b w:val="0"/>
          <w:i w:val="0"/>
          <w:color w:val="1D2433"/>
        </w:rPr>
        <w:t>knolo skills list - list locally pinned capability packs and extracted skill IDs.</w:t>
      </w:r>
    </w:p>
    <w:p>
      <w:pPr>
        <w:pStyle w:val="ListBullet"/>
        <w:spacing w:before="0" w:after="80" w:line="259" w:lineRule="auto"/>
        <w:ind w:left="317" w:hanging="202"/>
      </w:pPr>
      <w:r>
        <w:rPr>
          <w:rFonts w:ascii="Liberation Sans" w:hAnsi="Liberation Sans"/>
          <w:b w:val="0"/>
          <w:i w:val="0"/>
          <w:color w:val="1D2433"/>
        </w:rPr>
        <w:t>knolo sync --check - report newer compatible immutable versions without changing the lockfile.</w:t>
      </w:r>
    </w:p>
    <w:p>
      <w:pPr>
        <w:pStyle w:val="ListBullet"/>
        <w:spacing w:before="0" w:after="80" w:line="259" w:lineRule="auto"/>
        <w:ind w:left="317" w:hanging="202"/>
      </w:pPr>
      <w:r>
        <w:rPr>
          <w:rFonts w:ascii="Liberation Sans" w:hAnsi="Liberation Sans"/>
          <w:b w:val="0"/>
          <w:i w:val="0"/>
          <w:color w:val="1D2433"/>
        </w:rPr>
        <w:t>knolo sync --update &lt;publisher/slug&gt; - download, verify, optionally run evals, then update the lockfile.</w:t>
      </w:r>
    </w:p>
    <w:p>
      <w:pPr>
        <w:pStyle w:val="ListBullet"/>
        <w:spacing w:before="0" w:after="80" w:line="259" w:lineRule="auto"/>
        <w:ind w:left="317" w:hanging="202"/>
      </w:pPr>
      <w:r>
        <w:rPr>
          <w:rFonts w:ascii="Liberation Sans" w:hAnsi="Liberation Sans"/>
          <w:b w:val="0"/>
          <w:i w:val="0"/>
          <w:color w:val="1D2433"/>
        </w:rPr>
        <w:t>knolo eval &lt;suite&gt; --agent &lt;adapter&gt; - run benchmark suites against raw and harnessed configurations.</w:t>
      </w:r>
    </w:p>
    <w:p>
      <w:pPr>
        <w:pStyle w:val="ListBullet"/>
        <w:spacing w:before="0" w:after="80" w:line="259" w:lineRule="auto"/>
        <w:ind w:left="317" w:hanging="202"/>
      </w:pPr>
      <w:r>
        <w:rPr>
          <w:rFonts w:ascii="Liberation Sans" w:hAnsi="Liberation Sans"/>
          <w:b w:val="0"/>
          <w:i w:val="0"/>
          <w:color w:val="1D2433"/>
        </w:rPr>
        <w:t>knolo harness inspect - print resolved dependencies, authority, skills, and dependency root before execution.</w:t>
      </w:r>
    </w:p>
    <w:p>
      <w:pPr>
        <w:pStyle w:val="Heading1"/>
        <w:keepNext/>
        <w:spacing w:before="280" w:after="120"/>
      </w:pPr>
      <w:r>
        <w:rPr>
          <w:rFonts w:ascii="Liberation Sans" w:hAnsi="Liberation Sans"/>
          <w:b/>
          <w:color w:val="17233C"/>
          <w:sz w:val="36"/>
        </w:rPr>
        <w:t>10. Skills and capability resolution</w:t>
      </w:r>
    </w:p>
    <w:p>
      <w:pPr>
        <w:pStyle w:val="Heading2"/>
        <w:keepNext/>
        <w:spacing w:before="180" w:after="80"/>
      </w:pPr>
      <w:r>
        <w:rPr>
          <w:rFonts w:ascii="Liberation Sans" w:hAnsi="Liberation Sans"/>
          <w:b/>
          <w:color w:val="17233C"/>
          <w:sz w:val="27"/>
        </w:rPr>
        <w:t>10.1 Skills are declarative capability artifacts</w:t>
      </w:r>
    </w:p>
    <w:p>
      <w:pPr>
        <w:spacing w:before="0" w:after="140" w:line="269" w:lineRule="auto"/>
      </w:pPr>
      <w:r>
        <w:rPr>
          <w:rFonts w:ascii="Liberation Sans" w:hAnsi="Liberation Sans"/>
          <w:b w:val="0"/>
          <w:i w:val="0"/>
          <w:color w:val="1D2433"/>
        </w:rPr>
        <w:t>A skill can contain instructions, workflow structure, decision rules, retrieval strategy, tool composition, examples, recovery strategy, or evaluation criteria. It should not automatically embed executable JavaScript/Python or credentials. Host-owned code may implement tools referenced by skill IDs.</w:t>
      </w:r>
    </w:p>
    <w:p>
      <w:pPr>
        <w:pStyle w:val="Heading2"/>
        <w:keepNext/>
        <w:spacing w:before="180" w:after="80"/>
      </w:pPr>
      <w:r>
        <w:rPr>
          <w:rFonts w:ascii="Liberation Sans" w:hAnsi="Liberation Sans"/>
          <w:b/>
          <w:color w:val="17233C"/>
          <w:sz w:val="27"/>
        </w:rPr>
        <w:t>10.2 Resolution algorithm</w:t>
      </w:r>
    </w:p>
    <w:tbl>
      <w:tblPr>
        <w:tblW w:type="auto" w:w="0"/>
        <w:jc w:val="center"/>
        <w:tblLayout w:type="fixed"/>
        <w:tblLook w:firstColumn="1" w:firstRow="1" w:lastColumn="0" w:lastRow="0" w:noHBand="0" w:noVBand="1" w:val="04A0"/>
      </w:tblPr>
      <w:tblGrid>
        <w:gridCol w:w="9994"/>
      </w:tblGrid>
      <w:tr>
        <w:trPr>
          <w:cantSplit/>
        </w:trPr>
        <w:tc>
          <w:tcPr>
            <w:tcW w:type="dxa" w:w="9576"/>
            <w:shd w:fill="F6F7F9"/>
            <w:tcMar>
              <w:top w:w="120" w:type="dxa"/>
              <w:start w:w="150" w:type="dxa"/>
              <w:bottom w:w="120" w:type="dxa"/>
              <w:end w:w="150" w:type="dxa"/>
            </w:tcMar>
            <w:tcBorders>
              <w:top w:val="single" w:sz="5" w:color="D8E0EA"/>
              <w:left w:val="single" w:sz="5" w:color="D8E0EA"/>
              <w:bottom w:val="single" w:sz="5" w:color="D8E0EA"/>
              <w:right w:val="single" w:sz="5" w:color="D8E0EA"/>
            </w:tcBorders>
          </w:tcPr>
          <w:p>
            <w:pPr>
              <w:spacing w:before="0" w:after="0" w:line="240" w:lineRule="auto"/>
            </w:pPr>
            <w:r>
              <w:rPr>
                <w:rFonts w:ascii="Liberation Mono" w:hAnsi="Liberation Mono"/>
                <w:b w:val="0"/>
                <w:i w:val="0"/>
                <w:color w:val="2A3240"/>
                <w:sz w:val="17"/>
              </w:rPr>
              <w:t>Task</w:t>
            </w:r>
            <w:r>
              <w:br/>
            </w:r>
            <w:r>
              <w:rPr>
                <w:rFonts w:ascii="Liberation Mono" w:hAnsi="Liberation Mono"/>
                <w:b w:val="0"/>
                <w:i w:val="0"/>
                <w:color w:val="2A3240"/>
                <w:sz w:val="17"/>
              </w:rPr>
              <w:t xml:space="preserve">  -&gt; infer required capability tags</w:t>
            </w:r>
            <w:r>
              <w:br/>
            </w:r>
            <w:r>
              <w:rPr>
                <w:rFonts w:ascii="Liberation Mono" w:hAnsi="Liberation Mono"/>
                <w:b w:val="0"/>
                <w:i w:val="0"/>
                <w:color w:val="2A3240"/>
                <w:sz w:val="17"/>
              </w:rPr>
              <w:t xml:space="preserve">  -&gt; search local capability index (deterministic lexical first)</w:t>
            </w:r>
            <w:r>
              <w:br/>
            </w:r>
            <w:r>
              <w:rPr>
                <w:rFonts w:ascii="Liberation Mono" w:hAnsi="Liberation Mono"/>
                <w:b w:val="0"/>
                <w:i w:val="0"/>
                <w:color w:val="2A3240"/>
                <w:sz w:val="17"/>
              </w:rPr>
              <w:t xml:space="preserve">  -&gt; filter by contract compatibility</w:t>
            </w:r>
            <w:r>
              <w:br/>
            </w:r>
            <w:r>
              <w:rPr>
                <w:rFonts w:ascii="Liberation Mono" w:hAnsi="Liberation Mono"/>
                <w:b w:val="0"/>
                <w:i w:val="0"/>
                <w:color w:val="2A3240"/>
                <w:sz w:val="17"/>
              </w:rPr>
              <w:t xml:space="preserve">  -&gt; filter by effective authority / required tools</w:t>
            </w:r>
            <w:r>
              <w:br/>
            </w:r>
            <w:r>
              <w:rPr>
                <w:rFonts w:ascii="Liberation Mono" w:hAnsi="Liberation Mono"/>
                <w:b w:val="0"/>
                <w:i w:val="0"/>
                <w:color w:val="2A3240"/>
                <w:sz w:val="17"/>
              </w:rPr>
              <w:t xml:space="preserve">  -&gt; filter by license / trust / publisher policy</w:t>
            </w:r>
            <w:r>
              <w:br/>
            </w:r>
            <w:r>
              <w:rPr>
                <w:rFonts w:ascii="Liberation Mono" w:hAnsi="Liberation Mono"/>
                <w:b w:val="0"/>
                <w:i w:val="0"/>
                <w:color w:val="2A3240"/>
                <w:sz w:val="17"/>
              </w:rPr>
              <w:t xml:space="preserve">  -&gt; optional semantic rerank</w:t>
            </w:r>
            <w:r>
              <w:br/>
            </w:r>
            <w:r>
              <w:rPr>
                <w:rFonts w:ascii="Liberation Mono" w:hAnsi="Liberation Mono"/>
                <w:b w:val="0"/>
                <w:i w:val="0"/>
                <w:color w:val="2A3240"/>
                <w:sz w:val="17"/>
              </w:rPr>
              <w:t xml:space="preserve">  -&gt; select minimum sufficient skill set</w:t>
            </w:r>
            <w:r>
              <w:br/>
            </w:r>
            <w:r>
              <w:rPr>
                <w:rFonts w:ascii="Liberation Mono" w:hAnsi="Liberation Mono"/>
                <w:b w:val="0"/>
                <w:i w:val="0"/>
                <w:color w:val="2A3240"/>
                <w:sz w:val="17"/>
              </w:rPr>
              <w:t xml:space="preserve">  -&gt; if insufficient and Hub access allowed:</w:t>
            </w:r>
            <w:r>
              <w:br/>
            </w:r>
            <w:r>
              <w:rPr>
                <w:rFonts w:ascii="Liberation Mono" w:hAnsi="Liberation Mono"/>
                <w:b w:val="0"/>
                <w:i w:val="0"/>
                <w:color w:val="2A3240"/>
                <w:sz w:val="17"/>
              </w:rPr>
              <w:t xml:space="preserve">       Hub search -&gt; manifest -&gt; digest -&gt; bytes -&gt; Core verify -&gt; policy -&gt; stage</w:t>
            </w:r>
            <w:r>
              <w:br/>
            </w:r>
            <w:r>
              <w:rPr>
                <w:rFonts w:ascii="Liberation Mono" w:hAnsi="Liberation Mono"/>
                <w:b w:val="0"/>
                <w:i w:val="0"/>
                <w:color w:val="2A3240"/>
                <w:sz w:val="17"/>
              </w:rPr>
              <w:t xml:space="preserve">  -&gt; record SkillSelectionReceiptV1</w:t>
            </w:r>
          </w:p>
        </w:tc>
      </w:tr>
    </w:tbl>
    <w:p>
      <w:pPr>
        <w:spacing w:after="20"/>
      </w:pPr>
    </w:p>
    <w:p>
      <w:pPr>
        <w:pStyle w:val="Heading2"/>
        <w:keepNext/>
        <w:spacing w:before="180" w:after="80"/>
      </w:pPr>
      <w:r>
        <w:rPr>
          <w:rFonts w:ascii="Liberation Sans" w:hAnsi="Liberation Sans"/>
          <w:b/>
          <w:color w:val="17233C"/>
          <w:sz w:val="27"/>
        </w:rPr>
        <w:t>10.3 Trust policy</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448"/>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7"/>
              </w:rPr>
              <w:t>Policy setting</w:t>
            </w:r>
          </w:p>
        </w:tc>
        <w:tc>
          <w:tcPr>
            <w:tcW w:type="dxa" w:w="7128"/>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7"/>
              </w:rPr>
              <w:t>Behavior</w:t>
            </w:r>
          </w:p>
        </w:tc>
      </w:tr>
      <w:tr>
        <w:trPr>
          <w:cantSplit/>
        </w:trPr>
        <w:tc>
          <w:tcPr>
            <w:tcW w:type="dxa" w:w="244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registry: disabled</w:t>
            </w:r>
          </w:p>
        </w:tc>
        <w:tc>
          <w:tcPr>
            <w:tcW w:type="dxa" w:w="712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Only local/pinned packs may be used.</w:t>
            </w:r>
          </w:p>
        </w:tc>
      </w:tr>
      <w:tr>
        <w:trPr>
          <w:cantSplit/>
        </w:trPr>
        <w:tc>
          <w:tcPr>
            <w:tcW w:type="dxa" w:w="244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registry: discover</w:t>
            </w:r>
          </w:p>
        </w:tc>
        <w:tc>
          <w:tcPr>
            <w:tcW w:type="dxa" w:w="712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Hub may be searched but nothing downloaded automatically.</w:t>
            </w:r>
          </w:p>
        </w:tc>
      </w:tr>
      <w:tr>
        <w:trPr>
          <w:cantSplit/>
        </w:trPr>
        <w:tc>
          <w:tcPr>
            <w:tcW w:type="dxa" w:w="244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registry: acquire-approved</w:t>
            </w:r>
          </w:p>
        </w:tc>
        <w:tc>
          <w:tcPr>
            <w:tcW w:type="dxa" w:w="712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Only allowlisted publishers/licenses/capability classes may auto-download.</w:t>
            </w:r>
          </w:p>
        </w:tc>
      </w:tr>
      <w:tr>
        <w:trPr>
          <w:cantSplit/>
        </w:trPr>
        <w:tc>
          <w:tcPr>
            <w:tcW w:type="dxa" w:w="244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registry: acquire-any-verified</w:t>
            </w:r>
          </w:p>
        </w:tc>
        <w:tc>
          <w:tcPr>
            <w:tcW w:type="dxa" w:w="712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Any structurally verified candidate may download, but activation still respects authority and license policy.</w:t>
            </w:r>
          </w:p>
        </w:tc>
      </w:tr>
      <w:tr>
        <w:trPr>
          <w:cantSplit/>
        </w:trPr>
        <w:tc>
          <w:tcPr>
            <w:tcW w:type="dxa" w:w="244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publish: propose-only</w:t>
            </w:r>
          </w:p>
        </w:tc>
        <w:tc>
          <w:tcPr>
            <w:tcW w:type="dxa" w:w="712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Agent may generate a SkillCandidate but cannot publish.</w:t>
            </w:r>
          </w:p>
        </w:tc>
      </w:tr>
      <w:tr>
        <w:trPr>
          <w:cantSplit/>
        </w:trPr>
        <w:tc>
          <w:tcPr>
            <w:tcW w:type="dxa" w:w="244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publish: approved</w:t>
            </w:r>
          </w:p>
        </w:tc>
        <w:tc>
          <w:tcPr>
            <w:tcW w:type="dxa" w:w="712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Publishing requires publish authority plus evaluation/provenance and optional human approval.</w:t>
            </w:r>
          </w:p>
        </w:tc>
      </w:tr>
    </w:tbl>
    <w:p>
      <w:pPr>
        <w:spacing w:after="40"/>
      </w:pPr>
    </w:p>
    <w:p>
      <w:pPr>
        <w:pStyle w:val="Heading1"/>
        <w:keepNext/>
        <w:spacing w:before="280" w:after="120"/>
      </w:pPr>
      <w:r>
        <w:rPr>
          <w:rFonts w:ascii="Liberation Sans" w:hAnsi="Liberation Sans"/>
          <w:b/>
          <w:color w:val="17233C"/>
          <w:sz w:val="36"/>
        </w:rPr>
        <w:t>11. Memory, experience, and learning</w:t>
      </w:r>
    </w:p>
    <w:p>
      <w:pPr>
        <w:pStyle w:val="Heading2"/>
        <w:keepNext/>
        <w:spacing w:before="180" w:after="80"/>
      </w:pPr>
      <w:r>
        <w:rPr>
          <w:rFonts w:ascii="Liberation Sans" w:hAnsi="Liberation Sans"/>
          <w:b/>
          <w:color w:val="17233C"/>
          <w:sz w:val="27"/>
        </w:rPr>
        <w:t>11.1 Three learning layers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5"/>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7"/>
              </w:rPr>
              <w:t>Layer</w:t>
            </w:r>
          </w:p>
        </w:tc>
        <w:tc>
          <w:tcPr>
            <w:tcW w:type="dxa" w:w="4320"/>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7"/>
              </w:rPr>
              <w:t>Meaning</w:t>
            </w:r>
          </w:p>
        </w:tc>
        <w:tc>
          <w:tcPr>
            <w:tcW w:type="dxa" w:w="3240"/>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7"/>
              </w:rPr>
              <w:t>Storage / promotion</w:t>
            </w:r>
          </w:p>
        </w:tc>
      </w:tr>
      <w:tr>
        <w:trPr>
          <w:cantSplit/>
        </w:trPr>
        <w:tc>
          <w:tcPr>
            <w:tcW w:type="dxa" w:w="2015"/>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Working memory</w:t>
            </w:r>
          </w:p>
        </w:tc>
        <w:tc>
          <w:tcPr>
            <w:tcW w:type="dxa" w:w="432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Current run state, evidence, tool outcomes, temporary plan.</w:t>
            </w:r>
          </w:p>
        </w:tc>
        <w:tc>
          <w:tcPr>
            <w:tcW w:type="dxa" w:w="324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Bound to run/checkpoint; expires with run policy.</w:t>
            </w:r>
          </w:p>
        </w:tc>
      </w:tr>
      <w:tr>
        <w:trPr>
          <w:cantSplit/>
        </w:trPr>
        <w:tc>
          <w:tcPr>
            <w:tcW w:type="dxa" w:w="2015"/>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Experience memory</w:t>
            </w:r>
          </w:p>
        </w:tc>
        <w:tc>
          <w:tcPr>
            <w:tcW w:type="dxa" w:w="432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Prior task lessons, failure patterns, successful strategies.</w:t>
            </w:r>
          </w:p>
        </w:tc>
        <w:tc>
          <w:tcPr>
            <w:tcW w:type="dxa" w:w="324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Cortex append-only memory + deterministic recall filters.</w:t>
            </w:r>
          </w:p>
        </w:tc>
      </w:tr>
      <w:tr>
        <w:trPr>
          <w:cantSplit/>
        </w:trPr>
        <w:tc>
          <w:tcPr>
            <w:tcW w:type="dxa" w:w="2015"/>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Learned capability</w:t>
            </w:r>
          </w:p>
        </w:tc>
        <w:tc>
          <w:tcPr>
            <w:tcW w:type="dxa" w:w="432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A repeatedly useful, evaluated procedure promoted into SkillDefinitionV1 / Capability Pack.</w:t>
            </w:r>
          </w:p>
        </w:tc>
        <w:tc>
          <w:tcPr>
            <w:tcW w:type="dxa" w:w="324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Content-addressed artifact; policy/human approval before organizational or Hub distribution.</w:t>
            </w:r>
          </w:p>
        </w:tc>
      </w:tr>
    </w:tbl>
    <w:p>
      <w:pPr>
        <w:spacing w:after="40"/>
      </w:pPr>
    </w:p>
    <w:p>
      <w:pPr>
        <w:pStyle w:val="Heading2"/>
        <w:keepNext/>
        <w:spacing w:before="180" w:after="80"/>
      </w:pPr>
      <w:r>
        <w:rPr>
          <w:rFonts w:ascii="Liberation Sans" w:hAnsi="Liberation Sans"/>
          <w:b/>
          <w:color w:val="17233C"/>
          <w:sz w:val="27"/>
        </w:rPr>
        <w:t>11.2 Promotion pipeline</w:t>
      </w:r>
    </w:p>
    <w:tbl>
      <w:tblPr>
        <w:tblW w:type="auto" w:w="0"/>
        <w:jc w:val="center"/>
        <w:tblLayout w:type="fixed"/>
        <w:tblLook w:firstColumn="1" w:firstRow="1" w:lastColumn="0" w:lastRow="0" w:noHBand="0" w:noVBand="1" w:val="04A0"/>
      </w:tblPr>
      <w:tblGrid>
        <w:gridCol w:w="9994"/>
      </w:tblGrid>
      <w:tr>
        <w:trPr>
          <w:cantSplit/>
        </w:trPr>
        <w:tc>
          <w:tcPr>
            <w:tcW w:type="dxa" w:w="9576"/>
            <w:shd w:fill="F6F7F9"/>
            <w:tcMar>
              <w:top w:w="120" w:type="dxa"/>
              <w:start w:w="150" w:type="dxa"/>
              <w:bottom w:w="120" w:type="dxa"/>
              <w:end w:w="150" w:type="dxa"/>
            </w:tcMar>
            <w:tcBorders>
              <w:top w:val="single" w:sz="5" w:color="D8E0EA"/>
              <w:left w:val="single" w:sz="5" w:color="D8E0EA"/>
              <w:bottom w:val="single" w:sz="5" w:color="D8E0EA"/>
              <w:right w:val="single" w:sz="5" w:color="D8E0EA"/>
            </w:tcBorders>
          </w:tcPr>
          <w:p>
            <w:pPr>
              <w:spacing w:before="0" w:after="0" w:line="240" w:lineRule="auto"/>
            </w:pPr>
            <w:r>
              <w:rPr>
                <w:rFonts w:ascii="Liberation Mono" w:hAnsi="Liberation Mono"/>
                <w:b w:val="0"/>
                <w:i w:val="0"/>
                <w:color w:val="2A3240"/>
                <w:sz w:val="17"/>
              </w:rPr>
              <w:t>Run</w:t>
            </w:r>
            <w:r>
              <w:br/>
            </w:r>
            <w:r>
              <w:rPr>
                <w:rFonts w:ascii="Liberation Mono" w:hAnsi="Liberation Mono"/>
                <w:b w:val="0"/>
                <w:i w:val="0"/>
                <w:color w:val="2A3240"/>
                <w:sz w:val="17"/>
              </w:rPr>
              <w:t xml:space="preserve"> -&gt; ExperienceRecordV1</w:t>
            </w:r>
            <w:r>
              <w:br/>
            </w:r>
            <w:r>
              <w:rPr>
                <w:rFonts w:ascii="Liberation Mono" w:hAnsi="Liberation Mono"/>
                <w:b w:val="0"/>
                <w:i w:val="0"/>
                <w:color w:val="2A3240"/>
                <w:sz w:val="17"/>
              </w:rPr>
              <w:t xml:space="preserve"> -&gt; LessonCandidateV1</w:t>
            </w:r>
            <w:r>
              <w:br/>
            </w:r>
            <w:r>
              <w:rPr>
                <w:rFonts w:ascii="Liberation Mono" w:hAnsi="Liberation Mono"/>
                <w:b w:val="0"/>
                <w:i w:val="0"/>
                <w:color w:val="2A3240"/>
                <w:sz w:val="17"/>
              </w:rPr>
              <w:t xml:space="preserve"> -&gt; repeated usefulness / confidence threshold</w:t>
            </w:r>
            <w:r>
              <w:br/>
            </w:r>
            <w:r>
              <w:rPr>
                <w:rFonts w:ascii="Liberation Mono" w:hAnsi="Liberation Mono"/>
                <w:b w:val="0"/>
                <w:i w:val="0"/>
                <w:color w:val="2A3240"/>
                <w:sz w:val="17"/>
              </w:rPr>
              <w:t xml:space="preserve"> -&gt; SkillCandidateV1</w:t>
            </w:r>
            <w:r>
              <w:br/>
            </w:r>
            <w:r>
              <w:rPr>
                <w:rFonts w:ascii="Liberation Mono" w:hAnsi="Liberation Mono"/>
                <w:b w:val="0"/>
                <w:i w:val="0"/>
                <w:color w:val="2A3240"/>
                <w:sz w:val="17"/>
              </w:rPr>
              <w:t xml:space="preserve"> -&gt; deterministic replay + evaluation suite</w:t>
            </w:r>
            <w:r>
              <w:br/>
            </w:r>
            <w:r>
              <w:rPr>
                <w:rFonts w:ascii="Liberation Mono" w:hAnsi="Liberation Mono"/>
                <w:b w:val="0"/>
                <w:i w:val="0"/>
                <w:color w:val="2A3240"/>
                <w:sz w:val="17"/>
              </w:rPr>
              <w:t xml:space="preserve"> -&gt; policy / human approval</w:t>
            </w:r>
            <w:r>
              <w:br/>
            </w:r>
            <w:r>
              <w:rPr>
                <w:rFonts w:ascii="Liberation Mono" w:hAnsi="Liberation Mono"/>
                <w:b w:val="0"/>
                <w:i w:val="0"/>
                <w:color w:val="2A3240"/>
                <w:sz w:val="17"/>
              </w:rPr>
              <w:t xml:space="preserve"> -&gt; build immutable Capability Pack</w:t>
            </w:r>
            <w:r>
              <w:br/>
            </w:r>
            <w:r>
              <w:rPr>
                <w:rFonts w:ascii="Liberation Mono" w:hAnsi="Liberation Mono"/>
                <w:b w:val="0"/>
                <w:i w:val="0"/>
                <w:color w:val="2A3240"/>
                <w:sz w:val="17"/>
              </w:rPr>
              <w:t xml:space="preserve"> -&gt; optional knolo publish</w:t>
            </w:r>
            <w:r>
              <w:br/>
            </w:r>
            <w:r>
              <w:rPr>
                <w:rFonts w:ascii="Liberation Mono" w:hAnsi="Liberation Mono"/>
                <w:b w:val="0"/>
                <w:i w:val="0"/>
                <w:color w:val="2A3240"/>
                <w:sz w:val="17"/>
              </w:rPr>
              <w:t xml:space="preserve"> -&gt; Hub</w:t>
            </w:r>
            <w:r>
              <w:br/>
            </w:r>
            <w:r>
              <w:rPr>
                <w:rFonts w:ascii="Liberation Mono" w:hAnsi="Liberation Mono"/>
                <w:b w:val="0"/>
                <w:i w:val="0"/>
                <w:color w:val="2A3240"/>
                <w:sz w:val="17"/>
              </w:rPr>
              <w:t xml:space="preserve"> -&gt; authorized agents discover and inherit the capability</w:t>
            </w:r>
          </w:p>
        </w:tc>
      </w:tr>
    </w:tbl>
    <w:p>
      <w:pPr>
        <w:spacing w:after="20"/>
      </w:pPr>
    </w:p>
    <w:tbl>
      <w:tblPr>
        <w:tblW w:type="auto" w:w="0"/>
        <w:jc w:val="center"/>
        <w:tblLayout w:type="fixed"/>
        <w:tblLook w:firstColumn="1" w:firstRow="1" w:lastColumn="0" w:lastRow="0" w:noHBand="0" w:noVBand="1" w:val="04A0"/>
      </w:tblPr>
      <w:tblGrid>
        <w:gridCol w:w="9994"/>
      </w:tblGrid>
      <w:tr>
        <w:trPr>
          <w:cantSplit/>
        </w:trPr>
        <w:tc>
          <w:tcPr>
            <w:tcW w:type="dxa" w:w="9576"/>
            <w:shd w:fill="EDF3FF"/>
            <w:tcMar>
              <w:top w:w="150" w:type="dxa"/>
              <w:start w:w="180" w:type="dxa"/>
              <w:bottom w:w="150" w:type="dxa"/>
              <w:end w:w="180" w:type="dxa"/>
            </w:tcMar>
            <w:tcBorders>
              <w:top w:val="nil"/>
              <w:left w:val="single" w:sz="18" w:color="315EFB"/>
              <w:bottom w:val="nil"/>
              <w:right w:val="nil"/>
            </w:tcBorders>
          </w:tcPr>
          <w:p>
            <w:pPr>
              <w:spacing w:before="0" w:after="60" w:line="259" w:lineRule="auto"/>
            </w:pPr>
            <w:r>
              <w:rPr>
                <w:rFonts w:ascii="Liberation Sans" w:hAnsi="Liberation Sans"/>
                <w:b/>
                <w:i w:val="0"/>
                <w:color w:val="315EFB"/>
                <w:sz w:val="23"/>
              </w:rPr>
              <w:t>Learning rule</w:t>
            </w:r>
          </w:p>
          <w:p>
            <w:pPr>
              <w:spacing w:before="0" w:after="0" w:line="259" w:lineRule="auto"/>
            </w:pPr>
            <w:r>
              <w:rPr>
                <w:rFonts w:ascii="Liberation Sans" w:hAnsi="Liberation Sans"/>
                <w:b w:val="0"/>
                <w:i w:val="0"/>
                <w:color w:val="1D2433"/>
                <w:sz w:val="21"/>
              </w:rPr>
              <w:t>Knolo should improve agent capability through verified artifacts and reusable experience, not uncontrolled self-modification of model weights. This makes learning portable, inspectable, revertible, and shareable.</w:t>
            </w:r>
          </w:p>
        </w:tc>
      </w:tr>
    </w:tbl>
    <w:p>
      <w:pPr>
        <w:spacing w:after="20"/>
      </w:pPr>
    </w:p>
    <w:p>
      <w:pPr>
        <w:pStyle w:val="Heading1"/>
        <w:keepNext/>
        <w:spacing w:before="280" w:after="120"/>
      </w:pPr>
      <w:r>
        <w:rPr>
          <w:rFonts w:ascii="Liberation Sans" w:hAnsi="Liberation Sans"/>
          <w:b/>
          <w:color w:val="17233C"/>
          <w:sz w:val="36"/>
        </w:rPr>
        <w:t>12. Evaluation and recovery</w:t>
      </w:r>
    </w:p>
    <w:p>
      <w:pPr>
        <w:pStyle w:val="Heading2"/>
        <w:keepNext/>
        <w:spacing w:before="180" w:after="80"/>
      </w:pPr>
      <w:r>
        <w:rPr>
          <w:rFonts w:ascii="Liberation Sans" w:hAnsi="Liberation Sans"/>
          <w:b/>
          <w:color w:val="17233C"/>
          <w:sz w:val="27"/>
        </w:rPr>
        <w:t>12.1 Evaluation order</w:t>
      </w:r>
    </w:p>
    <w:p>
      <w:pPr>
        <w:spacing w:before="0" w:after="80" w:line="259" w:lineRule="auto"/>
        <w:ind w:left="432" w:hanging="288"/>
      </w:pPr>
      <w:r>
        <w:rPr>
          <w:rFonts w:ascii="Liberation Sans" w:hAnsi="Liberation Sans"/>
          <w:b/>
          <w:i w:val="0"/>
          <w:color w:val="1D2433"/>
        </w:rPr>
        <w:t xml:space="preserve">1. </w:t>
      </w:r>
      <w:r>
        <w:rPr>
          <w:rFonts w:ascii="Liberation Sans" w:hAnsi="Liberation Sans"/>
          <w:b w:val="0"/>
          <w:i w:val="0"/>
          <w:color w:val="1D2433"/>
        </w:rPr>
        <w:t>Deterministic contract checks: output schema, required fields, budget, policy, prohibited actions, evidence references, terminal state.</w:t>
      </w:r>
    </w:p>
    <w:p>
      <w:pPr>
        <w:spacing w:before="0" w:after="80" w:line="259" w:lineRule="auto"/>
        <w:ind w:left="432" w:hanging="288"/>
      </w:pPr>
      <w:r>
        <w:rPr>
          <w:rFonts w:ascii="Liberation Sans" w:hAnsi="Liberation Sans"/>
          <w:b/>
          <w:i w:val="0"/>
          <w:color w:val="1D2433"/>
        </w:rPr>
        <w:t xml:space="preserve">2. </w:t>
      </w:r>
      <w:r>
        <w:rPr>
          <w:rFonts w:ascii="Liberation Sans" w:hAnsi="Liberation Sans"/>
          <w:b w:val="0"/>
          <w:i w:val="0"/>
          <w:color w:val="1D2433"/>
        </w:rPr>
        <w:t>Deterministic artifact checks: dependency root, receipt integrity, event sequence, tool call/result matching, checkpoint hashes.</w:t>
      </w:r>
    </w:p>
    <w:p>
      <w:pPr>
        <w:spacing w:before="0" w:after="80" w:line="259" w:lineRule="auto"/>
        <w:ind w:left="432" w:hanging="288"/>
      </w:pPr>
      <w:r>
        <w:rPr>
          <w:rFonts w:ascii="Liberation Sans" w:hAnsi="Liberation Sans"/>
          <w:b/>
          <w:i w:val="0"/>
          <w:color w:val="1D2433"/>
        </w:rPr>
        <w:t xml:space="preserve">3. </w:t>
      </w:r>
      <w:r>
        <w:rPr>
          <w:rFonts w:ascii="Liberation Sans" w:hAnsi="Liberation Sans"/>
          <w:b w:val="0"/>
          <w:i w:val="0"/>
          <w:color w:val="1D2433"/>
        </w:rPr>
        <w:t>Task-domain checks from EvaluationSuiteV1: expected facts, evidence spans, transformations, code/tests, business rules.</w:t>
      </w:r>
    </w:p>
    <w:p>
      <w:pPr>
        <w:spacing w:before="0" w:after="80" w:line="259" w:lineRule="auto"/>
        <w:ind w:left="432" w:hanging="288"/>
      </w:pPr>
      <w:r>
        <w:rPr>
          <w:rFonts w:ascii="Liberation Sans" w:hAnsi="Liberation Sans"/>
          <w:b/>
          <w:i w:val="0"/>
          <w:color w:val="1D2433"/>
        </w:rPr>
        <w:t xml:space="preserve">4. </w:t>
      </w:r>
      <w:r>
        <w:rPr>
          <w:rFonts w:ascii="Liberation Sans" w:hAnsi="Liberation Sans"/>
          <w:b w:val="0"/>
          <w:i w:val="0"/>
          <w:color w:val="1D2433"/>
        </w:rPr>
        <w:t>Optional host-provided semantic evaluator: only when deterministic evaluation is insufficient; record model/version/prompt as a non-deterministic effect.</w:t>
      </w:r>
    </w:p>
    <w:p>
      <w:pPr>
        <w:spacing w:before="0" w:after="80" w:line="259" w:lineRule="auto"/>
        <w:ind w:left="432" w:hanging="288"/>
      </w:pPr>
      <w:r>
        <w:rPr>
          <w:rFonts w:ascii="Liberation Sans" w:hAnsi="Liberation Sans"/>
          <w:b/>
          <w:i w:val="0"/>
          <w:color w:val="1D2433"/>
        </w:rPr>
        <w:t xml:space="preserve">5. </w:t>
      </w:r>
      <w:r>
        <w:rPr>
          <w:rFonts w:ascii="Liberation Sans" w:hAnsi="Liberation Sans"/>
          <w:b w:val="0"/>
          <w:i w:val="0"/>
          <w:color w:val="1D2433"/>
        </w:rPr>
        <w:t>Compare against raw-agent baseline using the same task set and environment.</w:t>
      </w:r>
    </w:p>
    <w:p>
      <w:pPr>
        <w:pStyle w:val="Heading2"/>
        <w:keepNext/>
        <w:spacing w:before="180" w:after="80"/>
      </w:pPr>
      <w:r>
        <w:rPr>
          <w:rFonts w:ascii="Liberation Sans" w:hAnsi="Liberation Sans"/>
          <w:b/>
          <w:color w:val="17233C"/>
          <w:sz w:val="27"/>
        </w:rPr>
        <w:t>12.2 RecoveryPolicyV1</w:t>
      </w:r>
    </w:p>
    <w:tbl>
      <w:tblPr>
        <w:tblW w:type="auto" w:w="0"/>
        <w:jc w:val="center"/>
        <w:tblLayout w:type="fixed"/>
        <w:tblLook w:firstColumn="1" w:firstRow="1" w:lastColumn="0" w:lastRow="0" w:noHBand="0" w:noVBand="1" w:val="04A0"/>
      </w:tblPr>
      <w:tblGrid>
        <w:gridCol w:w="9994"/>
      </w:tblGrid>
      <w:tr>
        <w:trPr>
          <w:cantSplit/>
        </w:trPr>
        <w:tc>
          <w:tcPr>
            <w:tcW w:type="dxa" w:w="9576"/>
            <w:shd w:fill="F6F7F9"/>
            <w:tcMar>
              <w:top w:w="120" w:type="dxa"/>
              <w:start w:w="150" w:type="dxa"/>
              <w:bottom w:w="120" w:type="dxa"/>
              <w:end w:w="150" w:type="dxa"/>
            </w:tcMar>
            <w:tcBorders>
              <w:top w:val="single" w:sz="5" w:color="D8E0EA"/>
              <w:left w:val="single" w:sz="5" w:color="D8E0EA"/>
              <w:bottom w:val="single" w:sz="5" w:color="D8E0EA"/>
              <w:right w:val="single" w:sz="5" w:color="D8E0EA"/>
            </w:tcBorders>
          </w:tcPr>
          <w:p>
            <w:pPr>
              <w:spacing w:before="0" w:after="0" w:line="240" w:lineRule="auto"/>
            </w:pPr>
            <w:r>
              <w:rPr>
                <w:rFonts w:ascii="Liberation Mono" w:hAnsi="Liberation Mono"/>
                <w:b w:val="0"/>
                <w:i w:val="0"/>
                <w:color w:val="2A3240"/>
                <w:sz w:val="17"/>
              </w:rPr>
              <w:t>failure</w:t>
            </w:r>
            <w:r>
              <w:br/>
            </w:r>
            <w:r>
              <w:rPr>
                <w:rFonts w:ascii="Liberation Mono" w:hAnsi="Liberation Mono"/>
                <w:b w:val="0"/>
                <w:i w:val="0"/>
                <w:color w:val="2A3240"/>
                <w:sz w:val="17"/>
              </w:rPr>
              <w:t xml:space="preserve"> -&gt; classify (tool | retrieval | schema | timeout | policy | model | unknown)</w:t>
            </w:r>
            <w:r>
              <w:br/>
            </w:r>
            <w:r>
              <w:rPr>
                <w:rFonts w:ascii="Liberation Mono" w:hAnsi="Liberation Mono"/>
                <w:b w:val="0"/>
                <w:i w:val="0"/>
                <w:color w:val="2A3240"/>
                <w:sz w:val="17"/>
              </w:rPr>
              <w:t xml:space="preserve"> -&gt; bounded retry if safe</w:t>
            </w:r>
            <w:r>
              <w:br/>
            </w:r>
            <w:r>
              <w:rPr>
                <w:rFonts w:ascii="Liberation Mono" w:hAnsi="Liberation Mono"/>
                <w:b w:val="0"/>
                <w:i w:val="0"/>
                <w:color w:val="2A3240"/>
                <w:sz w:val="17"/>
              </w:rPr>
              <w:t xml:space="preserve"> -&gt; alternate prompt/plan strategy</w:t>
            </w:r>
            <w:r>
              <w:br/>
            </w:r>
            <w:r>
              <w:rPr>
                <w:rFonts w:ascii="Liberation Mono" w:hAnsi="Liberation Mono"/>
                <w:b w:val="0"/>
                <w:i w:val="0"/>
                <w:color w:val="2A3240"/>
                <w:sz w:val="17"/>
              </w:rPr>
              <w:t xml:space="preserve"> -&gt; fallback skill</w:t>
            </w:r>
            <w:r>
              <w:br/>
            </w:r>
            <w:r>
              <w:rPr>
                <w:rFonts w:ascii="Liberation Mono" w:hAnsi="Liberation Mono"/>
                <w:b w:val="0"/>
                <w:i w:val="0"/>
                <w:color w:val="2A3240"/>
                <w:sz w:val="17"/>
              </w:rPr>
              <w:t xml:space="preserve"> -&gt; alternate allowed tool</w:t>
            </w:r>
            <w:r>
              <w:br/>
            </w:r>
            <w:r>
              <w:rPr>
                <w:rFonts w:ascii="Liberation Mono" w:hAnsi="Liberation Mono"/>
                <w:b w:val="0"/>
                <w:i w:val="0"/>
                <w:color w:val="2A3240"/>
                <w:sz w:val="17"/>
              </w:rPr>
              <w:t xml:space="preserve"> -&gt; delegate child agent with narrowed authority</w:t>
            </w:r>
            <w:r>
              <w:br/>
            </w:r>
            <w:r>
              <w:rPr>
                <w:rFonts w:ascii="Liberation Mono" w:hAnsi="Liberation Mono"/>
                <w:b w:val="0"/>
                <w:i w:val="0"/>
                <w:color w:val="2A3240"/>
                <w:sz w:val="17"/>
              </w:rPr>
              <w:t xml:space="preserve"> -&gt; request HITL</w:t>
            </w:r>
            <w:r>
              <w:br/>
            </w:r>
            <w:r>
              <w:rPr>
                <w:rFonts w:ascii="Liberation Mono" w:hAnsi="Liberation Mono"/>
                <w:b w:val="0"/>
                <w:i w:val="0"/>
                <w:color w:val="2A3240"/>
                <w:sz w:val="17"/>
              </w:rPr>
              <w:t xml:space="preserve"> -&gt; graceful partial result with failure receipt</w:t>
            </w:r>
          </w:p>
        </w:tc>
      </w:tr>
    </w:tbl>
    <w:p>
      <w:pPr>
        <w:spacing w:after="20"/>
      </w:pPr>
    </w:p>
    <w:p>
      <w:pPr>
        <w:spacing w:before="0" w:after="140" w:line="269" w:lineRule="auto"/>
      </w:pPr>
      <w:r>
        <w:rPr>
          <w:rFonts w:ascii="Liberation Sans" w:hAnsi="Liberation Sans"/>
          <w:b w:val="0"/>
          <w:i w:val="0"/>
          <w:color w:val="1D2433"/>
        </w:rPr>
        <w:t>Recovery is where the harness can create large practical uplifts without changing the underlying model. A raw agent often stops after repeated failures; Knolo should explicitly preserve partial progress, choose alternate paths, and return a valid bounded result instead of collapsing the whole run.</w:t>
      </w:r>
    </w:p>
    <w:p>
      <w:pPr>
        <w:pStyle w:val="Heading1"/>
        <w:keepNext/>
        <w:spacing w:before="280" w:after="120"/>
      </w:pPr>
      <w:r>
        <w:rPr>
          <w:rFonts w:ascii="Liberation Sans" w:hAnsi="Liberation Sans"/>
          <w:b/>
          <w:color w:val="17233C"/>
          <w:sz w:val="36"/>
        </w:rPr>
        <w:t>13. Security and authority model</w:t>
      </w:r>
    </w:p>
    <w:p>
      <w:pPr>
        <w:pStyle w:val="Heading2"/>
        <w:keepNext/>
        <w:spacing w:before="180" w:after="80"/>
      </w:pPr>
      <w:r>
        <w:rPr>
          <w:rFonts w:ascii="Liberation Sans" w:hAnsi="Liberation Sans"/>
          <w:b/>
          <w:color w:val="17233C"/>
          <w:sz w:val="27"/>
        </w:rPr>
        <w:t>13.1 Authority intersection</w:t>
      </w:r>
    </w:p>
    <w:tbl>
      <w:tblPr>
        <w:tblW w:type="auto" w:w="0"/>
        <w:jc w:val="center"/>
        <w:tblLayout w:type="fixed"/>
        <w:tblLook w:firstColumn="1" w:firstRow="1" w:lastColumn="0" w:lastRow="0" w:noHBand="0" w:noVBand="1" w:val="04A0"/>
      </w:tblPr>
      <w:tblGrid>
        <w:gridCol w:w="9994"/>
      </w:tblGrid>
      <w:tr>
        <w:trPr>
          <w:cantSplit/>
        </w:trPr>
        <w:tc>
          <w:tcPr>
            <w:tcW w:type="dxa" w:w="9576"/>
            <w:shd w:fill="F6F7F9"/>
            <w:tcMar>
              <w:top w:w="120" w:type="dxa"/>
              <w:start w:w="150" w:type="dxa"/>
              <w:bottom w:w="120" w:type="dxa"/>
              <w:end w:w="150" w:type="dxa"/>
            </w:tcMar>
            <w:tcBorders>
              <w:top w:val="single" w:sz="5" w:color="D8E0EA"/>
              <w:left w:val="single" w:sz="5" w:color="D8E0EA"/>
              <w:bottom w:val="single" w:sz="5" w:color="D8E0EA"/>
              <w:right w:val="single" w:sz="5" w:color="D8E0EA"/>
            </w:tcBorders>
          </w:tcPr>
          <w:p>
            <w:pPr>
              <w:spacing w:before="0" w:after="0" w:line="240" w:lineRule="auto"/>
            </w:pPr>
            <w:r>
              <w:rPr>
                <w:rFonts w:ascii="Liberation Mono" w:hAnsi="Liberation Mono"/>
                <w:b w:val="0"/>
                <w:i w:val="0"/>
                <w:color w:val="2A3240"/>
                <w:sz w:val="17"/>
              </w:rPr>
              <w:t>Effective Authority =</w:t>
            </w:r>
            <w:r>
              <w:br/>
            </w:r>
            <w:r>
              <w:rPr>
                <w:rFonts w:ascii="Liberation Mono" w:hAnsi="Liberation Mono"/>
                <w:b w:val="0"/>
                <w:i w:val="0"/>
                <w:color w:val="2A3240"/>
                <w:sz w:val="17"/>
              </w:rPr>
              <w:t xml:space="preserve">  Parent Run Authority</w:t>
            </w:r>
            <w:r>
              <w:br/>
            </w:r>
            <w:r>
              <w:rPr>
                <w:rFonts w:ascii="Liberation Mono" w:hAnsi="Liberation Mono"/>
                <w:b w:val="0"/>
                <w:i w:val="0"/>
                <w:color w:val="2A3240"/>
                <w:sz w:val="17"/>
              </w:rPr>
              <w:t xml:space="preserve">  INTERSECT Agent Authority</w:t>
            </w:r>
            <w:r>
              <w:br/>
            </w:r>
            <w:r>
              <w:rPr>
                <w:rFonts w:ascii="Liberation Mono" w:hAnsi="Liberation Mono"/>
                <w:b w:val="0"/>
                <w:i w:val="0"/>
                <w:color w:val="2A3240"/>
                <w:sz w:val="17"/>
              </w:rPr>
              <w:t xml:space="preserve">  INTERSECT Skill Requirements</w:t>
            </w:r>
            <w:r>
              <w:br/>
            </w:r>
            <w:r>
              <w:rPr>
                <w:rFonts w:ascii="Liberation Mono" w:hAnsi="Liberation Mono"/>
                <w:b w:val="0"/>
                <w:i w:val="0"/>
                <w:color w:val="2A3240"/>
                <w:sz w:val="17"/>
              </w:rPr>
              <w:t xml:space="preserve">  INTERSECT Host Capabilities</w:t>
            </w:r>
            <w:r>
              <w:br/>
            </w:r>
            <w:r>
              <w:rPr>
                <w:rFonts w:ascii="Liberation Mono" w:hAnsi="Liberation Mono"/>
                <w:b w:val="0"/>
                <w:i w:val="0"/>
                <w:color w:val="2A3240"/>
                <w:sz w:val="17"/>
              </w:rPr>
              <w:t xml:space="preserve">  INTERSECT Current Policy</w:t>
            </w:r>
          </w:p>
        </w:tc>
      </w:tr>
    </w:tbl>
    <w:p>
      <w:pPr>
        <w:spacing w:after="20"/>
      </w:pPr>
    </w:p>
    <w:p>
      <w:pPr>
        <w:spacing w:before="0" w:after="140" w:line="269" w:lineRule="auto"/>
      </w:pPr>
      <w:r>
        <w:rPr>
          <w:rFonts w:ascii="Liberation Sans" w:hAnsi="Liberation Sans"/>
          <w:b w:val="0"/>
          <w:i w:val="0"/>
          <w:color w:val="1D2433"/>
        </w:rPr>
        <w:t>A downloaded skill can request a capability but can never grant it. Missing grants deny by default. Handoffs must continue narrowing authority; child agents cannot regain capabilities removed by the parent envelope.</w:t>
      </w:r>
    </w:p>
    <w:p>
      <w:pPr>
        <w:pStyle w:val="Heading2"/>
        <w:keepNext/>
        <w:spacing w:before="180" w:after="80"/>
      </w:pPr>
      <w:r>
        <w:rPr>
          <w:rFonts w:ascii="Liberation Sans" w:hAnsi="Liberation Sans"/>
          <w:b/>
          <w:color w:val="17233C"/>
          <w:sz w:val="27"/>
        </w:rPr>
        <w:t>13.2 Required safety properties</w:t>
      </w:r>
    </w:p>
    <w:p>
      <w:pPr>
        <w:pStyle w:val="ListBullet"/>
        <w:spacing w:before="0" w:after="80" w:line="259" w:lineRule="auto"/>
        <w:ind w:left="317" w:hanging="202"/>
      </w:pPr>
      <w:r>
        <w:rPr>
          <w:rFonts w:ascii="Liberation Sans" w:hAnsi="Liberation Sans"/>
          <w:b w:val="0"/>
          <w:i w:val="0"/>
          <w:color w:val="1D2433"/>
        </w:rPr>
        <w:t>No Hub token, model key, tool credential, or secret is stored inside .knolo bytes, events, checkpoints, or receipts.</w:t>
      </w:r>
    </w:p>
    <w:p>
      <w:pPr>
        <w:pStyle w:val="ListBullet"/>
        <w:spacing w:before="0" w:after="80" w:line="259" w:lineRule="auto"/>
        <w:ind w:left="317" w:hanging="202"/>
      </w:pPr>
      <w:r>
        <w:rPr>
          <w:rFonts w:ascii="Liberation Sans" w:hAnsi="Liberation Sans"/>
          <w:b w:val="0"/>
          <w:i w:val="0"/>
          <w:color w:val="1D2433"/>
        </w:rPr>
        <w:t>Registry tokens are never forwarded to Blob download URLs or third-party agents.</w:t>
      </w:r>
    </w:p>
    <w:p>
      <w:pPr>
        <w:pStyle w:val="ListBullet"/>
        <w:spacing w:before="0" w:after="80" w:line="259" w:lineRule="auto"/>
        <w:ind w:left="317" w:hanging="202"/>
      </w:pPr>
      <w:r>
        <w:rPr>
          <w:rFonts w:ascii="Liberation Sans" w:hAnsi="Liberation Sans"/>
          <w:b w:val="0"/>
          <w:i w:val="0"/>
          <w:color w:val="1D2433"/>
        </w:rPr>
        <w:t>Pack download uses manifest -&gt; direct Blob -&gt; SHA-256 -&gt; Core verification -&gt; compatibility/policy checks.</w:t>
      </w:r>
    </w:p>
    <w:p>
      <w:pPr>
        <w:pStyle w:val="ListBullet"/>
        <w:spacing w:before="0" w:after="80" w:line="259" w:lineRule="auto"/>
        <w:ind w:left="317" w:hanging="202"/>
      </w:pPr>
      <w:r>
        <w:rPr>
          <w:rFonts w:ascii="Liberation Sans" w:hAnsi="Liberation Sans"/>
          <w:b w:val="0"/>
          <w:i w:val="0"/>
          <w:color w:val="1D2433"/>
        </w:rPr>
        <w:t>Yanked versions fail by default; forced use must be explicit and recorded.</w:t>
      </w:r>
    </w:p>
    <w:p>
      <w:pPr>
        <w:pStyle w:val="ListBullet"/>
        <w:spacing w:before="0" w:after="80" w:line="259" w:lineRule="auto"/>
        <w:ind w:left="317" w:hanging="202"/>
      </w:pPr>
      <w:r>
        <w:rPr>
          <w:rFonts w:ascii="Liberation Sans" w:hAnsi="Liberation Sans"/>
          <w:b w:val="0"/>
          <w:i w:val="0"/>
          <w:color w:val="1D2433"/>
        </w:rPr>
        <w:t>External agent text, tool output, and Hub metadata are untrusted inputs until validated at their respective contract boundaries.</w:t>
      </w:r>
    </w:p>
    <w:p>
      <w:pPr>
        <w:pStyle w:val="ListBullet"/>
        <w:spacing w:before="0" w:after="80" w:line="259" w:lineRule="auto"/>
        <w:ind w:left="317" w:hanging="202"/>
      </w:pPr>
      <w:r>
        <w:rPr>
          <w:rFonts w:ascii="Liberation Sans" w:hAnsi="Liberation Sans"/>
          <w:b w:val="0"/>
          <w:i w:val="0"/>
          <w:color w:val="1D2433"/>
        </w:rPr>
        <w:t>Plugin/hook adapters must document what they can and cannot intercept; unsupported gating must fail explicitly rather than be silently ignored.</w:t>
      </w:r>
    </w:p>
    <w:p>
      <w:pPr>
        <w:pStyle w:val="ListBullet"/>
        <w:spacing w:before="0" w:after="80" w:line="259" w:lineRule="auto"/>
        <w:ind w:left="317" w:hanging="202"/>
      </w:pPr>
      <w:r>
        <w:rPr>
          <w:rFonts w:ascii="Liberation Sans" w:hAnsi="Liberation Sans"/>
          <w:b w:val="0"/>
          <w:i w:val="0"/>
          <w:color w:val="1D2433"/>
        </w:rPr>
        <w:t>Learning/publishing must be disabled by default for public Hub unless explicit publish authority and provenance policy exist.</w:t>
      </w:r>
    </w:p>
    <w:p>
      <w:pPr>
        <w:pStyle w:val="Heading1"/>
        <w:keepNext/>
        <w:spacing w:before="280" w:after="120"/>
      </w:pPr>
      <w:r>
        <w:rPr>
          <w:rFonts w:ascii="Liberation Sans" w:hAnsi="Liberation Sans"/>
          <w:b/>
          <w:color w:val="17233C"/>
          <w:sz w:val="36"/>
        </w:rPr>
        <w:t>14. Claude, Grok, and OpenClaw adapters</w:t>
      </w:r>
    </w:p>
    <w:p>
      <w:pPr>
        <w:spacing w:before="0" w:after="140" w:line="269" w:lineRule="auto"/>
      </w:pPr>
      <w:r>
        <w:rPr>
          <w:rFonts w:ascii="Liberation Sans" w:hAnsi="Liberation Sans"/>
          <w:b w:val="0"/>
          <w:i w:val="0"/>
          <w:color w:val="1D2433"/>
        </w:rPr>
        <w:t>Vendor adapters are examples of the universal contract, not special architecture. The first release should prove three different integration styles so “works with any agent” is demonstrated across a closed API model, a tool-capable model API, and an extensible local agent runtime.</w:t>
      </w:r>
    </w:p>
    <w:p>
      <w:pPr>
        <w:pStyle w:val="Heading2"/>
        <w:keepNext/>
        <w:spacing w:before="180" w:after="80"/>
      </w:pPr>
      <w:r>
        <w:rPr>
          <w:rFonts w:ascii="Liberation Sans" w:hAnsi="Liberation Sans"/>
          <w:b/>
          <w:color w:val="17233C"/>
          <w:sz w:val="27"/>
        </w:rPr>
        <w:t>14.1 Claude integration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7"/>
              </w:rPr>
              <w:t>Path</w:t>
            </w:r>
          </w:p>
        </w:tc>
        <w:tc>
          <w:tcPr>
            <w:tcW w:type="dxa" w:w="6983"/>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7"/>
              </w:rPr>
              <w:t>Implementation</w:t>
            </w:r>
          </w:p>
        </w:tc>
      </w:tr>
      <w:tr>
        <w:trPr>
          <w:cantSplit/>
        </w:trPr>
        <w:tc>
          <w:tcPr>
            <w:tcW w:type="dxa" w:w="259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Claude API / managed agent</w:t>
            </w:r>
          </w:p>
        </w:tc>
        <w:tc>
          <w:tcPr>
            <w:tcW w:type="dxa" w:w="6983"/>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L0/L1 adapter around the provider client. Inject ContextEnvelope before invocation; normalize tool use; gate host-owned tools; evaluate final output.</w:t>
            </w:r>
          </w:p>
        </w:tc>
      </w:tr>
      <w:tr>
        <w:trPr>
          <w:cantSplit/>
        </w:trPr>
        <w:tc>
          <w:tcPr>
            <w:tcW w:type="dxa" w:w="259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MCP-capable Claude surfaces</w:t>
            </w:r>
          </w:p>
        </w:tc>
        <w:tc>
          <w:tcPr>
            <w:tcW w:type="dxa" w:w="6983"/>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Expose Knolo knowledge/skill/evaluation functions through a Knolo MCP bridge. Keep registry/networking host-side and policy-gated.</w:t>
            </w:r>
          </w:p>
        </w:tc>
      </w:tr>
      <w:tr>
        <w:trPr>
          <w:cantSplit/>
        </w:trPr>
        <w:tc>
          <w:tcPr>
            <w:tcW w:type="dxa" w:w="259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Agent SDK / hook-capable host</w:t>
            </w:r>
          </w:p>
        </w:tc>
        <w:tc>
          <w:tcPr>
            <w:tcW w:type="dxa" w:w="6983"/>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Use available lifecycle/tool hooks to reach L2 where the host supports them. Do not depend on undocumented chain-of-thought access.</w:t>
            </w:r>
          </w:p>
        </w:tc>
      </w:tr>
    </w:tbl>
    <w:p>
      <w:pPr>
        <w:spacing w:after="40"/>
      </w:pPr>
    </w:p>
    <w:p>
      <w:pPr>
        <w:pStyle w:val="Heading2"/>
        <w:keepNext/>
        <w:spacing w:before="180" w:after="80"/>
      </w:pPr>
      <w:r>
        <w:rPr>
          <w:rFonts w:ascii="Liberation Sans" w:hAnsi="Liberation Sans"/>
          <w:b/>
          <w:color w:val="17233C"/>
          <w:sz w:val="27"/>
        </w:rPr>
        <w:t>14.2 Grok integration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7"/>
              </w:rPr>
              <w:t>Path</w:t>
            </w:r>
          </w:p>
        </w:tc>
        <w:tc>
          <w:tcPr>
            <w:tcW w:type="dxa" w:w="6983"/>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7"/>
              </w:rPr>
              <w:t>Implementation</w:t>
            </w:r>
          </w:p>
        </w:tc>
      </w:tr>
      <w:tr>
        <w:trPr>
          <w:cantSplit/>
        </w:trPr>
        <w:tc>
          <w:tcPr>
            <w:tcW w:type="dxa" w:w="259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xAI Responses / SDK</w:t>
            </w:r>
          </w:p>
        </w:tc>
        <w:tc>
          <w:tcPr>
            <w:tcW w:type="dxa" w:w="6983"/>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L0/L1 adapter using function calling. Knolo provides context and host-owned tools; xAI remains the model provider.</w:t>
            </w:r>
          </w:p>
        </w:tc>
      </w:tr>
      <w:tr>
        <w:trPr>
          <w:cantSplit/>
        </w:trPr>
        <w:tc>
          <w:tcPr>
            <w:tcW w:type="dxa" w:w="259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Custom MCP connector</w:t>
            </w:r>
          </w:p>
        </w:tc>
        <w:tc>
          <w:tcPr>
            <w:tcW w:type="dxa" w:w="6983"/>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Optional bridge surface where a deployed MCP server is appropriate; map Knolo capabilities to explicit tools/resources.</w:t>
            </w:r>
          </w:p>
        </w:tc>
      </w:tr>
      <w:tr>
        <w:trPr>
          <w:cantSplit/>
        </w:trPr>
        <w:tc>
          <w:tcPr>
            <w:tcW w:type="dxa" w:w="2592"/>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Grok multi-agent / future orchestrators</w:t>
            </w:r>
          </w:p>
        </w:tc>
        <w:tc>
          <w:tcPr>
            <w:tcW w:type="dxa" w:w="6983"/>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Treat the external multi-agent system as one AgentAdapter unless per-subagent hooks are exposed. Knolo policy still governs the host effects it controls.</w:t>
            </w:r>
          </w:p>
        </w:tc>
      </w:tr>
    </w:tbl>
    <w:p>
      <w:pPr>
        <w:spacing w:after="40"/>
      </w:pPr>
    </w:p>
    <w:p>
      <w:pPr>
        <w:pStyle w:val="Heading2"/>
        <w:keepNext/>
        <w:spacing w:before="180" w:after="80"/>
      </w:pPr>
      <w:r>
        <w:rPr>
          <w:rFonts w:ascii="Liberation Sans" w:hAnsi="Liberation Sans"/>
          <w:b/>
          <w:color w:val="17233C"/>
          <w:sz w:val="27"/>
        </w:rPr>
        <w:t>14.3 OpenClaw integration</w:t>
      </w:r>
    </w:p>
    <w:p>
      <w:pPr>
        <w:spacing w:before="0" w:after="140" w:line="269" w:lineRule="auto"/>
      </w:pPr>
      <w:r>
        <w:rPr>
          <w:rFonts w:ascii="Liberation Sans" w:hAnsi="Liberation Sans"/>
          <w:b w:val="0"/>
          <w:i w:val="0"/>
          <w:color w:val="1D2433"/>
        </w:rPr>
        <w:t>OpenClaw is the best proof of L2 integration because its current plugin SDK exposes typed hooks that can change prompt context, gate tool calls, observe model timing, and receive run/lifecycle events. It also has an “agent harness plugin” concept. Implement Knolo as an external plugin package rather than forking OpenClaw.</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6"/>
              </w:rPr>
              <w:t>OpenClaw hook/surface</w:t>
            </w:r>
          </w:p>
        </w:tc>
        <w:tc>
          <w:tcPr>
            <w:tcW w:type="dxa" w:w="6480"/>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6"/>
              </w:rPr>
              <w:t>Knolo use</w:t>
            </w:r>
          </w:p>
        </w:tc>
      </w:tr>
      <w:tr>
        <w:trPr>
          <w:cantSplit/>
        </w:trPr>
        <w:tc>
          <w:tcPr>
            <w:tcW w:type="dxa" w:w="30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before_prompt_build</w:t>
            </w:r>
          </w:p>
        </w:tc>
        <w:tc>
          <w:tcPr>
            <w:tcW w:type="dxa" w:w="64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Inject bounded ContextEnvelope text/evidence and narrow optional tools where supported.</w:t>
            </w:r>
          </w:p>
        </w:tc>
      </w:tr>
      <w:tr>
        <w:trPr>
          <w:cantSplit/>
        </w:trPr>
        <w:tc>
          <w:tcPr>
            <w:tcW w:type="dxa" w:w="30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before_tool_call</w:t>
            </w:r>
          </w:p>
        </w:tc>
        <w:tc>
          <w:tcPr>
            <w:tcW w:type="dxa" w:w="64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Apply Knolo authority, argument contracts, budgets, approvals, and tool receipts.</w:t>
            </w:r>
          </w:p>
        </w:tc>
      </w:tr>
      <w:tr>
        <w:trPr>
          <w:cantSplit/>
        </w:trPr>
        <w:tc>
          <w:tcPr>
            <w:tcW w:type="dxa" w:w="30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before_agent_run / before_agent_reply</w:t>
            </w:r>
          </w:p>
        </w:tc>
        <w:tc>
          <w:tcPr>
            <w:tcW w:type="dxa" w:w="64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Apply task/run policy and bounded preflight checks where emitted.</w:t>
            </w:r>
          </w:p>
        </w:tc>
      </w:tr>
      <w:tr>
        <w:trPr>
          <w:cantSplit/>
        </w:trPr>
        <w:tc>
          <w:tcPr>
            <w:tcW w:type="dxa" w:w="30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agent_end</w:t>
            </w:r>
          </w:p>
        </w:tc>
        <w:tc>
          <w:tcPr>
            <w:tcW w:type="dxa" w:w="64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Finalize evaluation, record experience, emit Knolo run receipt.</w:t>
            </w:r>
          </w:p>
        </w:tc>
      </w:tr>
      <w:tr>
        <w:trPr>
          <w:cantSplit/>
        </w:trPr>
        <w:tc>
          <w:tcPr>
            <w:tcW w:type="dxa" w:w="30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Gateway webhook / external integration</w:t>
            </w:r>
          </w:p>
        </w:tc>
        <w:tc>
          <w:tcPr>
            <w:tcW w:type="dxa" w:w="64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Allow a Knolo host to start/observe an OpenClaw agent through explicit HTTP ingress when plugin installation is not possible.</w:t>
            </w:r>
          </w:p>
        </w:tc>
      </w:tr>
      <w:tr>
        <w:trPr>
          <w:cantSplit/>
        </w:trPr>
        <w:tc>
          <w:tcPr>
            <w:tcW w:type="dxa" w:w="30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Agent harness plugin</w:t>
            </w:r>
          </w:p>
        </w:tc>
        <w:tc>
          <w:tcPr>
            <w:tcW w:type="dxa" w:w="64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Preferred deep integration target as OpenClaw stabilizes the API; pin tested host versions because current plugin APIs are experimental.</w:t>
            </w:r>
          </w:p>
        </w:tc>
      </w:tr>
    </w:tbl>
    <w:p>
      <w:pPr>
        <w:spacing w:after="40"/>
      </w:pPr>
    </w:p>
    <w:p>
      <w:pPr>
        <w:pStyle w:val="Heading2"/>
        <w:keepNext/>
        <w:spacing w:before="180" w:after="80"/>
      </w:pPr>
      <w:r>
        <w:rPr>
          <w:rFonts w:ascii="Liberation Sans" w:hAnsi="Liberation Sans"/>
          <w:b/>
          <w:color w:val="17233C"/>
          <w:sz w:val="27"/>
        </w:rPr>
        <w:t>14.4 Universal fallback</w:t>
      </w:r>
    </w:p>
    <w:tbl>
      <w:tblPr>
        <w:tblW w:type="auto" w:w="0"/>
        <w:jc w:val="center"/>
        <w:tblLayout w:type="fixed"/>
        <w:tblLook w:firstColumn="1" w:firstRow="1" w:lastColumn="0" w:lastRow="0" w:noHBand="0" w:noVBand="1" w:val="04A0"/>
      </w:tblPr>
      <w:tblGrid>
        <w:gridCol w:w="9994"/>
      </w:tblGrid>
      <w:tr>
        <w:trPr>
          <w:cantSplit/>
        </w:trPr>
        <w:tc>
          <w:tcPr>
            <w:tcW w:type="dxa" w:w="9576"/>
            <w:shd w:fill="EAF8F7"/>
            <w:tcMar>
              <w:top w:w="150" w:type="dxa"/>
              <w:start w:w="180" w:type="dxa"/>
              <w:bottom w:w="150" w:type="dxa"/>
              <w:end w:w="180" w:type="dxa"/>
            </w:tcMar>
            <w:tcBorders>
              <w:top w:val="nil"/>
              <w:left w:val="single" w:sz="18" w:color="149C95"/>
              <w:bottom w:val="nil"/>
              <w:right w:val="nil"/>
            </w:tcBorders>
          </w:tcPr>
          <w:p>
            <w:pPr>
              <w:spacing w:before="0" w:after="60" w:line="259" w:lineRule="auto"/>
            </w:pPr>
            <w:r>
              <w:rPr>
                <w:rFonts w:ascii="Liberation Sans" w:hAnsi="Liberation Sans"/>
                <w:b/>
                <w:i w:val="0"/>
                <w:color w:val="149C95"/>
                <w:sz w:val="23"/>
              </w:rPr>
              <w:t>Compatibility guarantee target</w:t>
            </w:r>
          </w:p>
          <w:p>
            <w:pPr>
              <w:spacing w:before="0" w:after="0" w:line="259" w:lineRule="auto"/>
            </w:pPr>
            <w:r>
              <w:rPr>
                <w:rFonts w:ascii="Liberation Sans" w:hAnsi="Liberation Sans"/>
                <w:b w:val="0"/>
                <w:i w:val="0"/>
                <w:color w:val="1D2433"/>
                <w:sz w:val="21"/>
              </w:rPr>
              <w:t>If a third-party agent can accept input and return output, Knolo should support at least L0. If it exposes tools, Knolo should reach L1. If it exposes hooks/checkpoints/events, Knolo should reach L2. Only Knolo-native agents are required to reach L3.</w:t>
            </w:r>
          </w:p>
        </w:tc>
      </w:tr>
    </w:tbl>
    <w:p>
      <w:pPr>
        <w:spacing w:after="20"/>
      </w:pPr>
    </w:p>
    <w:p>
      <w:pPr>
        <w:pStyle w:val="Heading1"/>
        <w:keepNext/>
        <w:spacing w:before="280" w:after="120"/>
      </w:pPr>
      <w:r>
        <w:rPr>
          <w:rFonts w:ascii="Liberation Sans" w:hAnsi="Liberation Sans"/>
          <w:b/>
          <w:color w:val="17233C"/>
          <w:sz w:val="36"/>
        </w:rPr>
        <w:t>15. Repository conversion map</w:t>
      </w:r>
    </w:p>
    <w:p>
      <w:pPr>
        <w:pStyle w:val="Heading2"/>
        <w:keepNext/>
        <w:spacing w:before="180" w:after="80"/>
      </w:pPr>
      <w:r>
        <w:rPr>
          <w:rFonts w:ascii="Liberation Sans" w:hAnsi="Liberation Sans"/>
          <w:b/>
          <w:color w:val="17233C"/>
          <w:sz w:val="27"/>
        </w:rPr>
        <w:t>15.1 Additive TypeScript layout</w:t>
      </w:r>
    </w:p>
    <w:tbl>
      <w:tblPr>
        <w:tblW w:type="auto" w:w="0"/>
        <w:jc w:val="center"/>
        <w:tblLayout w:type="fixed"/>
        <w:tblLook w:firstColumn="1" w:firstRow="1" w:lastColumn="0" w:lastRow="0" w:noHBand="0" w:noVBand="1" w:val="04A0"/>
      </w:tblPr>
      <w:tblGrid>
        <w:gridCol w:w="9994"/>
      </w:tblGrid>
      <w:tr>
        <w:trPr>
          <w:cantSplit/>
        </w:trPr>
        <w:tc>
          <w:tcPr>
            <w:tcW w:type="dxa" w:w="9576"/>
            <w:shd w:fill="F6F7F9"/>
            <w:tcMar>
              <w:top w:w="120" w:type="dxa"/>
              <w:start w:w="150" w:type="dxa"/>
              <w:bottom w:w="120" w:type="dxa"/>
              <w:end w:w="150" w:type="dxa"/>
            </w:tcMar>
            <w:tcBorders>
              <w:top w:val="single" w:sz="5" w:color="D8E0EA"/>
              <w:left w:val="single" w:sz="5" w:color="D8E0EA"/>
              <w:bottom w:val="single" w:sz="5" w:color="D8E0EA"/>
              <w:right w:val="single" w:sz="5" w:color="D8E0EA"/>
            </w:tcBorders>
          </w:tcPr>
          <w:p>
            <w:pPr>
              <w:spacing w:before="0" w:after="0" w:line="240" w:lineRule="auto"/>
            </w:pPr>
            <w:r>
              <w:rPr>
                <w:rFonts w:ascii="Liberation Mono" w:hAnsi="Liberation Mono"/>
                <w:b w:val="0"/>
                <w:i w:val="0"/>
                <w:color w:val="2A3240"/>
                <w:sz w:val="17"/>
              </w:rPr>
              <w:t>packages/agents/src/</w:t>
            </w:r>
            <w:r>
              <w:br/>
            </w:r>
            <w:r>
              <w:rPr>
                <w:rFonts w:ascii="Liberation Mono" w:hAnsi="Liberation Mono"/>
                <w:b w:val="0"/>
                <w:i w:val="0"/>
                <w:color w:val="2A3240"/>
                <w:sz w:val="17"/>
              </w:rPr>
              <w:t xml:space="preserve">  existing/                    KEEP</w:t>
            </w:r>
            <w:r>
              <w:br/>
            </w:r>
            <w:r>
              <w:rPr>
                <w:rFonts w:ascii="Liberation Mono" w:hAnsi="Liberation Mono"/>
                <w:b w:val="0"/>
                <w:i w:val="0"/>
                <w:color w:val="2A3240"/>
                <w:sz w:val="17"/>
              </w:rPr>
              <w:t xml:space="preserve">    agent/ builder/ claims/ contracts/ cortex/</w:t>
            </w:r>
            <w:r>
              <w:br/>
            </w:r>
            <w:r>
              <w:rPr>
                <w:rFonts w:ascii="Liberation Mono" w:hAnsi="Liberation Mono"/>
                <w:b w:val="0"/>
                <w:i w:val="0"/>
                <w:color w:val="2A3240"/>
                <w:sz w:val="17"/>
              </w:rPr>
              <w:t xml:space="preserve">    engine/ hitl/ icp/ multi-agent/ pack/ replay/</w:t>
            </w:r>
            <w:r>
              <w:br/>
            </w:r>
            <w:r>
              <w:rPr>
                <w:rFonts w:ascii="Liberation Mono" w:hAnsi="Liberation Mono"/>
                <w:b w:val="0"/>
                <w:i w:val="0"/>
                <w:color w:val="2A3240"/>
                <w:sz w:val="17"/>
              </w:rPr>
            </w:r>
            <w:r>
              <w:br/>
            </w:r>
            <w:r>
              <w:rPr>
                <w:rFonts w:ascii="Liberation Mono" w:hAnsi="Liberation Mono"/>
                <w:b w:val="0"/>
                <w:i w:val="0"/>
                <w:color w:val="2A3240"/>
                <w:sz w:val="17"/>
              </w:rPr>
              <w:t xml:space="preserve">  harness/</w:t>
            </w:r>
            <w:r>
              <w:br/>
            </w:r>
            <w:r>
              <w:rPr>
                <w:rFonts w:ascii="Liberation Mono" w:hAnsi="Liberation Mono"/>
                <w:b w:val="0"/>
                <w:i w:val="0"/>
                <w:color w:val="2A3240"/>
                <w:sz w:val="17"/>
              </w:rPr>
              <w:t xml:space="preserve">    harness.ts session.ts lifecycle.ts task.ts</w:t>
            </w:r>
            <w:r>
              <w:br/>
            </w:r>
            <w:r>
              <w:rPr>
                <w:rFonts w:ascii="Liberation Mono" w:hAnsi="Liberation Mono"/>
                <w:b w:val="0"/>
                <w:i w:val="0"/>
                <w:color w:val="2A3240"/>
                <w:sz w:val="17"/>
              </w:rPr>
              <w:t xml:space="preserve">  adapters/</w:t>
            </w:r>
            <w:r>
              <w:br/>
            </w:r>
            <w:r>
              <w:rPr>
                <w:rFonts w:ascii="Liberation Mono" w:hAnsi="Liberation Mono"/>
                <w:b w:val="0"/>
                <w:i w:val="0"/>
                <w:color w:val="2A3240"/>
                <w:sz w:val="17"/>
              </w:rPr>
              <w:t xml:space="preserve">    adapter.ts callable.ts http.ts process.ts mcp.ts</w:t>
            </w:r>
            <w:r>
              <w:br/>
            </w:r>
            <w:r>
              <w:rPr>
                <w:rFonts w:ascii="Liberation Mono" w:hAnsi="Liberation Mono"/>
                <w:b w:val="0"/>
                <w:i w:val="0"/>
                <w:color w:val="2A3240"/>
                <w:sz w:val="17"/>
              </w:rPr>
              <w:t xml:space="preserve">    native-knolo.ts step-agent.ts tool-agent.ts</w:t>
            </w:r>
            <w:r>
              <w:br/>
            </w:r>
            <w:r>
              <w:rPr>
                <w:rFonts w:ascii="Liberation Mono" w:hAnsi="Liberation Mono"/>
                <w:b w:val="0"/>
                <w:i w:val="0"/>
                <w:color w:val="2A3240"/>
                <w:sz w:val="17"/>
              </w:rPr>
              <w:t xml:space="preserve">  context/</w:t>
            </w:r>
            <w:r>
              <w:br/>
            </w:r>
            <w:r>
              <w:rPr>
                <w:rFonts w:ascii="Liberation Mono" w:hAnsi="Liberation Mono"/>
                <w:b w:val="0"/>
                <w:i w:val="0"/>
                <w:color w:val="2A3240"/>
                <w:sz w:val="17"/>
              </w:rPr>
              <w:t xml:space="preserve">    compiler.ts envelope.ts budget.ts</w:t>
            </w:r>
            <w:r>
              <w:br/>
            </w:r>
            <w:r>
              <w:rPr>
                <w:rFonts w:ascii="Liberation Mono" w:hAnsi="Liberation Mono"/>
                <w:b w:val="0"/>
                <w:i w:val="0"/>
                <w:color w:val="2A3240"/>
                <w:sz w:val="17"/>
              </w:rPr>
              <w:t xml:space="preserve">  capabilities/</w:t>
            </w:r>
            <w:r>
              <w:br/>
            </w:r>
            <w:r>
              <w:rPr>
                <w:rFonts w:ascii="Liberation Mono" w:hAnsi="Liberation Mono"/>
                <w:b w:val="0"/>
                <w:i w:val="0"/>
                <w:color w:val="2A3240"/>
                <w:sz w:val="17"/>
              </w:rPr>
              <w:t xml:space="preserve">    manifest.ts index.ts resolver.ts compatibility.ts</w:t>
            </w:r>
            <w:r>
              <w:br/>
            </w:r>
            <w:r>
              <w:rPr>
                <w:rFonts w:ascii="Liberation Mono" w:hAnsi="Liberation Mono"/>
                <w:b w:val="0"/>
                <w:i w:val="0"/>
                <w:color w:val="2A3240"/>
                <w:sz w:val="17"/>
              </w:rPr>
              <w:t xml:space="preserve">  registry/</w:t>
            </w:r>
            <w:r>
              <w:br/>
            </w:r>
            <w:r>
              <w:rPr>
                <w:rFonts w:ascii="Liberation Mono" w:hAnsi="Liberation Mono"/>
                <w:b w:val="0"/>
                <w:i w:val="0"/>
                <w:color w:val="2A3240"/>
                <w:sz w:val="17"/>
              </w:rPr>
              <w:t xml:space="preserve">    capability.ts resolver.ts trust-policy.ts activation.ts</w:t>
            </w:r>
            <w:r>
              <w:br/>
            </w:r>
            <w:r>
              <w:rPr>
                <w:rFonts w:ascii="Liberation Mono" w:hAnsi="Liberation Mono"/>
                <w:b w:val="0"/>
                <w:i w:val="0"/>
                <w:color w:val="2A3240"/>
                <w:sz w:val="17"/>
              </w:rPr>
              <w:t xml:space="preserve">  skills/</w:t>
            </w:r>
            <w:r>
              <w:br/>
            </w:r>
            <w:r>
              <w:rPr>
                <w:rFonts w:ascii="Liberation Mono" w:hAnsi="Liberation Mono"/>
                <w:b w:val="0"/>
                <w:i w:val="0"/>
                <w:color w:val="2A3240"/>
                <w:sz w:val="17"/>
              </w:rPr>
              <w:t xml:space="preserve">    definition.ts resolver.ts runtime.ts promotion.ts</w:t>
            </w:r>
            <w:r>
              <w:br/>
            </w:r>
            <w:r>
              <w:rPr>
                <w:rFonts w:ascii="Liberation Mono" w:hAnsi="Liberation Mono"/>
                <w:b w:val="0"/>
                <w:i w:val="0"/>
                <w:color w:val="2A3240"/>
                <w:sz w:val="17"/>
              </w:rPr>
              <w:t xml:space="preserve">  dependencies/</w:t>
            </w:r>
            <w:r>
              <w:br/>
            </w:r>
            <w:r>
              <w:rPr>
                <w:rFonts w:ascii="Liberation Mono" w:hAnsi="Liberation Mono"/>
                <w:b w:val="0"/>
                <w:i w:val="0"/>
                <w:color w:val="2A3240"/>
                <w:sz w:val="17"/>
              </w:rPr>
              <w:t xml:space="preserve">    lock.ts snapshot.ts root.ts</w:t>
            </w:r>
            <w:r>
              <w:br/>
            </w:r>
            <w:r>
              <w:rPr>
                <w:rFonts w:ascii="Liberation Mono" w:hAnsi="Liberation Mono"/>
                <w:b w:val="0"/>
                <w:i w:val="0"/>
                <w:color w:val="2A3240"/>
                <w:sz w:val="17"/>
              </w:rPr>
              <w:t xml:space="preserve">  experience/</w:t>
            </w:r>
            <w:r>
              <w:br/>
            </w:r>
            <w:r>
              <w:rPr>
                <w:rFonts w:ascii="Liberation Mono" w:hAnsi="Liberation Mono"/>
                <w:b w:val="0"/>
                <w:i w:val="0"/>
                <w:color w:val="2A3240"/>
                <w:sz w:val="17"/>
              </w:rPr>
              <w:t xml:space="preserve">    record.ts lesson.ts learner.ts</w:t>
            </w:r>
            <w:r>
              <w:br/>
            </w:r>
            <w:r>
              <w:rPr>
                <w:rFonts w:ascii="Liberation Mono" w:hAnsi="Liberation Mono"/>
                <w:b w:val="0"/>
                <w:i w:val="0"/>
                <w:color w:val="2A3240"/>
                <w:sz w:val="17"/>
              </w:rPr>
              <w:t xml:space="preserve">  evaluation/</w:t>
            </w:r>
            <w:r>
              <w:br/>
            </w:r>
            <w:r>
              <w:rPr>
                <w:rFonts w:ascii="Liberation Mono" w:hAnsi="Liberation Mono"/>
                <w:b w:val="0"/>
                <w:i w:val="0"/>
                <w:color w:val="2A3240"/>
                <w:sz w:val="17"/>
              </w:rPr>
              <w:t xml:space="preserve">    evaluator.ts suite.ts benchmark.ts receipt.ts</w:t>
            </w:r>
            <w:r>
              <w:br/>
            </w:r>
            <w:r>
              <w:rPr>
                <w:rFonts w:ascii="Liberation Mono" w:hAnsi="Liberation Mono"/>
                <w:b w:val="0"/>
                <w:i w:val="0"/>
                <w:color w:val="2A3240"/>
                <w:sz w:val="17"/>
              </w:rPr>
              <w:t xml:space="preserve">  recovery/</w:t>
            </w:r>
            <w:r>
              <w:br/>
            </w:r>
            <w:r>
              <w:rPr>
                <w:rFonts w:ascii="Liberation Mono" w:hAnsi="Liberation Mono"/>
                <w:b w:val="0"/>
                <w:i w:val="0"/>
                <w:color w:val="2A3240"/>
                <w:sz w:val="17"/>
              </w:rPr>
              <w:t xml:space="preserve">    policy.ts classifier.ts strategies.ts fallback.ts</w:t>
            </w:r>
            <w:r>
              <w:br/>
            </w:r>
            <w:r>
              <w:rPr>
                <w:rFonts w:ascii="Liberation Mono" w:hAnsi="Liberation Mono"/>
                <w:b w:val="0"/>
                <w:i w:val="0"/>
                <w:color w:val="2A3240"/>
                <w:sz w:val="17"/>
              </w:rPr>
              <w:t xml:space="preserve">  middleware/</w:t>
            </w:r>
            <w:r>
              <w:br/>
            </w:r>
            <w:r>
              <w:rPr>
                <w:rFonts w:ascii="Liberation Mono" w:hAnsi="Liberation Mono"/>
                <w:b w:val="0"/>
                <w:i w:val="0"/>
                <w:color w:val="2A3240"/>
                <w:sz w:val="17"/>
              </w:rPr>
              <w:t xml:space="preserve">    hooks.ts pipeline.ts</w:t>
            </w:r>
            <w:r>
              <w:br/>
            </w:r>
            <w:r>
              <w:rPr>
                <w:rFonts w:ascii="Liberation Mono" w:hAnsi="Liberation Mono"/>
                <w:b w:val="0"/>
                <w:i w:val="0"/>
                <w:color w:val="2A3240"/>
                <w:sz w:val="17"/>
              </w:rPr>
              <w:t xml:space="preserve">  core-v5/</w:t>
            </w:r>
            <w:r>
              <w:br/>
            </w:r>
            <w:r>
              <w:rPr>
                <w:rFonts w:ascii="Liberation Mono" w:hAnsi="Liberation Mono"/>
                <w:b w:val="0"/>
                <w:i w:val="0"/>
                <w:color w:val="2A3240"/>
                <w:sz w:val="17"/>
              </w:rPr>
              <w:t xml:space="preserve">    runs.ts cortex.ts claimgraph.ts knowledge.ts authority.ts evidence.ts</w:t>
            </w:r>
          </w:p>
        </w:tc>
      </w:tr>
    </w:tbl>
    <w:p>
      <w:pPr>
        <w:spacing w:after="20"/>
      </w:pPr>
    </w:p>
    <w:p>
      <w:pPr>
        <w:pStyle w:val="Heading2"/>
        <w:keepNext/>
        <w:spacing w:before="180" w:after="80"/>
      </w:pPr>
      <w:r>
        <w:rPr>
          <w:rFonts w:ascii="Liberation Sans" w:hAnsi="Liberation Sans"/>
          <w:b/>
          <w:color w:val="17233C"/>
          <w:sz w:val="27"/>
        </w:rPr>
        <w:t>15.2 Rust contract additions</w:t>
      </w:r>
    </w:p>
    <w:p>
      <w:pPr>
        <w:pStyle w:val="ListBullet"/>
        <w:spacing w:before="0" w:after="80" w:line="259" w:lineRule="auto"/>
        <w:ind w:left="317" w:hanging="202"/>
      </w:pPr>
      <w:r>
        <w:rPr>
          <w:rFonts w:ascii="Liberation Sans" w:hAnsi="Liberation Sans"/>
          <w:b w:val="0"/>
          <w:i w:val="0"/>
          <w:color w:val="1D2433"/>
        </w:rPr>
        <w:t>Add portable representations for TaskV1, AgentDescriptorV1, capability metadata, dependency snapshots/root, evaluation criteria/results, recovery events, and harness receipts to knolo-agent-core where cross-language parity is required.</w:t>
      </w:r>
    </w:p>
    <w:p>
      <w:pPr>
        <w:pStyle w:val="ListBullet"/>
        <w:spacing w:before="0" w:after="80" w:line="259" w:lineRule="auto"/>
        <w:ind w:left="317" w:hanging="202"/>
      </w:pPr>
      <w:r>
        <w:rPr>
          <w:rFonts w:ascii="Liberation Sans" w:hAnsi="Liberation Sans"/>
          <w:b w:val="0"/>
          <w:i w:val="0"/>
          <w:color w:val="1D2433"/>
        </w:rPr>
        <w:t>Do not duplicate Core V5 container or Knowledge Image semantics in Rust. Agents consumes verified identities/contracts from Core boundaries.</w:t>
      </w:r>
    </w:p>
    <w:p>
      <w:pPr>
        <w:pStyle w:val="ListBullet"/>
        <w:spacing w:before="0" w:after="80" w:line="259" w:lineRule="auto"/>
        <w:ind w:left="317" w:hanging="202"/>
      </w:pPr>
      <w:r>
        <w:rPr>
          <w:rFonts w:ascii="Liberation Sans" w:hAnsi="Liberation Sans"/>
          <w:b w:val="0"/>
          <w:i w:val="0"/>
          <w:color w:val="1D2433"/>
        </w:rPr>
        <w:t>Keep the Rust scheduler authoritative for L3 graph execution. The universal harness does not turn the TypeScript engine into a second native scheduler.</w:t>
      </w:r>
    </w:p>
    <w:p>
      <w:pPr>
        <w:pStyle w:val="ListBullet"/>
        <w:spacing w:before="0" w:after="80" w:line="259" w:lineRule="auto"/>
        <w:ind w:left="317" w:hanging="202"/>
      </w:pPr>
      <w:r>
        <w:rPr>
          <w:rFonts w:ascii="Liberation Sans" w:hAnsi="Liberation Sans"/>
          <w:b w:val="0"/>
          <w:i w:val="0"/>
          <w:color w:val="1D2433"/>
        </w:rPr>
        <w:t>Add conformance fixtures shared across TypeScript/Rust/WASM for normalized adapter events and dependency-root calculations.</w:t>
      </w:r>
    </w:p>
    <w:p>
      <w:pPr>
        <w:pStyle w:val="Heading2"/>
        <w:keepNext/>
        <w:spacing w:before="180" w:after="80"/>
      </w:pPr>
      <w:r>
        <w:rPr>
          <w:rFonts w:ascii="Liberation Sans" w:hAnsi="Liberation Sans"/>
          <w:b/>
          <w:color w:val="17233C"/>
          <w:sz w:val="27"/>
        </w:rPr>
        <w:t>15.3 Compatibility shims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6"/>
              </w:rPr>
              <w:t>Legacy surface</w:t>
            </w:r>
          </w:p>
        </w:tc>
        <w:tc>
          <w:tcPr>
            <w:tcW w:type="dxa" w:w="6696"/>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6"/>
              </w:rPr>
              <w:t>Compatibility action</w:t>
            </w:r>
          </w:p>
        </w:tc>
      </w:tr>
      <w:tr>
        <w:trPr>
          <w:cantSplit/>
        </w:trPr>
        <w:tc>
          <w:tcPr>
            <w:tcW w:type="dxa" w:w="28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Agent.load(...)</w:t>
            </w:r>
          </w:p>
        </w:tc>
        <w:tc>
          <w:tcPr>
            <w:tcW w:type="dxa" w:w="66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Keep unchanged. Add nativeKnoloAgent(agent) adapter; do not force HarnessSession adoption.</w:t>
            </w:r>
          </w:p>
        </w:tc>
      </w:tr>
      <w:tr>
        <w:trPr>
          <w:cantSplit/>
        </w:trPr>
        <w:tc>
          <w:tcPr>
            <w:tcW w:type="dxa" w:w="28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CortexCapability</w:t>
            </w:r>
          </w:p>
        </w:tc>
        <w:tc>
          <w:tcPr>
            <w:tcW w:type="dxa" w:w="66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Keep interface. Add LegacyCortexAdapter and V5CortexAdapter.</w:t>
            </w:r>
          </w:p>
        </w:tc>
      </w:tr>
      <w:tr>
        <w:trPr>
          <w:cantSplit/>
        </w:trPr>
        <w:tc>
          <w:tcPr>
            <w:tcW w:type="dxa" w:w="28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ClaimGraphCapability</w:t>
            </w:r>
          </w:p>
        </w:tc>
        <w:tc>
          <w:tcPr>
            <w:tcW w:type="dxa" w:w="66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Keep interface. Add legacy/V5 boundary adapters.</w:t>
            </w:r>
          </w:p>
        </w:tc>
      </w:tr>
      <w:tr>
        <w:trPr>
          <w:cantSplit/>
        </w:trPr>
        <w:tc>
          <w:tcPr>
            <w:tcW w:type="dxa" w:w="28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loadPack / pack terminology</w:t>
            </w:r>
          </w:p>
        </w:tc>
        <w:tc>
          <w:tcPr>
            <w:tcW w:type="dxa" w:w="66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Keep old entry points. Introduce clearer Authority Pack / Capability Pack names additively; deprecate only after migration window.</w:t>
            </w:r>
          </w:p>
        </w:tc>
      </w:tr>
      <w:tr>
        <w:trPr>
          <w:cantSplit/>
        </w:trPr>
        <w:tc>
          <w:tcPr>
            <w:tcW w:type="dxa" w:w="28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TypeScript/WASM explicit engine selection</w:t>
            </w:r>
          </w:p>
        </w:tc>
        <w:tc>
          <w:tcPr>
            <w:tcW w:type="dxa" w:w="66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Preserve no-silent-fallback rule.</w:t>
            </w:r>
          </w:p>
        </w:tc>
      </w:tr>
      <w:tr>
        <w:trPr>
          <w:cantSplit/>
        </w:trPr>
        <w:tc>
          <w:tcPr>
            <w:tcW w:type="dxa" w:w="28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Existing event/checkpoint formats</w:t>
            </w:r>
          </w:p>
        </w:tc>
        <w:tc>
          <w:tcPr>
            <w:tcW w:type="dxa" w:w="66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Version new harness events separately; do not silently reinterpret existing event semantics.</w:t>
            </w:r>
          </w:p>
        </w:tc>
      </w:tr>
    </w:tbl>
    <w:p>
      <w:pPr>
        <w:spacing w:after="40"/>
      </w:pPr>
    </w:p>
    <w:p>
      <w:pPr>
        <w:pStyle w:val="Heading1"/>
        <w:keepNext/>
        <w:spacing w:before="280" w:after="120"/>
      </w:pPr>
      <w:r>
        <w:rPr>
          <w:rFonts w:ascii="Liberation Sans" w:hAnsi="Liberation Sans"/>
          <w:b/>
          <w:color w:val="17233C"/>
          <w:sz w:val="36"/>
        </w:rPr>
        <w:t>16. Release and PR implementation sequence</w:t>
      </w:r>
    </w:p>
    <w:p>
      <w:pPr>
        <w:spacing w:before="0" w:after="140" w:line="269" w:lineRule="auto"/>
      </w:pPr>
      <w:r>
        <w:rPr>
          <w:rFonts w:ascii="Liberation Sans" w:hAnsi="Liberation Sans"/>
          <w:b w:val="0"/>
          <w:i w:val="0"/>
          <w:color w:val="1D2433"/>
        </w:rPr>
        <w:t>Use small, independently testable PRs. Every PR must keep the current repository green and preserve old examples. The sequence below intentionally front-loads compatibility, contracts, and benchmark baselines before adding automatic Hub behavior.</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296"/>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4"/>
              </w:rPr>
              <w:t>Release / PR</w:t>
            </w:r>
          </w:p>
        </w:tc>
        <w:tc>
          <w:tcPr>
            <w:tcW w:type="dxa" w:w="1800"/>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4"/>
              </w:rPr>
              <w:t>Objective</w:t>
            </w:r>
          </w:p>
        </w:tc>
        <w:tc>
          <w:tcPr>
            <w:tcW w:type="dxa" w:w="4176"/>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4"/>
              </w:rPr>
              <w:t>Scope</w:t>
            </w:r>
          </w:p>
        </w:tc>
        <w:tc>
          <w:tcPr>
            <w:tcW w:type="dxa" w:w="2304"/>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4"/>
              </w:rPr>
              <w:t>Acceptance gate</w:t>
            </w:r>
          </w:p>
        </w:tc>
      </w:tr>
      <w:tr>
        <w:trPr>
          <w:cantSplit/>
        </w:trPr>
        <w:tc>
          <w:tcPr>
            <w:tcW w:type="dxa" w:w="12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0.2 / PR 0</w:t>
            </w:r>
          </w:p>
        </w:tc>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Baseline + contract freeze</w:t>
            </w:r>
          </w:p>
        </w:tc>
        <w:tc>
          <w:tcPr>
            <w:tcW w:type="dxa" w:w="417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Record current tests/examples; add benchmark fixtures; compatibility matrix; document “do not delete” APIs.</w:t>
            </w:r>
          </w:p>
        </w:tc>
        <w:tc>
          <w:tcPr>
            <w:tcW w:type="dxa" w:w="23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Old tests green; baseline ACS captured for at least 3 task suites.</w:t>
            </w:r>
          </w:p>
        </w:tc>
      </w:tr>
      <w:tr>
        <w:trPr>
          <w:cantSplit/>
        </w:trPr>
        <w:tc>
          <w:tcPr>
            <w:tcW w:type="dxa" w:w="12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0.2 / PR 1</w:t>
            </w:r>
          </w:p>
        </w:tc>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Core V5 alignment</w:t>
            </w:r>
          </w:p>
        </w:tc>
        <w:tc>
          <w:tcPr>
            <w:tcW w:type="dxa" w:w="417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Update peer compatibility; add core-v5 adapters for Knowledge Images, Cortex, ClaimGraph, durable runs, authority, evidence, diagnostics.</w:t>
            </w:r>
          </w:p>
        </w:tc>
        <w:tc>
          <w:tcPr>
            <w:tcW w:type="dxa" w:w="23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Works with Core V5; legacy adapter tests pass; no hidden network effects.</w:t>
            </w:r>
          </w:p>
        </w:tc>
      </w:tr>
      <w:tr>
        <w:trPr>
          <w:cantSplit/>
        </w:trPr>
        <w:tc>
          <w:tcPr>
            <w:tcW w:type="dxa" w:w="12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0.3 / PR 2</w:t>
            </w:r>
          </w:p>
        </w:tc>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Harness core</w:t>
            </w:r>
          </w:p>
        </w:tc>
        <w:tc>
          <w:tcPr>
            <w:tcW w:type="dxa" w:w="417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TaskV1, HarnessSession, lifecycle, middleware pipeline, ContextEnvelope skeleton.</w:t>
            </w:r>
          </w:p>
        </w:tc>
        <w:tc>
          <w:tcPr>
            <w:tcW w:type="dxa" w:w="23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Can wrap a dummy callable agent and produce a run/evaluation receipt.</w:t>
            </w:r>
          </w:p>
        </w:tc>
      </w:tr>
      <w:tr>
        <w:trPr>
          <w:cantSplit/>
        </w:trPr>
        <w:tc>
          <w:tcPr>
            <w:tcW w:type="dxa" w:w="12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0.3 / PR 3</w:t>
            </w:r>
          </w:p>
        </w:tc>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AgentAdapter levels</w:t>
            </w:r>
          </w:p>
        </w:tc>
        <w:tc>
          <w:tcPr>
            <w:tcW w:type="dxa" w:w="417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Callable, HTTP, process, tool-aware, native Knolo adapters; capability introspection.</w:t>
            </w:r>
          </w:p>
        </w:tc>
        <w:tc>
          <w:tcPr>
            <w:tcW w:type="dxa" w:w="23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L0, L1, L3 conformance fixtures pass; failures normalized.</w:t>
            </w:r>
          </w:p>
        </w:tc>
      </w:tr>
      <w:tr>
        <w:trPr>
          <w:cantSplit/>
        </w:trPr>
        <w:tc>
          <w:tcPr>
            <w:tcW w:type="dxa" w:w="12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0.3 / PR 4</w:t>
            </w:r>
          </w:p>
        </w:tc>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Context compiler</w:t>
            </w:r>
          </w:p>
        </w:tc>
        <w:tc>
          <w:tcPr>
            <w:tcW w:type="dxa" w:w="417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Evidence retrieval, memory recall, budgeted context assembly, deterministic selection receipts.</w:t>
            </w:r>
          </w:p>
        </w:tc>
        <w:tc>
          <w:tcPr>
            <w:tcW w:type="dxa" w:w="23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Same inputs produce same deterministic context selection before provider call.</w:t>
            </w:r>
          </w:p>
        </w:tc>
      </w:tr>
      <w:tr>
        <w:trPr>
          <w:cantSplit/>
        </w:trPr>
        <w:tc>
          <w:tcPr>
            <w:tcW w:type="dxa" w:w="12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0.4 / PR 5</w:t>
            </w:r>
          </w:p>
        </w:tc>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Capability/Skill contracts</w:t>
            </w:r>
          </w:p>
        </w:tc>
        <w:tc>
          <w:tcPr>
            <w:tcW w:type="dxa" w:w="417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SkillDefinitionV1, CapabilityMetadataV1, local index, resolver, compatibility filter, provenance.</w:t>
            </w:r>
          </w:p>
        </w:tc>
        <w:tc>
          <w:tcPr>
            <w:tcW w:type="dxa" w:w="23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Local skill resolution works with no Hub and no model dependency.</w:t>
            </w:r>
          </w:p>
        </w:tc>
      </w:tr>
      <w:tr>
        <w:trPr>
          <w:cantSplit/>
        </w:trPr>
        <w:tc>
          <w:tcPr>
            <w:tcW w:type="dxa" w:w="12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0.5 / PR 6</w:t>
            </w:r>
          </w:p>
        </w:tc>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Registry capability</w:t>
            </w:r>
          </w:p>
        </w:tc>
        <w:tc>
          <w:tcPr>
            <w:tcW w:type="dxa" w:w="417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PackRegistryCapabilityV1, Hub HTTP implementation in host adapter, digest verification, cache/lock integration, trust policy.</w:t>
            </w:r>
          </w:p>
        </w:tc>
        <w:tc>
          <w:tcPr>
            <w:tcW w:type="dxa" w:w="23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Can search/pull Hub pack; never shells to CLI; offline mode works.</w:t>
            </w:r>
          </w:p>
        </w:tc>
      </w:tr>
      <w:tr>
        <w:trPr>
          <w:cantSplit/>
        </w:trPr>
        <w:tc>
          <w:tcPr>
            <w:tcW w:type="dxa" w:w="12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0.5 / PR 7</w:t>
            </w:r>
          </w:p>
        </w:tc>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Dependency freeze</w:t>
            </w:r>
          </w:p>
        </w:tc>
        <w:tc>
          <w:tcPr>
            <w:tcW w:type="dxa" w:w="417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PackDependencyV1, HarnessDependencyRootV1, run binding, activation manager.</w:t>
            </w:r>
          </w:p>
        </w:tc>
        <w:tc>
          <w:tcPr>
            <w:tcW w:type="dxa" w:w="23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Mid-run pack update impossible; replay names exact dependency set.</w:t>
            </w:r>
          </w:p>
        </w:tc>
      </w:tr>
      <w:tr>
        <w:trPr>
          <w:cantSplit/>
        </w:trPr>
        <w:tc>
          <w:tcPr>
            <w:tcW w:type="dxa" w:w="12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0.6 / PR 8</w:t>
            </w:r>
          </w:p>
        </w:tc>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Auto skill acquisition</w:t>
            </w:r>
          </w:p>
        </w:tc>
        <w:tc>
          <w:tcPr>
            <w:tcW w:type="dxa" w:w="417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Capability gap detection, Hub search/selection, policy-gated staging/activation, selection receipts.</w:t>
            </w:r>
          </w:p>
        </w:tc>
        <w:tc>
          <w:tcPr>
            <w:tcW w:type="dxa" w:w="23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Agent gains a missing skill on next run under allowlist policy.</w:t>
            </w:r>
          </w:p>
        </w:tc>
      </w:tr>
      <w:tr>
        <w:trPr>
          <w:cantSplit/>
        </w:trPr>
        <w:tc>
          <w:tcPr>
            <w:tcW w:type="dxa" w:w="12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0.7 / PR 9</w:t>
            </w:r>
          </w:p>
        </w:tc>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Experience + learning</w:t>
            </w:r>
          </w:p>
        </w:tc>
        <w:tc>
          <w:tcPr>
            <w:tcW w:type="dxa" w:w="417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ExperienceRecord, LessonCandidate, SkillCandidate, Cortex promotion gates.</w:t>
            </w:r>
          </w:p>
        </w:tc>
        <w:tc>
          <w:tcPr>
            <w:tcW w:type="dxa" w:w="23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Successful patterns can be promoted locally without model retraining.</w:t>
            </w:r>
          </w:p>
        </w:tc>
      </w:tr>
      <w:tr>
        <w:trPr>
          <w:cantSplit/>
        </w:trPr>
        <w:tc>
          <w:tcPr>
            <w:tcW w:type="dxa" w:w="12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0.8 / PR 10</w:t>
            </w:r>
          </w:p>
        </w:tc>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Evaluation + recovery</w:t>
            </w:r>
          </w:p>
        </w:tc>
        <w:tc>
          <w:tcPr>
            <w:tcW w:type="dxa" w:w="417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EvaluationSuite, ACS runner, failure classifier, recovery strategies, baseline comparison.</w:t>
            </w:r>
          </w:p>
        </w:tc>
        <w:tc>
          <w:tcPr>
            <w:tcW w:type="dxa" w:w="23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Demonstrate &gt;=10% ACS uplift on launch benchmark target.</w:t>
            </w:r>
          </w:p>
        </w:tc>
      </w:tr>
      <w:tr>
        <w:trPr>
          <w:cantSplit/>
        </w:trPr>
        <w:tc>
          <w:tcPr>
            <w:tcW w:type="dxa" w:w="12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0.8 / PR 11</w:t>
            </w:r>
          </w:p>
        </w:tc>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Claude/Grok/OpenClaw adapters</w:t>
            </w:r>
          </w:p>
        </w:tc>
        <w:tc>
          <w:tcPr>
            <w:tcW w:type="dxa" w:w="417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Provider examples, MCP bridge, OpenClaw plugin/hook adapter.</w:t>
            </w:r>
          </w:p>
        </w:tc>
        <w:tc>
          <w:tcPr>
            <w:tcW w:type="dxa" w:w="23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Three external ecosystems pass vendor smoke/conformance tests.</w:t>
            </w:r>
          </w:p>
        </w:tc>
      </w:tr>
      <w:tr>
        <w:trPr>
          <w:cantSplit/>
        </w:trPr>
        <w:tc>
          <w:tcPr>
            <w:tcW w:type="dxa" w:w="12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0.9 / PR 12</w:t>
            </w:r>
          </w:p>
        </w:tc>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Capability publishing</w:t>
            </w:r>
          </w:p>
        </w:tc>
        <w:tc>
          <w:tcPr>
            <w:tcW w:type="dxa" w:w="417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Build/publish evaluated skill packs through existing Hub/CLI contracts; provenance and approval receipts.</w:t>
            </w:r>
          </w:p>
        </w:tc>
        <w:tc>
          <w:tcPr>
            <w:tcW w:type="dxa" w:w="23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One learned local skill can be published, pulled by a separate agent, and pass its eval suite.</w:t>
            </w:r>
          </w:p>
        </w:tc>
      </w:tr>
      <w:tr>
        <w:trPr>
          <w:cantSplit/>
        </w:trPr>
        <w:tc>
          <w:tcPr>
            <w:tcW w:type="dxa" w:w="12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1.0 / PR 13+</w:t>
            </w:r>
          </w:p>
        </w:tc>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Stability + docs</w:t>
            </w:r>
          </w:p>
        </w:tc>
        <w:tc>
          <w:tcPr>
            <w:tcW w:type="dxa" w:w="417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API freeze candidates, Rust/TS parity, conformance suite, performance benchmarks, migration guide, security review.</w:t>
            </w:r>
          </w:p>
        </w:tc>
        <w:tc>
          <w:tcPr>
            <w:tcW w:type="dxa" w:w="23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4"/>
              </w:rPr>
              <w:t>Compatibility matrix and 1.0 public API guarantees match shipped behavior.</w:t>
            </w:r>
          </w:p>
        </w:tc>
      </w:tr>
    </w:tbl>
    <w:p>
      <w:pPr>
        <w:spacing w:after="40"/>
      </w:pPr>
    </w:p>
    <w:p>
      <w:pPr>
        <w:pStyle w:val="Heading1"/>
        <w:keepNext/>
        <w:spacing w:before="280" w:after="120"/>
      </w:pPr>
      <w:r>
        <w:rPr>
          <w:rFonts w:ascii="Liberation Sans" w:hAnsi="Liberation Sans"/>
          <w:b/>
          <w:color w:val="17233C"/>
          <w:sz w:val="36"/>
        </w:rPr>
        <w:t>17. Testing and conformance strategy</w:t>
      </w:r>
    </w:p>
    <w:p>
      <w:pPr>
        <w:pStyle w:val="Heading2"/>
        <w:keepNext/>
        <w:spacing w:before="180" w:after="80"/>
      </w:pPr>
      <w:r>
        <w:rPr>
          <w:rFonts w:ascii="Liberation Sans" w:hAnsi="Liberation Sans"/>
          <w:b/>
          <w:color w:val="17233C"/>
          <w:sz w:val="27"/>
        </w:rPr>
        <w:t>17.1 Test pyramid</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88"/>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7"/>
              </w:rPr>
              <w:t>Layer</w:t>
            </w:r>
          </w:p>
        </w:tc>
        <w:tc>
          <w:tcPr>
            <w:tcW w:type="dxa" w:w="7488"/>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7"/>
              </w:rPr>
              <w:t>Required tests</w:t>
            </w:r>
          </w:p>
        </w:tc>
      </w:tr>
      <w:tr>
        <w:trPr>
          <w:cantSplit/>
        </w:trPr>
        <w:tc>
          <w:tcPr>
            <w:tcW w:type="dxa" w:w="208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Pure contract tests</w:t>
            </w:r>
          </w:p>
        </w:tc>
        <w:tc>
          <w:tcPr>
            <w:tcW w:type="dxa" w:w="748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Schema validation, canonical ordering, dependency root, authority intersection, pack compatibility, deterministic resolver output.</w:t>
            </w:r>
          </w:p>
        </w:tc>
      </w:tr>
      <w:tr>
        <w:trPr>
          <w:cantSplit/>
        </w:trPr>
        <w:tc>
          <w:tcPr>
            <w:tcW w:type="dxa" w:w="208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Adapter conformance</w:t>
            </w:r>
          </w:p>
        </w:tc>
        <w:tc>
          <w:tcPr>
            <w:tcW w:type="dxa" w:w="748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Same task through callable/HTTP/process/tool/native adapters; normalized events and errors; capability discovery.</w:t>
            </w:r>
          </w:p>
        </w:tc>
      </w:tr>
      <w:tr>
        <w:trPr>
          <w:cantSplit/>
        </w:trPr>
        <w:tc>
          <w:tcPr>
            <w:tcW w:type="dxa" w:w="208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Core integration</w:t>
            </w:r>
          </w:p>
        </w:tc>
        <w:tc>
          <w:tcPr>
            <w:tcW w:type="dxa" w:w="748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V5 Knowledge Image mount/query, Cortex recall, durable runs, authority/session, evidence receipts.</w:t>
            </w:r>
          </w:p>
        </w:tc>
      </w:tr>
      <w:tr>
        <w:trPr>
          <w:cantSplit/>
        </w:trPr>
        <w:tc>
          <w:tcPr>
            <w:tcW w:type="dxa" w:w="208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Hub integration</w:t>
            </w:r>
          </w:p>
        </w:tc>
        <w:tc>
          <w:tcPr>
            <w:tcW w:type="dxa" w:w="748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Manifest, Blob bytes, SHA-256, V5 verification, yank behavior, lockfile conflict, offline cache.</w:t>
            </w:r>
          </w:p>
        </w:tc>
      </w:tr>
      <w:tr>
        <w:trPr>
          <w:cantSplit/>
        </w:trPr>
        <w:tc>
          <w:tcPr>
            <w:tcW w:type="dxa" w:w="208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Fault injection</w:t>
            </w:r>
          </w:p>
        </w:tc>
        <w:tc>
          <w:tcPr>
            <w:tcW w:type="dxa" w:w="748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Tool timeout, invalid tool result, corrupt pack, unavailable registry, model timeout, policy denial, bad output schema, partial downstream failure.</w:t>
            </w:r>
          </w:p>
        </w:tc>
      </w:tr>
      <w:tr>
        <w:trPr>
          <w:cantSplit/>
        </w:trPr>
        <w:tc>
          <w:tcPr>
            <w:tcW w:type="dxa" w:w="208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Vendor smoke</w:t>
            </w:r>
          </w:p>
        </w:tc>
        <w:tc>
          <w:tcPr>
            <w:tcW w:type="dxa" w:w="748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Claude, Grok, OpenClaw tests behind env flags; never required for deterministic unit suite.</w:t>
            </w:r>
          </w:p>
        </w:tc>
      </w:tr>
      <w:tr>
        <w:trPr>
          <w:cantSplit/>
        </w:trPr>
        <w:tc>
          <w:tcPr>
            <w:tcW w:type="dxa" w:w="208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Benchmark</w:t>
            </w:r>
          </w:p>
        </w:tc>
        <w:tc>
          <w:tcPr>
            <w:tcW w:type="dxa" w:w="748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Raw vs harnessed same agent/task; ACS and per-metric deltas; cost/latency captured.</w:t>
            </w:r>
          </w:p>
        </w:tc>
      </w:tr>
      <w:tr>
        <w:trPr>
          <w:cantSplit/>
        </w:trPr>
        <w:tc>
          <w:tcPr>
            <w:tcW w:type="dxa" w:w="208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Replay / reproducibility</w:t>
            </w:r>
          </w:p>
        </w:tc>
        <w:tc>
          <w:tcPr>
            <w:tcW w:type="dxa" w:w="7488"/>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7"/>
              </w:rPr>
              <w:t>Exact dependency root, context selection, policy decisions, events, and recorded external effect references.</w:t>
            </w:r>
          </w:p>
        </w:tc>
      </w:tr>
    </w:tbl>
    <w:p>
      <w:pPr>
        <w:spacing w:after="40"/>
      </w:pPr>
    </w:p>
    <w:p>
      <w:pPr>
        <w:pStyle w:val="Heading2"/>
        <w:keepNext/>
        <w:spacing w:before="180" w:after="80"/>
      </w:pPr>
      <w:r>
        <w:rPr>
          <w:rFonts w:ascii="Liberation Sans" w:hAnsi="Liberation Sans"/>
          <w:b/>
          <w:color w:val="17233C"/>
          <w:sz w:val="27"/>
        </w:rPr>
        <w:t>17.2 Launch benchmark suites</w:t>
      </w:r>
    </w:p>
    <w:p>
      <w:pPr>
        <w:pStyle w:val="ListBullet"/>
        <w:spacing w:before="0" w:after="80" w:line="259" w:lineRule="auto"/>
        <w:ind w:left="317" w:hanging="202"/>
      </w:pPr>
      <w:r>
        <w:rPr>
          <w:rFonts w:ascii="Liberation Sans" w:hAnsi="Liberation Sans"/>
          <w:b w:val="0"/>
          <w:i w:val="0"/>
          <w:color w:val="1D2433"/>
        </w:rPr>
        <w:t>Knowledge-sensitive QA: baseline model lacks private corpus; harness must retrieve and cite correct evidence.</w:t>
      </w:r>
    </w:p>
    <w:p>
      <w:pPr>
        <w:pStyle w:val="ListBullet"/>
        <w:spacing w:before="0" w:after="80" w:line="259" w:lineRule="auto"/>
        <w:ind w:left="317" w:hanging="202"/>
      </w:pPr>
      <w:r>
        <w:rPr>
          <w:rFonts w:ascii="Liberation Sans" w:hAnsi="Liberation Sans"/>
          <w:b w:val="0"/>
          <w:i w:val="0"/>
          <w:color w:val="1D2433"/>
        </w:rPr>
        <w:t>Tool workflow: multi-step task with prohibited tool/actions and structured output.</w:t>
      </w:r>
    </w:p>
    <w:p>
      <w:pPr>
        <w:pStyle w:val="ListBullet"/>
        <w:spacing w:before="0" w:after="80" w:line="259" w:lineRule="auto"/>
        <w:ind w:left="317" w:hanging="202"/>
      </w:pPr>
      <w:r>
        <w:rPr>
          <w:rFonts w:ascii="Liberation Sans" w:hAnsi="Liberation Sans"/>
          <w:b w:val="0"/>
          <w:i w:val="0"/>
          <w:color w:val="1D2433"/>
        </w:rPr>
        <w:t>Failure recovery: inject transient and permanent failures; measure graceful completion and preserved partial progress.</w:t>
      </w:r>
    </w:p>
    <w:p>
      <w:pPr>
        <w:pStyle w:val="ListBullet"/>
        <w:spacing w:before="0" w:after="80" w:line="259" w:lineRule="auto"/>
        <w:ind w:left="317" w:hanging="202"/>
      </w:pPr>
      <w:r>
        <w:rPr>
          <w:rFonts w:ascii="Liberation Sans" w:hAnsi="Liberation Sans"/>
          <w:b w:val="0"/>
          <w:i w:val="0"/>
          <w:color w:val="1D2433"/>
        </w:rPr>
        <w:t>Domain skill acquisition: baseline lacks a documented procedure; harness resolves a Capability Pack and succeeds on subsequent run.</w:t>
      </w:r>
    </w:p>
    <w:p>
      <w:pPr>
        <w:pStyle w:val="ListBullet"/>
        <w:spacing w:before="0" w:after="80" w:line="259" w:lineRule="auto"/>
        <w:ind w:left="317" w:hanging="202"/>
      </w:pPr>
      <w:r>
        <w:rPr>
          <w:rFonts w:ascii="Liberation Sans" w:hAnsi="Liberation Sans"/>
          <w:b w:val="0"/>
          <w:i w:val="0"/>
          <w:color w:val="1D2433"/>
        </w:rPr>
        <w:t>Multi-agent handoff: parent delegates with narrowed authority; escalation attempt must fail.</w:t>
      </w:r>
    </w:p>
    <w:p>
      <w:pPr>
        <w:pStyle w:val="ListBullet"/>
        <w:spacing w:before="0" w:after="80" w:line="259" w:lineRule="auto"/>
        <w:ind w:left="317" w:hanging="202"/>
      </w:pPr>
      <w:r>
        <w:rPr>
          <w:rFonts w:ascii="Liberation Sans" w:hAnsi="Liberation Sans"/>
          <w:b w:val="0"/>
          <w:i w:val="0"/>
          <w:color w:val="1D2433"/>
        </w:rPr>
        <w:t>Offline mode: all pinned packs cached; no Hub/network dependency except host model if configured.</w:t>
      </w:r>
    </w:p>
    <w:p>
      <w:pPr>
        <w:pStyle w:val="Heading1"/>
        <w:keepNext/>
        <w:spacing w:before="280" w:after="120"/>
      </w:pPr>
      <w:r>
        <w:rPr>
          <w:rFonts w:ascii="Liberation Sans" w:hAnsi="Liberation Sans"/>
          <w:b/>
          <w:color w:val="17233C"/>
          <w:sz w:val="36"/>
        </w:rPr>
        <w:t>18. Definition of done</w:t>
      </w:r>
    </w:p>
    <w:p>
      <w:pPr>
        <w:spacing w:before="0" w:after="140" w:line="269" w:lineRule="auto"/>
      </w:pPr>
      <w:r>
        <w:rPr>
          <w:rFonts w:ascii="Liberation Sans" w:hAnsi="Liberation Sans"/>
          <w:b w:val="0"/>
          <w:i w:val="0"/>
          <w:color w:val="1D2433"/>
        </w:rPr>
        <w:t>The conversion is ready for a 1.0 candidate only when all of the following are true:</w:t>
      </w:r>
    </w:p>
    <w:p>
      <w:pPr>
        <w:pStyle w:val="ListBullet"/>
        <w:spacing w:before="0" w:after="80" w:line="259" w:lineRule="auto"/>
        <w:ind w:left="317" w:hanging="202"/>
      </w:pPr>
      <w:r>
        <w:rPr>
          <w:rFonts w:ascii="Liberation Sans" w:hAnsi="Liberation Sans"/>
          <w:b w:val="0"/>
          <w:i w:val="0"/>
          <w:color w:val="1D2433"/>
        </w:rPr>
        <w:t>Existing Knolo-native graph applications continue to run without mandatory rewrites.</w:t>
      </w:r>
    </w:p>
    <w:p>
      <w:pPr>
        <w:pStyle w:val="ListBullet"/>
        <w:spacing w:before="0" w:after="80" w:line="259" w:lineRule="auto"/>
        <w:ind w:left="317" w:hanging="202"/>
      </w:pPr>
      <w:r>
        <w:rPr>
          <w:rFonts w:ascii="Liberation Sans" w:hAnsi="Liberation Sans"/>
          <w:b w:val="0"/>
          <w:i w:val="0"/>
          <w:color w:val="1D2433"/>
        </w:rPr>
        <w:t>A minimal callable agent can be wrapped in fewer than ~20 lines of application integration code.</w:t>
      </w:r>
    </w:p>
    <w:p>
      <w:pPr>
        <w:pStyle w:val="ListBullet"/>
        <w:spacing w:before="0" w:after="80" w:line="259" w:lineRule="auto"/>
        <w:ind w:left="317" w:hanging="202"/>
      </w:pPr>
      <w:r>
        <w:rPr>
          <w:rFonts w:ascii="Liberation Sans" w:hAnsi="Liberation Sans"/>
          <w:b w:val="0"/>
          <w:i w:val="0"/>
          <w:color w:val="1D2433"/>
        </w:rPr>
        <w:t>Claude-, Grok-, and OpenClaw-based examples all consume the same Task/Context/Skill/Registry contracts.</w:t>
      </w:r>
    </w:p>
    <w:p>
      <w:pPr>
        <w:pStyle w:val="ListBullet"/>
        <w:spacing w:before="0" w:after="80" w:line="259" w:lineRule="auto"/>
        <w:ind w:left="317" w:hanging="202"/>
      </w:pPr>
      <w:r>
        <w:rPr>
          <w:rFonts w:ascii="Liberation Sans" w:hAnsi="Liberation Sans"/>
          <w:b w:val="0"/>
          <w:i w:val="0"/>
          <w:color w:val="1D2433"/>
        </w:rPr>
        <w:t>Hub pack acquisition is optional and can be disabled completely for offline/high-security deployments.</w:t>
      </w:r>
    </w:p>
    <w:p>
      <w:pPr>
        <w:pStyle w:val="ListBullet"/>
        <w:spacing w:before="0" w:after="80" w:line="259" w:lineRule="auto"/>
        <w:ind w:left="317" w:hanging="202"/>
      </w:pPr>
      <w:r>
        <w:rPr>
          <w:rFonts w:ascii="Liberation Sans" w:hAnsi="Liberation Sans"/>
          <w:b w:val="0"/>
          <w:i w:val="0"/>
          <w:color w:val="1D2433"/>
        </w:rPr>
        <w:t>Every run binds exact knowledge/skill/policy/evaluation dependencies to a reproducible dependency root.</w:t>
      </w:r>
    </w:p>
    <w:p>
      <w:pPr>
        <w:pStyle w:val="ListBullet"/>
        <w:spacing w:before="0" w:after="80" w:line="259" w:lineRule="auto"/>
        <w:ind w:left="317" w:hanging="202"/>
      </w:pPr>
      <w:r>
        <w:rPr>
          <w:rFonts w:ascii="Liberation Sans" w:hAnsi="Liberation Sans"/>
          <w:b w:val="0"/>
          <w:i w:val="0"/>
          <w:color w:val="1D2433"/>
        </w:rPr>
        <w:t>Automatic skill acquisition never grants authority or changes active dependencies mid-run.</w:t>
      </w:r>
    </w:p>
    <w:p>
      <w:pPr>
        <w:pStyle w:val="ListBullet"/>
        <w:spacing w:before="0" w:after="80" w:line="259" w:lineRule="auto"/>
        <w:ind w:left="317" w:hanging="202"/>
      </w:pPr>
      <w:r>
        <w:rPr>
          <w:rFonts w:ascii="Liberation Sans" w:hAnsi="Liberation Sans"/>
          <w:b w:val="0"/>
          <w:i w:val="0"/>
          <w:color w:val="1D2433"/>
        </w:rPr>
        <w:t>Experience can be promoted into a tested local skill and optionally distributed as an immutable pack.</w:t>
      </w:r>
    </w:p>
    <w:p>
      <w:pPr>
        <w:pStyle w:val="ListBullet"/>
        <w:spacing w:before="0" w:after="80" w:line="259" w:lineRule="auto"/>
        <w:ind w:left="317" w:hanging="202"/>
      </w:pPr>
      <w:r>
        <w:rPr>
          <w:rFonts w:ascii="Liberation Sans" w:hAnsi="Liberation Sans"/>
          <w:b w:val="0"/>
          <w:i w:val="0"/>
          <w:color w:val="1D2433"/>
        </w:rPr>
        <w:t>Deterministic evaluation is the primary score path; semantic judges remain optional host effects.</w:t>
      </w:r>
    </w:p>
    <w:p>
      <w:pPr>
        <w:pStyle w:val="ListBullet"/>
        <w:spacing w:before="0" w:after="80" w:line="259" w:lineRule="auto"/>
        <w:ind w:left="317" w:hanging="202"/>
      </w:pPr>
      <w:r>
        <w:rPr>
          <w:rFonts w:ascii="Liberation Sans" w:hAnsi="Liberation Sans"/>
          <w:b w:val="0"/>
          <w:i w:val="0"/>
          <w:color w:val="1D2433"/>
        </w:rPr>
        <w:t>Launch benchmark demonstrates the stated minimum uplift target with disclosed cost/latency deltas.</w:t>
      </w:r>
    </w:p>
    <w:p>
      <w:pPr>
        <w:pStyle w:val="ListBullet"/>
        <w:spacing w:before="0" w:after="80" w:line="259" w:lineRule="auto"/>
        <w:ind w:left="317" w:hanging="202"/>
      </w:pPr>
      <w:r>
        <w:rPr>
          <w:rFonts w:ascii="Liberation Sans" w:hAnsi="Liberation Sans"/>
          <w:b w:val="0"/>
          <w:i w:val="0"/>
          <w:color w:val="1D2433"/>
        </w:rPr>
        <w:t>Rust/native semantics remain the highest-assurance L3 mode and are not diluted to match weaker third-party agents.</w:t>
      </w:r>
    </w:p>
    <w:p>
      <w:pPr>
        <w:pStyle w:val="ListBullet"/>
        <w:spacing w:before="0" w:after="80" w:line="259" w:lineRule="auto"/>
        <w:ind w:left="317" w:hanging="202"/>
      </w:pPr>
      <w:r>
        <w:rPr>
          <w:rFonts w:ascii="Liberation Sans" w:hAnsi="Liberation Sans"/>
          <w:b w:val="0"/>
          <w:i w:val="0"/>
          <w:color w:val="1D2433"/>
        </w:rPr>
        <w:t>Compatibility, security, and migration documentation reflect real tested behavior.</w:t>
      </w:r>
    </w:p>
    <w:p>
      <w:pPr>
        <w:pStyle w:val="Heading1"/>
        <w:keepNext/>
        <w:spacing w:before="280" w:after="120"/>
      </w:pPr>
      <w:r>
        <w:rPr>
          <w:rFonts w:ascii="Liberation Sans" w:hAnsi="Liberation Sans"/>
          <w:b/>
          <w:color w:val="17233C"/>
          <w:sz w:val="36"/>
        </w:rPr>
        <w:t>19. First engineering backlog</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080"/>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6"/>
              </w:rPr>
              <w:t>Priority</w:t>
            </w:r>
          </w:p>
        </w:tc>
        <w:tc>
          <w:tcPr>
            <w:tcW w:type="dxa" w:w="8496"/>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6"/>
              </w:rPr>
              <w:t>Task</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P0</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Create `docs/universal-harness-contract.md` and freeze terminology/assurance levels.</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P0</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Add baseline benchmark fixture runner before changing execution semantics.</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P0</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Update @knolo/agents Core peer compatibility and add Core V5 smoke matrix.</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P0</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Implement V5 Cortex/ClaimGraph compatibility adapters.</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P0</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Add TaskV1, AgentDescriptorV1, AgentCapabilitiesV1 contracts.</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P0</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Implement HarnessSession with lifecycle hooks but no Hub dependency.</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P0</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Implement callableAgent() and nativeKnoloAgent() adapters.</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P0</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Implement deterministic ContextCompiler with token/size budget.</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P0</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Implement SkillDefinitionV1 + local CapabilityIndex.</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P0</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Implement deterministic local SkillResolver and selection receipt.</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P1</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Implement PackRegistryCapabilityV1 interface plus fake in-memory registry for tests.</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P1</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Implement Hub HTTP registry host adapter and direct Blob download verification.</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P1</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Read existing knolo.lock.json; do not invent a second lockfile.</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P1</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Implement HarnessDependencyRootV1 and bind it to harness run metadata.</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P1</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Implement TrustPolicyV1 (publishers/licenses/auto-acquire/offline/yanked rules).</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P1</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Implement RecoveryPolicyV1 and normalized failure classifier.</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P1</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Implement EvaluationSuiteV1 and ACS runner.</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P1</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Add experience records and Cortex learner/promotion pipeline.</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P1</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Create MCP bridge prototype exposing retrieval/skills/eval as explicit tools.</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P1</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Create Claude example adapter with function/MCP path.</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P1</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Create Grok example adapter with function-calling path.</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P1</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Create OpenClaw plugin prototype using prompt/tool/end hooks.</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P2</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Add skill-gap -&gt; Hub discovery -&gt; staged activation workflow.</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P2</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Add local SkillCandidate -&gt; pack build -&gt; publish flow with explicit approval.</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P2</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Expand Rust portable contracts and conformance fixtures only after TS API stabilizes.</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P2</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Add benchmark dashboard/report generator from eval receipts.</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P2</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Update FUTURE.md by removing completed gaps and preserving true limitations.</w:t>
            </w:r>
          </w:p>
        </w:tc>
      </w:tr>
      <w:tr>
        <w:trPr>
          <w:cantSplit/>
        </w:trPr>
        <w:tc>
          <w:tcPr>
            <w:tcW w:type="dxa" w:w="108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P2</w:t>
            </w:r>
          </w:p>
        </w:tc>
        <w:tc>
          <w:tcPr>
            <w:tcW w:type="dxa" w:w="8496"/>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Prepare 1.0 compatibility and security review checklist.</w:t>
            </w:r>
          </w:p>
        </w:tc>
      </w:tr>
    </w:tbl>
    <w:p>
      <w:pPr>
        <w:spacing w:after="40"/>
      </w:pPr>
    </w:p>
    <w:p>
      <w:pPr>
        <w:pStyle w:val="Heading1"/>
        <w:keepNext/>
        <w:spacing w:before="280" w:after="120"/>
      </w:pPr>
      <w:r>
        <w:rPr>
          <w:rFonts w:ascii="Liberation Sans" w:hAnsi="Liberation Sans"/>
          <w:b/>
          <w:color w:val="17233C"/>
          <w:sz w:val="36"/>
        </w:rPr>
        <w:t>20. Risks and mitigations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951"/>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6"/>
              </w:rPr>
              <w:t>Risk</w:t>
            </w:r>
          </w:p>
        </w:tc>
        <w:tc>
          <w:tcPr>
            <w:tcW w:type="dxa" w:w="6623"/>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6"/>
              </w:rPr>
              <w:t>Mitigation</w:t>
            </w:r>
          </w:p>
        </w:tc>
      </w:tr>
      <w:tr>
        <w:trPr>
          <w:cantSplit/>
        </w:trPr>
        <w:tc>
          <w:tcPr>
            <w:tcW w:type="dxa" w:w="2951"/>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Trying to support every vendor deeply at once</w:t>
            </w:r>
          </w:p>
        </w:tc>
        <w:tc>
          <w:tcPr>
            <w:tcW w:type="dxa" w:w="6623"/>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Guarantee L0 first, L1 where tools exist, L2 only with stable hooks, L3 only native. Keep vendor-specific code thin.</w:t>
            </w:r>
          </w:p>
        </w:tc>
      </w:tr>
      <w:tr>
        <w:trPr>
          <w:cantSplit/>
        </w:trPr>
        <w:tc>
          <w:tcPr>
            <w:tcW w:type="dxa" w:w="2951"/>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Context bloat makes agents worse</w:t>
            </w:r>
          </w:p>
        </w:tc>
        <w:tc>
          <w:tcPr>
            <w:tcW w:type="dxa" w:w="6623"/>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ContextCompiler enforces evidence/skill budgets, deterministic selection, redundancy filtering, and benchmarked context size.</w:t>
            </w:r>
          </w:p>
        </w:tc>
      </w:tr>
      <w:tr>
        <w:trPr>
          <w:cantSplit/>
        </w:trPr>
        <w:tc>
          <w:tcPr>
            <w:tcW w:type="dxa" w:w="2951"/>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Auto-acquired packs create supply-chain risk</w:t>
            </w:r>
          </w:p>
        </w:tc>
        <w:tc>
          <w:tcPr>
            <w:tcW w:type="dxa" w:w="6623"/>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Immutable digest, Core verification, allowlists, license policy, publisher trust, no new authority, no mid-run activation.</w:t>
            </w:r>
          </w:p>
        </w:tc>
      </w:tr>
      <w:tr>
        <w:trPr>
          <w:cantSplit/>
        </w:trPr>
        <w:tc>
          <w:tcPr>
            <w:tcW w:type="dxa" w:w="2951"/>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Learning publishes low-quality junk</w:t>
            </w:r>
          </w:p>
        </w:tc>
        <w:tc>
          <w:tcPr>
            <w:tcW w:type="dxa" w:w="6623"/>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Promotion gates require repeated usefulness, evaluation, provenance, policy, and optional human approval. Public publish off by default.</w:t>
            </w:r>
          </w:p>
        </w:tc>
      </w:tr>
      <w:tr>
        <w:trPr>
          <w:cantSplit/>
        </w:trPr>
        <w:tc>
          <w:tcPr>
            <w:tcW w:type="dxa" w:w="2951"/>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Provider SDK churn</w:t>
            </w:r>
          </w:p>
        </w:tc>
        <w:tc>
          <w:tcPr>
            <w:tcW w:type="dxa" w:w="6623"/>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Adapters depend on Knolo contracts; pin/test vendor versions; do not encode provider semantics into core contracts.</w:t>
            </w:r>
          </w:p>
        </w:tc>
      </w:tr>
      <w:tr>
        <w:trPr>
          <w:cantSplit/>
        </w:trPr>
        <w:tc>
          <w:tcPr>
            <w:tcW w:type="dxa" w:w="2951"/>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OpenClaw plugin APIs are experimental</w:t>
            </w:r>
          </w:p>
        </w:tc>
        <w:tc>
          <w:tcPr>
            <w:tcW w:type="dxa" w:w="6623"/>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Keep plugin in integration package/example, pin compatibility matrix, maintain L0/HTTP fallback.</w:t>
            </w:r>
          </w:p>
        </w:tc>
      </w:tr>
      <w:tr>
        <w:trPr>
          <w:cantSplit/>
        </w:trPr>
        <w:tc>
          <w:tcPr>
            <w:tcW w:type="dxa" w:w="2951"/>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Determinism claims become overstated</w:t>
            </w:r>
          </w:p>
        </w:tc>
        <w:tc>
          <w:tcPr>
            <w:tcW w:type="dxa" w:w="6623"/>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Mark LLM/tool/semantic rerank outputs as external effects; deterministic receipts cover selection, policy, roots, and recorded inputs/outputs.</w:t>
            </w:r>
          </w:p>
        </w:tc>
      </w:tr>
      <w:tr>
        <w:trPr>
          <w:cantSplit/>
        </w:trPr>
        <w:tc>
          <w:tcPr>
            <w:tcW w:type="dxa" w:w="2951"/>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Core/Agents contract duplication</w:t>
            </w:r>
          </w:p>
        </w:tc>
        <w:tc>
          <w:tcPr>
            <w:tcW w:type="dxa" w:w="6623"/>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Core owns Knowledge Image/authority primitives; Agents owns harness/task/eval/adapter semantics; coordinate only shared IDs/contracts.</w:t>
            </w:r>
          </w:p>
        </w:tc>
      </w:tr>
      <w:tr>
        <w:trPr>
          <w:cantSplit/>
        </w:trPr>
        <w:tc>
          <w:tcPr>
            <w:tcW w:type="dxa" w:w="2951"/>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“Smarter” claim becomes marketing noise</w:t>
            </w:r>
          </w:p>
        </w:tc>
        <w:tc>
          <w:tcPr>
            <w:tcW w:type="dxa" w:w="6623"/>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6"/>
              </w:rPr>
              <w:t>Ship reproducible baseline-vs-harness benchmark data and per-metric uplift, not a single unsupported percentage.</w:t>
            </w:r>
          </w:p>
        </w:tc>
      </w:tr>
    </w:tbl>
    <w:p>
      <w:pPr>
        <w:spacing w:after="40"/>
      </w:pPr>
    </w:p>
    <w:p>
      <w:pPr>
        <w:pStyle w:val="Heading1"/>
        <w:keepNext/>
        <w:spacing w:before="280" w:after="120"/>
      </w:pPr>
      <w:r>
        <w:rPr>
          <w:rFonts w:ascii="Liberation Sans" w:hAnsi="Liberation Sans"/>
          <w:b/>
          <w:color w:val="17233C"/>
          <w:sz w:val="36"/>
        </w:rPr>
        <w:t>Appendix A. Normative interface examples</w:t>
      </w:r>
    </w:p>
    <w:p>
      <w:pPr>
        <w:pStyle w:val="Heading2"/>
        <w:keepNext/>
        <w:spacing w:before="180" w:after="80"/>
      </w:pPr>
      <w:r>
        <w:rPr>
          <w:rFonts w:ascii="Liberation Sans" w:hAnsi="Liberation Sans"/>
          <w:b/>
          <w:color w:val="17233C"/>
          <w:sz w:val="27"/>
        </w:rPr>
        <w:t>A.1 HarnessSession</w:t>
      </w:r>
    </w:p>
    <w:tbl>
      <w:tblPr>
        <w:tblW w:type="auto" w:w="0"/>
        <w:jc w:val="center"/>
        <w:tblLayout w:type="fixed"/>
        <w:tblLook w:firstColumn="1" w:firstRow="1" w:lastColumn="0" w:lastRow="0" w:noHBand="0" w:noVBand="1" w:val="04A0"/>
      </w:tblPr>
      <w:tblGrid>
        <w:gridCol w:w="9994"/>
      </w:tblGrid>
      <w:tr>
        <w:trPr>
          <w:cantSplit/>
        </w:trPr>
        <w:tc>
          <w:tcPr>
            <w:tcW w:type="dxa" w:w="9576"/>
            <w:shd w:fill="F6F7F9"/>
            <w:tcMar>
              <w:top w:w="120" w:type="dxa"/>
              <w:start w:w="150" w:type="dxa"/>
              <w:bottom w:w="120" w:type="dxa"/>
              <w:end w:w="150" w:type="dxa"/>
            </w:tcMar>
            <w:tcBorders>
              <w:top w:val="single" w:sz="5" w:color="D8E0EA"/>
              <w:left w:val="single" w:sz="5" w:color="D8E0EA"/>
              <w:bottom w:val="single" w:sz="5" w:color="D8E0EA"/>
              <w:right w:val="single" w:sz="5" w:color="D8E0EA"/>
            </w:tcBorders>
          </w:tcPr>
          <w:p>
            <w:pPr>
              <w:spacing w:before="0" w:after="0" w:line="240" w:lineRule="auto"/>
            </w:pPr>
            <w:r>
              <w:rPr>
                <w:rFonts w:ascii="Liberation Mono" w:hAnsi="Liberation Mono"/>
                <w:b w:val="0"/>
                <w:i w:val="0"/>
                <w:color w:val="2A3240"/>
                <w:sz w:val="17"/>
              </w:rPr>
              <w:t>const session = await HarnessSession.create({</w:t>
            </w:r>
            <w:r>
              <w:br/>
            </w:r>
            <w:r>
              <w:rPr>
                <w:rFonts w:ascii="Liberation Mono" w:hAnsi="Liberation Mono"/>
                <w:b w:val="0"/>
                <w:i w:val="0"/>
                <w:color w:val="2A3240"/>
                <w:sz w:val="17"/>
              </w:rPr>
              <w:t xml:space="preserve">  agent,</w:t>
            </w:r>
            <w:r>
              <w:br/>
            </w:r>
            <w:r>
              <w:rPr>
                <w:rFonts w:ascii="Liberation Mono" w:hAnsi="Liberation Mono"/>
                <w:b w:val="0"/>
                <w:i w:val="0"/>
                <w:color w:val="2A3240"/>
                <w:sz w:val="17"/>
              </w:rPr>
              <w:t xml:space="preserve">  task,</w:t>
            </w:r>
            <w:r>
              <w:br/>
            </w:r>
            <w:r>
              <w:rPr>
                <w:rFonts w:ascii="Liberation Mono" w:hAnsi="Liberation Mono"/>
                <w:b w:val="0"/>
                <w:i w:val="0"/>
                <w:color w:val="2A3240"/>
                <w:sz w:val="17"/>
              </w:rPr>
              <w:t xml:space="preserve">  knowledge,</w:t>
            </w:r>
            <w:r>
              <w:br/>
            </w:r>
            <w:r>
              <w:rPr>
                <w:rFonts w:ascii="Liberation Mono" w:hAnsi="Liberation Mono"/>
                <w:b w:val="0"/>
                <w:i w:val="0"/>
                <w:color w:val="2A3240"/>
                <w:sz w:val="17"/>
              </w:rPr>
              <w:t xml:space="preserve">  authority,</w:t>
            </w:r>
            <w:r>
              <w:br/>
            </w:r>
            <w:r>
              <w:rPr>
                <w:rFonts w:ascii="Liberation Mono" w:hAnsi="Liberation Mono"/>
                <w:b w:val="0"/>
                <w:i w:val="0"/>
                <w:color w:val="2A3240"/>
                <w:sz w:val="17"/>
              </w:rPr>
              <w:t xml:space="preserve">  memory,</w:t>
            </w:r>
            <w:r>
              <w:br/>
            </w:r>
            <w:r>
              <w:rPr>
                <w:rFonts w:ascii="Liberation Mono" w:hAnsi="Liberation Mono"/>
                <w:b w:val="0"/>
                <w:i w:val="0"/>
                <w:color w:val="2A3240"/>
                <w:sz w:val="17"/>
              </w:rPr>
              <w:t xml:space="preserve">  skills,</w:t>
            </w:r>
            <w:r>
              <w:br/>
            </w:r>
            <w:r>
              <w:rPr>
                <w:rFonts w:ascii="Liberation Mono" w:hAnsi="Liberation Mono"/>
                <w:b w:val="0"/>
                <w:i w:val="0"/>
                <w:color w:val="2A3240"/>
                <w:sz w:val="17"/>
              </w:rPr>
              <w:t xml:space="preserve">  registry,</w:t>
            </w:r>
            <w:r>
              <w:br/>
            </w:r>
            <w:r>
              <w:rPr>
                <w:rFonts w:ascii="Liberation Mono" w:hAnsi="Liberation Mono"/>
                <w:b w:val="0"/>
                <w:i w:val="0"/>
                <w:color w:val="2A3240"/>
                <w:sz w:val="17"/>
              </w:rPr>
              <w:t xml:space="preserve">  evaluators,</w:t>
            </w:r>
            <w:r>
              <w:br/>
            </w:r>
            <w:r>
              <w:rPr>
                <w:rFonts w:ascii="Liberation Mono" w:hAnsi="Liberation Mono"/>
                <w:b w:val="0"/>
                <w:i w:val="0"/>
                <w:color w:val="2A3240"/>
                <w:sz w:val="17"/>
              </w:rPr>
              <w:t xml:space="preserve">  recovery,</w:t>
            </w:r>
            <w:r>
              <w:br/>
            </w:r>
            <w:r>
              <w:rPr>
                <w:rFonts w:ascii="Liberation Mono" w:hAnsi="Liberation Mono"/>
                <w:b w:val="0"/>
                <w:i w:val="0"/>
                <w:color w:val="2A3240"/>
                <w:sz w:val="17"/>
              </w:rPr>
              <w:t xml:space="preserve">  limits,</w:t>
            </w:r>
            <w:r>
              <w:br/>
            </w:r>
            <w:r>
              <w:rPr>
                <w:rFonts w:ascii="Liberation Mono" w:hAnsi="Liberation Mono"/>
                <w:b w:val="0"/>
                <w:i w:val="0"/>
                <w:color w:val="2A3240"/>
                <w:sz w:val="17"/>
              </w:rPr>
              <w:t>});</w:t>
            </w:r>
            <w:r>
              <w:br/>
            </w:r>
            <w:r>
              <w:rPr>
                <w:rFonts w:ascii="Liberation Mono" w:hAnsi="Liberation Mono"/>
                <w:b w:val="0"/>
                <w:i w:val="0"/>
                <w:color w:val="2A3240"/>
                <w:sz w:val="17"/>
              </w:rPr>
            </w:r>
            <w:r>
              <w:br/>
            </w:r>
            <w:r>
              <w:rPr>
                <w:rFonts w:ascii="Liberation Mono" w:hAnsi="Liberation Mono"/>
                <w:b w:val="0"/>
                <w:i w:val="0"/>
                <w:color w:val="2A3240"/>
                <w:sz w:val="17"/>
              </w:rPr>
              <w:t>const result = await session.run();</w:t>
            </w:r>
          </w:p>
        </w:tc>
      </w:tr>
    </w:tbl>
    <w:p>
      <w:pPr>
        <w:spacing w:after="20"/>
      </w:pPr>
    </w:p>
    <w:p>
      <w:pPr>
        <w:pStyle w:val="Heading2"/>
        <w:keepNext/>
        <w:spacing w:before="180" w:after="80"/>
      </w:pPr>
      <w:r>
        <w:rPr>
          <w:rFonts w:ascii="Liberation Sans" w:hAnsi="Liberation Sans"/>
          <w:b/>
          <w:color w:val="17233C"/>
          <w:sz w:val="27"/>
        </w:rPr>
        <w:t>A.2 Middleware hooks</w:t>
      </w:r>
    </w:p>
    <w:tbl>
      <w:tblPr>
        <w:tblW w:type="auto" w:w="0"/>
        <w:jc w:val="center"/>
        <w:tblLayout w:type="fixed"/>
        <w:tblLook w:firstColumn="1" w:firstRow="1" w:lastColumn="0" w:lastRow="0" w:noHBand="0" w:noVBand="1" w:val="04A0"/>
      </w:tblPr>
      <w:tblGrid>
        <w:gridCol w:w="9994"/>
      </w:tblGrid>
      <w:tr>
        <w:trPr>
          <w:cantSplit/>
        </w:trPr>
        <w:tc>
          <w:tcPr>
            <w:tcW w:type="dxa" w:w="9576"/>
            <w:shd w:fill="F6F7F9"/>
            <w:tcMar>
              <w:top w:w="120" w:type="dxa"/>
              <w:start w:w="150" w:type="dxa"/>
              <w:bottom w:w="120" w:type="dxa"/>
              <w:end w:w="150" w:type="dxa"/>
            </w:tcMar>
            <w:tcBorders>
              <w:top w:val="single" w:sz="5" w:color="D8E0EA"/>
              <w:left w:val="single" w:sz="5" w:color="D8E0EA"/>
              <w:bottom w:val="single" w:sz="5" w:color="D8E0EA"/>
              <w:right w:val="single" w:sz="5" w:color="D8E0EA"/>
            </w:tcBorders>
          </w:tcPr>
          <w:p>
            <w:pPr>
              <w:spacing w:before="0" w:after="0" w:line="240" w:lineRule="auto"/>
            </w:pPr>
            <w:r>
              <w:rPr>
                <w:rFonts w:ascii="Liberation Mono" w:hAnsi="Liberation Mono"/>
                <w:b w:val="0"/>
                <w:i w:val="0"/>
                <w:color w:val="2A3240"/>
                <w:sz w:val="17"/>
              </w:rPr>
              <w:t>beforeRun</w:t>
            </w:r>
            <w:r>
              <w:br/>
            </w:r>
            <w:r>
              <w:rPr>
                <w:rFonts w:ascii="Liberation Mono" w:hAnsi="Liberation Mono"/>
                <w:b w:val="0"/>
                <w:i w:val="0"/>
                <w:color w:val="2A3240"/>
                <w:sz w:val="17"/>
              </w:rPr>
              <w:t>beforeContext</w:t>
            </w:r>
            <w:r>
              <w:br/>
            </w:r>
            <w:r>
              <w:rPr>
                <w:rFonts w:ascii="Liberation Mono" w:hAnsi="Liberation Mono"/>
                <w:b w:val="0"/>
                <w:i w:val="0"/>
                <w:color w:val="2A3240"/>
                <w:sz w:val="17"/>
              </w:rPr>
              <w:t>onEvidence</w:t>
            </w:r>
            <w:r>
              <w:br/>
            </w:r>
            <w:r>
              <w:rPr>
                <w:rFonts w:ascii="Liberation Mono" w:hAnsi="Liberation Mono"/>
                <w:b w:val="0"/>
                <w:i w:val="0"/>
                <w:color w:val="2A3240"/>
                <w:sz w:val="17"/>
              </w:rPr>
              <w:t>onSkillCandidates</w:t>
            </w:r>
            <w:r>
              <w:br/>
            </w:r>
            <w:r>
              <w:rPr>
                <w:rFonts w:ascii="Liberation Mono" w:hAnsi="Liberation Mono"/>
                <w:b w:val="0"/>
                <w:i w:val="0"/>
                <w:color w:val="2A3240"/>
                <w:sz w:val="17"/>
              </w:rPr>
              <w:t>onSkillSelected</w:t>
            </w:r>
            <w:r>
              <w:br/>
            </w:r>
            <w:r>
              <w:rPr>
                <w:rFonts w:ascii="Liberation Mono" w:hAnsi="Liberation Mono"/>
                <w:b w:val="0"/>
                <w:i w:val="0"/>
                <w:color w:val="2A3240"/>
                <w:sz w:val="17"/>
              </w:rPr>
              <w:t>beforeAgent</w:t>
            </w:r>
            <w:r>
              <w:br/>
            </w:r>
            <w:r>
              <w:rPr>
                <w:rFonts w:ascii="Liberation Mono" w:hAnsi="Liberation Mono"/>
                <w:b w:val="0"/>
                <w:i w:val="0"/>
                <w:color w:val="2A3240"/>
                <w:sz w:val="17"/>
              </w:rPr>
              <w:t>beforeTool</w:t>
            </w:r>
            <w:r>
              <w:br/>
            </w:r>
            <w:r>
              <w:rPr>
                <w:rFonts w:ascii="Liberation Mono" w:hAnsi="Liberation Mono"/>
                <w:b w:val="0"/>
                <w:i w:val="0"/>
                <w:color w:val="2A3240"/>
                <w:sz w:val="17"/>
              </w:rPr>
              <w:t>afterTool</w:t>
            </w:r>
            <w:r>
              <w:br/>
            </w:r>
            <w:r>
              <w:rPr>
                <w:rFonts w:ascii="Liberation Mono" w:hAnsi="Liberation Mono"/>
                <w:b w:val="0"/>
                <w:i w:val="0"/>
                <w:color w:val="2A3240"/>
                <w:sz w:val="17"/>
              </w:rPr>
              <w:t>onCheckpoint</w:t>
            </w:r>
            <w:r>
              <w:br/>
            </w:r>
            <w:r>
              <w:rPr>
                <w:rFonts w:ascii="Liberation Mono" w:hAnsi="Liberation Mono"/>
                <w:b w:val="0"/>
                <w:i w:val="0"/>
                <w:color w:val="2A3240"/>
                <w:sz w:val="17"/>
              </w:rPr>
              <w:t>onError</w:t>
            </w:r>
            <w:r>
              <w:br/>
            </w:r>
            <w:r>
              <w:rPr>
                <w:rFonts w:ascii="Liberation Mono" w:hAnsi="Liberation Mono"/>
                <w:b w:val="0"/>
                <w:i w:val="0"/>
                <w:color w:val="2A3240"/>
                <w:sz w:val="17"/>
              </w:rPr>
              <w:t>onRecovery</w:t>
            </w:r>
            <w:r>
              <w:br/>
            </w:r>
            <w:r>
              <w:rPr>
                <w:rFonts w:ascii="Liberation Mono" w:hAnsi="Liberation Mono"/>
                <w:b w:val="0"/>
                <w:i w:val="0"/>
                <w:color w:val="2A3240"/>
                <w:sz w:val="17"/>
              </w:rPr>
              <w:t>beforeComplete</w:t>
            </w:r>
            <w:r>
              <w:br/>
            </w:r>
            <w:r>
              <w:rPr>
                <w:rFonts w:ascii="Liberation Mono" w:hAnsi="Liberation Mono"/>
                <w:b w:val="0"/>
                <w:i w:val="0"/>
                <w:color w:val="2A3240"/>
                <w:sz w:val="17"/>
              </w:rPr>
              <w:t>afterComplete</w:t>
            </w:r>
          </w:p>
        </w:tc>
      </w:tr>
    </w:tbl>
    <w:p>
      <w:pPr>
        <w:spacing w:after="20"/>
      </w:pPr>
    </w:p>
    <w:p>
      <w:pPr>
        <w:spacing w:before="0" w:after="140" w:line="269" w:lineRule="auto"/>
      </w:pPr>
      <w:r>
        <w:rPr>
          <w:rFonts w:ascii="Liberation Sans" w:hAnsi="Liberation Sans"/>
          <w:b w:val="0"/>
          <w:i w:val="0"/>
          <w:color w:val="1D2433"/>
        </w:rPr>
        <w:t>Hooks receive bounded typed context and may never bypass compiled authority. Middleware ordering must be deterministic where hook results affect Knolo-owned state.</w:t>
      </w:r>
    </w:p>
    <w:p>
      <w:pPr>
        <w:pStyle w:val="Heading2"/>
        <w:keepNext/>
        <w:spacing w:before="180" w:after="80"/>
      </w:pPr>
      <w:r>
        <w:rPr>
          <w:rFonts w:ascii="Liberation Sans" w:hAnsi="Liberation Sans"/>
          <w:b/>
          <w:color w:val="17233C"/>
          <w:sz w:val="27"/>
        </w:rPr>
        <w:t>A.3 Capability gap acquisition</w:t>
      </w:r>
    </w:p>
    <w:tbl>
      <w:tblPr>
        <w:tblW w:type="auto" w:w="0"/>
        <w:jc w:val="center"/>
        <w:tblLayout w:type="fixed"/>
        <w:tblLook w:firstColumn="1" w:firstRow="1" w:lastColumn="0" w:lastRow="0" w:noHBand="0" w:noVBand="1" w:val="04A0"/>
      </w:tblPr>
      <w:tblGrid>
        <w:gridCol w:w="9994"/>
      </w:tblGrid>
      <w:tr>
        <w:trPr>
          <w:cantSplit/>
        </w:trPr>
        <w:tc>
          <w:tcPr>
            <w:tcW w:type="dxa" w:w="9576"/>
            <w:shd w:fill="F6F7F9"/>
            <w:tcMar>
              <w:top w:w="120" w:type="dxa"/>
              <w:start w:w="150" w:type="dxa"/>
              <w:bottom w:w="120" w:type="dxa"/>
              <w:end w:w="150" w:type="dxa"/>
            </w:tcMar>
            <w:tcBorders>
              <w:top w:val="single" w:sz="5" w:color="D8E0EA"/>
              <w:left w:val="single" w:sz="5" w:color="D8E0EA"/>
              <w:bottom w:val="single" w:sz="5" w:color="D8E0EA"/>
              <w:right w:val="single" w:sz="5" w:color="D8E0EA"/>
            </w:tcBorders>
          </w:tcPr>
          <w:p>
            <w:pPr>
              <w:spacing w:before="0" w:after="0" w:line="240" w:lineRule="auto"/>
            </w:pPr>
            <w:r>
              <w:rPr>
                <w:rFonts w:ascii="Liberation Mono" w:hAnsi="Liberation Mono"/>
                <w:b w:val="0"/>
                <w:i w:val="0"/>
                <w:color w:val="2A3240"/>
                <w:sz w:val="17"/>
              </w:rPr>
              <w:t>if (!localCapabilities.satisfy(task.requiredCapabilities)) {</w:t>
            </w:r>
            <w:r>
              <w:br/>
            </w:r>
            <w:r>
              <w:rPr>
                <w:rFonts w:ascii="Liberation Mono" w:hAnsi="Liberation Mono"/>
                <w:b w:val="0"/>
                <w:i w:val="0"/>
                <w:color w:val="2A3240"/>
                <w:sz w:val="17"/>
              </w:rPr>
              <w:t xml:space="preserve">  if (!policy.registry.acquire) return unresolvedCapability(...);</w:t>
            </w:r>
            <w:r>
              <w:br/>
            </w:r>
            <w:r>
              <w:rPr>
                <w:rFonts w:ascii="Liberation Mono" w:hAnsi="Liberation Mono"/>
                <w:b w:val="0"/>
                <w:i w:val="0"/>
                <w:color w:val="2A3240"/>
                <w:sz w:val="17"/>
              </w:rPr>
            </w:r>
            <w:r>
              <w:br/>
            </w:r>
            <w:r>
              <w:rPr>
                <w:rFonts w:ascii="Liberation Mono" w:hAnsi="Liberation Mono"/>
                <w:b w:val="0"/>
                <w:i w:val="0"/>
                <w:color w:val="2A3240"/>
                <w:sz w:val="17"/>
              </w:rPr>
              <w:t xml:space="preserve">  const candidates = await registry.search(request);</w:t>
            </w:r>
            <w:r>
              <w:br/>
            </w:r>
            <w:r>
              <w:rPr>
                <w:rFonts w:ascii="Liberation Mono" w:hAnsi="Liberation Mono"/>
                <w:b w:val="0"/>
                <w:i w:val="0"/>
                <w:color w:val="2A3240"/>
                <w:sz w:val="17"/>
              </w:rPr>
              <w:t xml:space="preserve">  const selected = resolveCandidatesDeterministically(candidates, policy);</w:t>
            </w:r>
            <w:r>
              <w:br/>
            </w:r>
            <w:r>
              <w:rPr>
                <w:rFonts w:ascii="Liberation Mono" w:hAnsi="Liberation Mono"/>
                <w:b w:val="0"/>
                <w:i w:val="0"/>
                <w:color w:val="2A3240"/>
                <w:sz w:val="17"/>
              </w:rPr>
              <w:t xml:space="preserve">  const manifest = await registry.resolve(selected.spec);</w:t>
            </w:r>
            <w:r>
              <w:br/>
            </w:r>
            <w:r>
              <w:rPr>
                <w:rFonts w:ascii="Liberation Mono" w:hAnsi="Liberation Mono"/>
                <w:b w:val="0"/>
                <w:i w:val="0"/>
                <w:color w:val="2A3240"/>
                <w:sz w:val="17"/>
              </w:rPr>
              <w:t xml:space="preserve">  const bytes = await registry.pull(manifest);</w:t>
            </w:r>
            <w:r>
              <w:br/>
            </w:r>
            <w:r>
              <w:rPr>
                <w:rFonts w:ascii="Liberation Mono" w:hAnsi="Liberation Mono"/>
                <w:b w:val="0"/>
                <w:i w:val="0"/>
                <w:color w:val="2A3240"/>
                <w:sz w:val="17"/>
              </w:rPr>
            </w:r>
            <w:r>
              <w:br/>
            </w:r>
            <w:r>
              <w:rPr>
                <w:rFonts w:ascii="Liberation Mono" w:hAnsi="Liberation Mono"/>
                <w:b w:val="0"/>
                <w:i w:val="0"/>
                <w:color w:val="2A3240"/>
                <w:sz w:val="17"/>
              </w:rPr>
              <w:t xml:space="preserve">  verifyDigest(bytes, manifest.sha256);</w:t>
            </w:r>
            <w:r>
              <w:br/>
            </w:r>
            <w:r>
              <w:rPr>
                <w:rFonts w:ascii="Liberation Mono" w:hAnsi="Liberation Mono"/>
                <w:b w:val="0"/>
                <w:i w:val="0"/>
                <w:color w:val="2A3240"/>
                <w:sz w:val="17"/>
              </w:rPr>
              <w:t xml:space="preserve">  const image = verifyWithCore(bytes);</w:t>
            </w:r>
            <w:r>
              <w:br/>
            </w:r>
            <w:r>
              <w:rPr>
                <w:rFonts w:ascii="Liberation Mono" w:hAnsi="Liberation Mono"/>
                <w:b w:val="0"/>
                <w:i w:val="0"/>
                <w:color w:val="2A3240"/>
                <w:sz w:val="17"/>
              </w:rPr>
              <w:t xml:space="preserve">  stageForNextRun(image, manifest);</w:t>
            </w:r>
            <w:r>
              <w:br/>
            </w:r>
            <w:r>
              <w:rPr>
                <w:rFonts w:ascii="Liberation Mono" w:hAnsi="Liberation Mono"/>
                <w:b w:val="0"/>
                <w:i w:val="0"/>
                <w:color w:val="2A3240"/>
                <w:sz w:val="17"/>
              </w:rPr>
              <w:t>}</w:t>
            </w:r>
          </w:p>
        </w:tc>
      </w:tr>
    </w:tbl>
    <w:p>
      <w:pPr>
        <w:spacing w:after="20"/>
      </w:pPr>
    </w:p>
    <w:p>
      <w:pPr>
        <w:pStyle w:val="Heading2"/>
        <w:keepNext/>
        <w:spacing w:before="180" w:after="80"/>
      </w:pPr>
      <w:r>
        <w:rPr>
          <w:rFonts w:ascii="Liberation Sans" w:hAnsi="Liberation Sans"/>
          <w:b/>
          <w:color w:val="17233C"/>
          <w:sz w:val="27"/>
        </w:rPr>
        <w:t>A.4 Run receipt minimum fields</w:t>
      </w:r>
    </w:p>
    <w:tbl>
      <w:tblPr>
        <w:tblW w:type="auto" w:w="0"/>
        <w:jc w:val="center"/>
        <w:tblLayout w:type="fixed"/>
        <w:tblLook w:firstColumn="1" w:firstRow="1" w:lastColumn="0" w:lastRow="0" w:noHBand="0" w:noVBand="1" w:val="04A0"/>
      </w:tblPr>
      <w:tblGrid>
        <w:gridCol w:w="9994"/>
      </w:tblGrid>
      <w:tr>
        <w:trPr>
          <w:cantSplit/>
        </w:trPr>
        <w:tc>
          <w:tcPr>
            <w:tcW w:type="dxa" w:w="9576"/>
            <w:shd w:fill="F6F7F9"/>
            <w:tcMar>
              <w:top w:w="120" w:type="dxa"/>
              <w:start w:w="150" w:type="dxa"/>
              <w:bottom w:w="120" w:type="dxa"/>
              <w:end w:w="150" w:type="dxa"/>
            </w:tcMar>
            <w:tcBorders>
              <w:top w:val="single" w:sz="5" w:color="D8E0EA"/>
              <w:left w:val="single" w:sz="5" w:color="D8E0EA"/>
              <w:bottom w:val="single" w:sz="5" w:color="D8E0EA"/>
              <w:right w:val="single" w:sz="5" w:color="D8E0EA"/>
            </w:tcBorders>
          </w:tcPr>
          <w:p>
            <w:pPr>
              <w:spacing w:before="0" w:after="0" w:line="240" w:lineRule="auto"/>
            </w:pPr>
            <w:r>
              <w:rPr>
                <w:rFonts w:ascii="Liberation Mono" w:hAnsi="Liberation Mono"/>
                <w:b w:val="0"/>
                <w:i w:val="0"/>
                <w:color w:val="2A3240"/>
                <w:sz w:val="17"/>
              </w:rPr>
              <w:t>HarnessRunReceiptV1 {</w:t>
            </w:r>
            <w:r>
              <w:br/>
            </w:r>
            <w:r>
              <w:rPr>
                <w:rFonts w:ascii="Liberation Mono" w:hAnsi="Liberation Mono"/>
                <w:b w:val="0"/>
                <w:i w:val="0"/>
                <w:color w:val="2A3240"/>
                <w:sz w:val="17"/>
              </w:rPr>
              <w:t xml:space="preserve">  runId</w:t>
            </w:r>
            <w:r>
              <w:br/>
            </w:r>
            <w:r>
              <w:rPr>
                <w:rFonts w:ascii="Liberation Mono" w:hAnsi="Liberation Mono"/>
                <w:b w:val="0"/>
                <w:i w:val="0"/>
                <w:color w:val="2A3240"/>
                <w:sz w:val="17"/>
              </w:rPr>
              <w:t xml:space="preserve">  agentDescriptorHash</w:t>
            </w:r>
            <w:r>
              <w:br/>
            </w:r>
            <w:r>
              <w:rPr>
                <w:rFonts w:ascii="Liberation Mono" w:hAnsi="Liberation Mono"/>
                <w:b w:val="0"/>
                <w:i w:val="0"/>
                <w:color w:val="2A3240"/>
                <w:sz w:val="17"/>
              </w:rPr>
              <w:t xml:space="preserve">  taskRoot</w:t>
            </w:r>
            <w:r>
              <w:br/>
            </w:r>
            <w:r>
              <w:rPr>
                <w:rFonts w:ascii="Liberation Mono" w:hAnsi="Liberation Mono"/>
                <w:b w:val="0"/>
                <w:i w:val="0"/>
                <w:color w:val="2A3240"/>
                <w:sz w:val="17"/>
              </w:rPr>
              <w:t xml:space="preserve">  inputRoot</w:t>
            </w:r>
            <w:r>
              <w:br/>
            </w:r>
            <w:r>
              <w:rPr>
                <w:rFonts w:ascii="Liberation Mono" w:hAnsi="Liberation Mono"/>
                <w:b w:val="0"/>
                <w:i w:val="0"/>
                <w:color w:val="2A3240"/>
                <w:sz w:val="17"/>
              </w:rPr>
              <w:t xml:space="preserve">  knowledgeStateRoots[]</w:t>
            </w:r>
            <w:r>
              <w:br/>
            </w:r>
            <w:r>
              <w:rPr>
                <w:rFonts w:ascii="Liberation Mono" w:hAnsi="Liberation Mono"/>
                <w:b w:val="0"/>
                <w:i w:val="0"/>
                <w:color w:val="2A3240"/>
                <w:sz w:val="17"/>
              </w:rPr>
              <w:t xml:space="preserve">  harnessDependencyRoot</w:t>
            </w:r>
            <w:r>
              <w:br/>
            </w:r>
            <w:r>
              <w:rPr>
                <w:rFonts w:ascii="Liberation Mono" w:hAnsi="Liberation Mono"/>
                <w:b w:val="0"/>
                <w:i w:val="0"/>
                <w:color w:val="2A3240"/>
                <w:sz w:val="17"/>
              </w:rPr>
              <w:t xml:space="preserve">  authorityRoot</w:t>
            </w:r>
            <w:r>
              <w:br/>
            </w:r>
            <w:r>
              <w:rPr>
                <w:rFonts w:ascii="Liberation Mono" w:hAnsi="Liberation Mono"/>
                <w:b w:val="0"/>
                <w:i w:val="0"/>
                <w:color w:val="2A3240"/>
                <w:sz w:val="17"/>
              </w:rPr>
              <w:t xml:space="preserve">  skillSelectionReceipt</w:t>
            </w:r>
            <w:r>
              <w:br/>
            </w:r>
            <w:r>
              <w:rPr>
                <w:rFonts w:ascii="Liberation Mono" w:hAnsi="Liberation Mono"/>
                <w:b w:val="0"/>
                <w:i w:val="0"/>
                <w:color w:val="2A3240"/>
                <w:sz w:val="17"/>
              </w:rPr>
              <w:t xml:space="preserve">  evidenceReceipts[]</w:t>
            </w:r>
            <w:r>
              <w:br/>
            </w:r>
            <w:r>
              <w:rPr>
                <w:rFonts w:ascii="Liberation Mono" w:hAnsi="Liberation Mono"/>
                <w:b w:val="0"/>
                <w:i w:val="0"/>
                <w:color w:val="2A3240"/>
                <w:sz w:val="17"/>
              </w:rPr>
              <w:t xml:space="preserve">  toolReceipts[]</w:t>
            </w:r>
            <w:r>
              <w:br/>
            </w:r>
            <w:r>
              <w:rPr>
                <w:rFonts w:ascii="Liberation Mono" w:hAnsi="Liberation Mono"/>
                <w:b w:val="0"/>
                <w:i w:val="0"/>
                <w:color w:val="2A3240"/>
                <w:sz w:val="17"/>
              </w:rPr>
              <w:t xml:space="preserve">  evaluationReceipt</w:t>
            </w:r>
            <w:r>
              <w:br/>
            </w:r>
            <w:r>
              <w:rPr>
                <w:rFonts w:ascii="Liberation Mono" w:hAnsi="Liberation Mono"/>
                <w:b w:val="0"/>
                <w:i w:val="0"/>
                <w:color w:val="2A3240"/>
                <w:sz w:val="17"/>
              </w:rPr>
              <w:t xml:space="preserve">  recoveryEvents[]</w:t>
            </w:r>
            <w:r>
              <w:br/>
            </w:r>
            <w:r>
              <w:rPr>
                <w:rFonts w:ascii="Liberation Mono" w:hAnsi="Liberation Mono"/>
                <w:b w:val="0"/>
                <w:i w:val="0"/>
                <w:color w:val="2A3240"/>
                <w:sz w:val="17"/>
              </w:rPr>
              <w:t xml:space="preserve">  finalStatus</w:t>
            </w:r>
            <w:r>
              <w:br/>
            </w:r>
            <w:r>
              <w:rPr>
                <w:rFonts w:ascii="Liberation Mono" w:hAnsi="Liberation Mono"/>
                <w:b w:val="0"/>
                <w:i w:val="0"/>
                <w:color w:val="2A3240"/>
                <w:sz w:val="17"/>
              </w:rPr>
              <w:t>}</w:t>
            </w:r>
          </w:p>
        </w:tc>
      </w:tr>
    </w:tbl>
    <w:p>
      <w:pPr>
        <w:spacing w:after="20"/>
      </w:pPr>
    </w:p>
    <w:p>
      <w:pPr>
        <w:pStyle w:val="Heading1"/>
        <w:keepNext/>
        <w:spacing w:before="280" w:after="120"/>
      </w:pPr>
      <w:r>
        <w:rPr>
          <w:rFonts w:ascii="Liberation Sans" w:hAnsi="Liberation Sans"/>
          <w:b/>
          <w:color w:val="17233C"/>
          <w:sz w:val="36"/>
        </w:rPr>
        <w:t>Appendix B. Source and compatibility references</w:t>
      </w:r>
    </w:p>
    <w:p>
      <w:pPr>
        <w:spacing w:before="0" w:after="140" w:line="269" w:lineRule="auto"/>
      </w:pPr>
      <w:r>
        <w:rPr>
          <w:rFonts w:ascii="Liberation Sans" w:hAnsi="Liberation Sans"/>
          <w:b w:val="0"/>
          <w:i w:val="0"/>
          <w:color w:val="1D2433"/>
        </w:rPr>
        <w:t>Repository state reviewed for this plan: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5"/>
              </w:rPr>
              <w:t>Reference</w:t>
            </w:r>
          </w:p>
        </w:tc>
        <w:tc>
          <w:tcPr>
            <w:tcW w:type="dxa" w:w="3671"/>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5"/>
              </w:rPr>
              <w:t>URL</w:t>
            </w:r>
          </w:p>
        </w:tc>
        <w:tc>
          <w:tcPr>
            <w:tcW w:type="dxa" w:w="4104"/>
            <w:shd w:fill="17233C"/>
            <w:tcMar>
              <w:top w:w="105" w:type="dxa"/>
              <w:start w:w="105" w:type="dxa"/>
              <w:bottom w:w="105" w:type="dxa"/>
              <w:end w:w="105" w:type="dxa"/>
            </w:tcMar>
            <w:vAlign w:val="center"/>
          </w:tcPr>
          <w:p>
            <w:pPr>
              <w:spacing w:before="0" w:after="0" w:line="240" w:lineRule="auto"/>
              <w:jc w:val="left"/>
            </w:pPr>
            <w:r>
              <w:rPr>
                <w:rFonts w:ascii="Liberation Sans" w:hAnsi="Liberation Sans"/>
                <w:b/>
                <w:i w:val="0"/>
                <w:color w:val="FFFFFF"/>
                <w:sz w:val="15"/>
              </w:rPr>
              <w:t>Plan relevance</w:t>
            </w:r>
          </w:p>
        </w:tc>
      </w:tr>
      <w:tr>
        <w:trPr>
          <w:cantSplit/>
        </w:trPr>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Knolo Agents</w:t>
            </w:r>
          </w:p>
        </w:tc>
        <w:tc>
          <w:tcPr>
            <w:tcW w:type="dxa" w:w="3671"/>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https://github.com/HiveForensics-AI/Knolo-Agents</w:t>
            </w:r>
          </w:p>
        </w:tc>
        <w:tc>
          <w:tcPr>
            <w:tcW w:type="dxa" w:w="41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Current package @knolo/agents 0.1.3; Rust authoritative control plane; current Core peer declaration ^3.5.0.</w:t>
            </w:r>
          </w:p>
        </w:tc>
      </w:tr>
      <w:tr>
        <w:trPr>
          <w:cantSplit/>
        </w:trPr>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Knolo Core</w:t>
            </w:r>
          </w:p>
        </w:tc>
        <w:tc>
          <w:tcPr>
            <w:tcW w:type="dxa" w:w="3671"/>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https://github.com/HiveForensics-AI/knolo-core</w:t>
            </w:r>
          </w:p>
        </w:tc>
        <w:tc>
          <w:tcPr>
            <w:tcW w:type="dxa" w:w="41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Current @knolo/core 5.1.0; V5 Knowledge Images, authority, durable agent runs and host-controlled execution.</w:t>
            </w:r>
          </w:p>
        </w:tc>
      </w:tr>
      <w:tr>
        <w:trPr>
          <w:cantSplit/>
        </w:trPr>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Knolo CLI</w:t>
            </w:r>
          </w:p>
        </w:tc>
        <w:tc>
          <w:tcPr>
            <w:tcW w:type="dxa" w:w="3671"/>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https://github.com/HiveForensics-AI/knolo-core/tree/main/packages/cli</w:t>
            </w:r>
          </w:p>
        </w:tc>
        <w:tc>
          <w:tcPr>
            <w:tcW w:type="dxa" w:w="41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Current @knolo/cli 5.2.3; Hub search/info/add/login/publish/yank workflow, SHA cache and knolo.lock.json.</w:t>
            </w:r>
          </w:p>
        </w:tc>
      </w:tr>
      <w:tr>
        <w:trPr>
          <w:cantSplit/>
        </w:trPr>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Knolo Hub</w:t>
            </w:r>
          </w:p>
        </w:tc>
        <w:tc>
          <w:tcPr>
            <w:tcW w:type="dxa" w:w="3671"/>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https://hub.knolo.dev</w:t>
            </w:r>
          </w:p>
        </w:tc>
        <w:tc>
          <w:tcPr>
            <w:tcW w:type="dxa" w:w="41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Registry for portable verifiable Knowledge Images / packs; direct immutable Blob delivery and local Core verification.</w:t>
            </w:r>
          </w:p>
        </w:tc>
      </w:tr>
      <w:tr>
        <w:trPr>
          <w:cantSplit/>
        </w:trPr>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Hub repository</w:t>
            </w:r>
          </w:p>
        </w:tc>
        <w:tc>
          <w:tcPr>
            <w:tcW w:type="dxa" w:w="3671"/>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https://github.com/HiveForensics-AI/knolo-hub</w:t>
            </w:r>
          </w:p>
        </w:tc>
        <w:tc>
          <w:tcPr>
            <w:tcW w:type="dxa" w:w="41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Vercel/Neon/Blob registry implementation and HTTP/CLI contracts.</w:t>
            </w:r>
          </w:p>
        </w:tc>
      </w:tr>
      <w:tr>
        <w:trPr>
          <w:cantSplit/>
        </w:trPr>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Anthropic docs</w:t>
            </w:r>
          </w:p>
        </w:tc>
        <w:tc>
          <w:tcPr>
            <w:tcW w:type="dxa" w:w="3671"/>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https://docs.anthropic.com</w:t>
            </w:r>
          </w:p>
        </w:tc>
        <w:tc>
          <w:tcPr>
            <w:tcW w:type="dxa" w:w="41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Claude supports tool/MCP integration surfaces; vendor adapter must track current supported APIs rather than hard-code model assumptions.</w:t>
            </w:r>
          </w:p>
        </w:tc>
      </w:tr>
      <w:tr>
        <w:trPr>
          <w:cantSplit/>
        </w:trPr>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xAI docs</w:t>
            </w:r>
          </w:p>
        </w:tc>
        <w:tc>
          <w:tcPr>
            <w:tcW w:type="dxa" w:w="3671"/>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https://docs.x.ai</w:t>
            </w:r>
          </w:p>
        </w:tc>
        <w:tc>
          <w:tcPr>
            <w:tcW w:type="dxa" w:w="41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Grok API supports function calling; Grok product also documents custom MCP connectors. Use host-owned networking.</w:t>
            </w:r>
          </w:p>
        </w:tc>
      </w:tr>
      <w:tr>
        <w:trPr>
          <w:cantSplit/>
        </w:trPr>
        <w:tc>
          <w:tcPr>
            <w:tcW w:type="dxa" w:w="1800"/>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OpenClaw docs</w:t>
            </w:r>
          </w:p>
        </w:tc>
        <w:tc>
          <w:tcPr>
            <w:tcW w:type="dxa" w:w="3671"/>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https://docs.openclaw.ai</w:t>
            </w:r>
          </w:p>
        </w:tc>
        <w:tc>
          <w:tcPr>
            <w:tcW w:type="dxa" w:w="4104"/>
            <w:shd w:fill="FFFFFF"/>
            <w:tcMar>
              <w:top w:w="95" w:type="dxa"/>
              <w:start w:w="105" w:type="dxa"/>
              <w:bottom w:w="95" w:type="dxa"/>
              <w:end w:w="105" w:type="dxa"/>
            </w:tcMar>
            <w:vAlign w:val="center"/>
            <w:tcBorders>
              <w:bottom w:val="single" w:sz="4" w:color="D8E0EA"/>
            </w:tcBorders>
          </w:tcPr>
          <w:p>
            <w:pPr>
              <w:spacing w:before="0" w:after="0" w:line="245" w:lineRule="auto"/>
            </w:pPr>
            <w:r>
              <w:rPr>
                <w:rFonts w:ascii="Liberation Sans" w:hAnsi="Liberation Sans"/>
                <w:b w:val="0"/>
                <w:i w:val="0"/>
                <w:color w:val="1D2433"/>
                <w:sz w:val="15"/>
              </w:rPr>
              <w:t>Current plugin SDK exposes typed hooks for prompt/tool/lifecycle integration and documents agent-harness plugin patterns; APIs are experimental and should be version-pinned.</w:t>
            </w:r>
          </w:p>
        </w:tc>
      </w:tr>
    </w:tbl>
    <w:p>
      <w:pPr>
        <w:spacing w:after="40"/>
      </w:pPr>
    </w:p>
    <w:tbl>
      <w:tblPr>
        <w:tblW w:type="auto" w:w="0"/>
        <w:jc w:val="center"/>
        <w:tblLayout w:type="fixed"/>
        <w:tblLook w:firstColumn="1" w:firstRow="1" w:lastColumn="0" w:lastRow="0" w:noHBand="0" w:noVBand="1" w:val="04A0"/>
      </w:tblPr>
      <w:tblGrid>
        <w:gridCol w:w="9994"/>
      </w:tblGrid>
      <w:tr>
        <w:trPr>
          <w:cantSplit/>
        </w:trPr>
        <w:tc>
          <w:tcPr>
            <w:tcW w:type="dxa" w:w="9576"/>
            <w:shd w:fill="F3F6FA"/>
            <w:tcMar>
              <w:top w:w="150" w:type="dxa"/>
              <w:start w:w="180" w:type="dxa"/>
              <w:bottom w:w="150" w:type="dxa"/>
              <w:end w:w="180" w:type="dxa"/>
            </w:tcMar>
            <w:tcBorders>
              <w:top w:val="nil"/>
              <w:left w:val="single" w:sz="18" w:color="5E6A7D"/>
              <w:bottom w:val="nil"/>
              <w:right w:val="nil"/>
            </w:tcBorders>
          </w:tcPr>
          <w:p>
            <w:pPr>
              <w:spacing w:before="0" w:after="60" w:line="259" w:lineRule="auto"/>
            </w:pPr>
            <w:r>
              <w:rPr>
                <w:rFonts w:ascii="Liberation Sans" w:hAnsi="Liberation Sans"/>
                <w:b/>
                <w:i w:val="0"/>
                <w:color w:val="5E6A7D"/>
                <w:sz w:val="23"/>
              </w:rPr>
              <w:t>Versioning note</w:t>
            </w:r>
          </w:p>
          <w:p>
            <w:pPr>
              <w:spacing w:before="0" w:after="0" w:line="259" w:lineRule="auto"/>
            </w:pPr>
            <w:r>
              <w:rPr>
                <w:rFonts w:ascii="Liberation Sans" w:hAnsi="Liberation Sans"/>
                <w:b w:val="0"/>
                <w:i w:val="0"/>
                <w:color w:val="1D2433"/>
                <w:sz w:val="21"/>
              </w:rPr>
              <w:t>External vendor APIs and OpenClaw plugin surfaces can change. Keep vendor adapter code behind Knolo-owned contracts, pin tested versions in CI, and update the compatibility matrix without changing the universal harness semantics.</w:t>
            </w:r>
          </w:p>
        </w:tc>
      </w:tr>
    </w:tbl>
    <w:p>
      <w:pPr>
        <w:spacing w:after="20"/>
      </w:pPr>
    </w:p>
    <w:p>
      <w:pPr>
        <w:pStyle w:val="Heading1"/>
        <w:keepNext/>
        <w:spacing w:before="280" w:after="120"/>
      </w:pPr>
      <w:r>
        <w:rPr>
          <w:rFonts w:ascii="Liberation Sans" w:hAnsi="Liberation Sans"/>
          <w:b/>
          <w:color w:val="17233C"/>
          <w:sz w:val="36"/>
        </w:rPr>
        <w:t>Implementation approval summary</w:t>
      </w:r>
    </w:p>
    <w:p>
      <w:pPr>
        <w:spacing w:before="0" w:after="140" w:line="269" w:lineRule="auto"/>
      </w:pPr>
      <w:r>
        <w:rPr>
          <w:rFonts w:ascii="Liberation Sans" w:hAnsi="Liberation Sans"/>
          <w:b w:val="0"/>
          <w:i w:val="0"/>
          <w:color w:val="1D2433"/>
        </w:rPr>
        <w:t>Proceed with the conversion as an additive architecture. The first engineering milestone is not “support Claude/Grok/OpenClaw”; it is to make the universal AgentAdapter + HarnessSession + Core V5 compatibility layer stable. Once those contracts exist, vendor integrations become thin adapters and Hub becomes the capability supply chain.</w:t>
      </w:r>
    </w:p>
    <w:tbl>
      <w:tblPr>
        <w:tblW w:type="auto" w:w="0"/>
        <w:jc w:val="center"/>
        <w:tblLayout w:type="fixed"/>
        <w:tblLook w:firstColumn="1" w:firstRow="1" w:lastColumn="0" w:lastRow="0" w:noHBand="0" w:noVBand="1" w:val="04A0"/>
      </w:tblPr>
      <w:tblGrid>
        <w:gridCol w:w="9994"/>
      </w:tblGrid>
      <w:tr>
        <w:trPr>
          <w:cantSplit/>
        </w:trPr>
        <w:tc>
          <w:tcPr>
            <w:tcW w:type="dxa" w:w="9576"/>
            <w:shd w:fill="EDF3FF"/>
            <w:tcMar>
              <w:top w:w="150" w:type="dxa"/>
              <w:start w:w="180" w:type="dxa"/>
              <w:bottom w:w="150" w:type="dxa"/>
              <w:end w:w="180" w:type="dxa"/>
            </w:tcMar>
            <w:tcBorders>
              <w:top w:val="nil"/>
              <w:left w:val="single" w:sz="18" w:color="315EFB"/>
              <w:bottom w:val="nil"/>
              <w:right w:val="nil"/>
            </w:tcBorders>
          </w:tcPr>
          <w:p>
            <w:pPr>
              <w:spacing w:before="0" w:after="60" w:line="259" w:lineRule="auto"/>
            </w:pPr>
            <w:r>
              <w:rPr>
                <w:rFonts w:ascii="Liberation Sans" w:hAnsi="Liberation Sans"/>
                <w:b/>
                <w:i w:val="0"/>
                <w:color w:val="315EFB"/>
                <w:sz w:val="23"/>
              </w:rPr>
              <w:t>Team directive</w:t>
            </w:r>
          </w:p>
          <w:p>
            <w:pPr>
              <w:spacing w:before="0" w:after="0" w:line="259" w:lineRule="auto"/>
            </w:pPr>
            <w:r>
              <w:rPr>
                <w:rFonts w:ascii="Liberation Sans" w:hAnsi="Liberation Sans"/>
                <w:b w:val="0"/>
                <w:i w:val="0"/>
                <w:color w:val="1D2433"/>
                <w:sz w:val="21"/>
              </w:rPr>
              <w:t>Build Knolo Agents into the layer every agent can depend on: verified knowledge, reusable skills, memory, authority, recovery, evaluation, and portable learning - while the underlying model or agent framework remains replaceable.</w:t>
            </w:r>
          </w:p>
        </w:tc>
      </w:tr>
    </w:tbl>
    <w:p>
      <w:pPr>
        <w:spacing w:after="20"/>
      </w:pPr>
    </w:p>
    <w:sectPr w:rsidR="00FC693F" w:rsidRPr="0006063C" w:rsidSect="00034616">
      <w:footerReference w:type="default" r:id="rId9"/>
      <w:pgSz w:w="12240" w:h="15840"/>
      <w:pgMar w:top="950"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Liberation Sans" w:hAnsi="Liberation Sans"/>
        <w:b w:val="0"/>
        <w:i w:val="0"/>
        <w:color w:val="8792A2"/>
        <w:sz w:val="16"/>
      </w:rPr>
      <w:t>Knolo Agents Universal Harness | Implementation Plan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1D24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rPr>
      <w:rFonts w:ascii="Liberation Sans" w:hAnsi="Liberation San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Knolo Agents Universal Agent Harness - Implementation &amp; Conversion Plan</dc:title>
  <dc:subject>Universal agent harness conversion plan for Knolo Agents, Core V5, Hub and CLI</dc:subject>
  <dc:creator>Knolo Engineering</dc:creator>
  <cp:keywords>Knolo, agents, universal harness, Claude, Grok, OpenClaw, Hub, Capability Packs, V5</cp:keywords>
  <dc:description>generated by python-docx</dc:description>
  <cp:lastModifiedBy/>
  <cp:revision>1</cp:revision>
  <dcterms:created xsi:type="dcterms:W3CDTF">2013-12-23T23:15:00Z</dcterms:created>
  <dcterms:modified xsi:type="dcterms:W3CDTF">2013-12-23T23:15:00Z</dcterms:modified>
  <cp:category/>
</cp:coreProperties>
</file>