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rPr>
          <w:rFonts w:ascii="Arial" w:hAnsi="Arial"/>
          <w:sz w:val="21"/>
          <w:szCs w:val="21"/>
        </w:rPr>
        <w:t xml:space="preserve">Knolo Infer Native Engine Build Plan</w:t>
      </w:r>
    </w:p>
    <w:p>
      <w:pPr>
        <w:pStyle w:val="Normal"/>
      </w:pPr>
      <w:r>
        <w:rPr>
          <w:rFonts w:ascii="Arial" w:hAnsi="Arial"/>
          <w:sz w:val="21"/>
          <w:szCs w:val="21"/>
        </w:rPr>
        <w:t xml:space="preserve">A stage-gated implementation plan for the first-party, verifiable inference runtime</w:t>
      </w:r>
    </w:p>
    <w:p>
      <w:pPr>
        <w:pStyle w:val="Normal"/>
      </w:pPr>
      <w:r>
        <w:rPr>
          <w:rFonts w:ascii="Arial" w:hAnsi="Arial"/>
          <w:b/>
          <w:sz w:val="21"/>
          <w:szCs w:val="21"/>
        </w:rPr>
        <w:t xml:space="preserve">Source baseline:</w:t>
      </w:r>
      <w:r>
        <w:rPr>
          <w:rFonts w:ascii="Arial" w:hAnsi="Arial"/>
          <w:sz w:val="21"/>
          <w:szCs w:val="21"/>
        </w:rPr>
        <w:t xml:space="preserve"> Knolo Infer Native Engine Final Software Design and Agent Build Handoff, version 1.0</w:t>
      </w:r>
    </w:p>
    <w:p>
      <w:pPr>
        <w:pStyle w:val="Normal"/>
      </w:pPr>
      <w:r>
        <w:rPr>
          <w:rFonts w:ascii="Arial" w:hAnsi="Arial"/>
          <w:b/>
          <w:sz w:val="21"/>
          <w:szCs w:val="21"/>
        </w:rPr>
        <w:t xml:space="preserve">Planning date:</w:t>
      </w:r>
      <w:r>
        <w:rPr>
          <w:rFonts w:ascii="Arial" w:hAnsi="Arial"/>
          <w:sz w:val="21"/>
          <w:szCs w:val="21"/>
        </w:rPr>
        <w:t xml:space="preserve"> 19 September 2026</w:t>
      </w:r>
    </w:p>
    <w:p>
      <w:pPr>
        <w:pStyle w:val="Normal"/>
      </w:pPr>
      <w:r>
        <w:rPr>
          <w:rFonts w:ascii="Arial" w:hAnsi="Arial"/>
          <w:b/>
          <w:sz w:val="21"/>
          <w:szCs w:val="21"/>
        </w:rPr>
        <w:t xml:space="preserve">Working product:</w:t>
      </w:r>
      <w:r>
        <w:rPr>
          <w:rFonts w:ascii="Arial" w:hAnsi="Arial"/>
          <w:sz w:val="21"/>
          <w:szCs w:val="21"/>
        </w:rPr>
        <w:t xml:space="preserve"> Knolo Infer, with the Knolo Native Engine as its native runtime path</w:t>
      </w:r>
    </w:p>
    <w:p>
      <w:pPr>
        <w:pStyle w:val="Normal"/>
      </w:pPr>
      <w:r>
        <w:rPr>
          <w:rFonts w:ascii="Arial" w:hAnsi="Arial"/>
          <w:b/>
          <w:sz w:val="21"/>
          <w:szCs w:val="21"/>
        </w:rPr>
        <w:t xml:space="preserve">Recommended implementation:</w:t>
      </w:r>
      <w:r>
        <w:rPr>
          <w:rFonts w:ascii="Arial" w:hAnsi="Arial"/>
          <w:sz w:val="21"/>
          <w:szCs w:val="21"/>
        </w:rPr>
        <w:t xml:space="preserve"> Rust runtime, TypeScript SDK and integrations, Linux-first CPU and NVIDIA CUDA support</w:t>
      </w:r>
    </w:p>
    <w:p>
      <w:pPr>
        <w:pStyle w:val="Normal"/>
      </w:pPr>
      <w:r>
        <w:rPr>
          <w:rFonts w:ascii="Arial" w:hAnsi="Arial"/>
          <w:b/>
          <w:sz w:val="21"/>
          <w:szCs w:val="21"/>
        </w:rPr>
        <w:t xml:space="preserve">Status:</w:t>
      </w:r>
      <w:r>
        <w:rPr>
          <w:rFonts w:ascii="Arial" w:hAnsi="Arial"/>
          <w:sz w:val="21"/>
          <w:szCs w:val="21"/>
        </w:rPr>
        <w:t xml:space="preserve"> Proposed execution plan; calendar estimates deliberately deferred until scope questions are answered</w:t>
      </w:r>
    </w:p>
    <w:p>
      <w:pPr>
        <w:pStyle w:val="Lead"/>
      </w:pPr>
      <w:r>
        <w:rPr>
          <w:rFonts w:ascii="Arial" w:hAnsi="Arial"/>
          <w:sz w:val="21"/>
          <w:szCs w:val="21"/>
        </w:rPr>
        <w:t xml:space="preserve">Build Knolo Infer as a verifiable execution system rather than a thin model-server wrapper. The implementation should first freeze its contracts and prove a small CPU reference path, then add CUDA, serving, paging, integrations, MoE, and advanced model support behind explicit release gates. Every phase must produce a testable artifact and an acceptance signal before the next phase becomes the default path.</w:t>
      </w:r>
    </w:p>
    <w:p>
      <w:pPr>
        <w:pStyle w:val="Heading2"/>
      </w:pPr>
      <w:r>
        <w:rPr>
          <w:rFonts w:ascii="Arial" w:hAnsi="Arial"/>
          <w:sz w:val="21"/>
          <w:szCs w:val="21"/>
        </w:rPr>
        <w:t xml:space="preserve">Planning conclusion</w:t>
      </w:r>
    </w:p>
    <w:p>
      <w:pPr>
        <w:pStyle w:val="Normal"/>
      </w:pPr>
      <w:r>
        <w:rPr>
          <w:rFonts w:ascii="Arial" w:hAnsi="Arial"/>
          <w:sz w:val="21"/>
          <w:szCs w:val="21"/>
        </w:rPr>
        <w:t xml:space="preserve">The fastest safe route to a product-quality first native release is Phase 0 through Phase 5: contracts, a CPU reference engine, CUDA single-request execution, the supervised server path, quantized/GGUF support, and Knolo product integration. Generic MoE and GLM-4.7 support should follow as a separate release expansion. GLM-5.3 belongs in a research track and must not block the first production release.</w:t>
      </w:r>
    </w:p>
    <w:p>
      <w:pPr>
        <w:pStyle w:val="Small"/>
      </w:pPr>
      <w:r>
        <w:rPr>
          <w:rFonts w:ascii="Arial" w:hAnsi="Arial"/>
          <w:sz w:val="21"/>
          <w:szCs w:val="21"/>
        </w:rPr>
        <w:t xml:space="preserve">Prepared from the repository design brief. Open questions are recorded in this plan and do not block initial planning; they must be resolved before the corresponding release gate is committed.</w:t>
      </w:r>
    </w:p>
    <w:p>
      <w:pPr>
        <w:pageBreakBefore/>
      </w:pPr>
    </w:p>
    <w:p>
      <w:pPr>
        <w:pStyle w:val="Heading1"/>
      </w:pPr>
      <w:r>
        <w:rPr>
          <w:rFonts w:ascii="Arial" w:hAnsi="Arial"/>
          <w:sz w:val="21"/>
          <w:szCs w:val="21"/>
        </w:rPr>
        <w:t xml:space="preserve">1 Purpose and planning assumptions</w:t>
      </w:r>
    </w:p>
    <w:p>
      <w:pPr>
        <w:pStyle w:val="Normal"/>
      </w:pPr>
      <w:r>
        <w:rPr>
          <w:rFonts w:ascii="Arial" w:hAnsi="Arial"/>
          <w:sz w:val="21"/>
          <w:szCs w:val="21"/>
        </w:rPr>
        <w:t xml:space="preserve">This document converts the architecture baseline into an execution plan that an engineering team can use to sequence work, allocate ownership, and decide when a phase is genuinely complete.</w:t>
      </w:r>
    </w:p>
    <w:p>
      <w:pPr>
        <w:pStyle w:val="Normal"/>
      </w:pPr>
      <w:r>
        <w:rPr>
          <w:rFonts w:ascii="Arial" w:hAnsi="Arial"/>
          <w:sz w:val="21"/>
          <w:szCs w:val="21"/>
        </w:rPr>
        <w:t xml:space="preserve">The plan covers the native runtime, its artifact and receipt contracts, the daemon and worker boundary, the model execution path, the TypeScript SDK, and the integrations with Core, Reflex, Agents, and Hub. It also identifies what stays outside the engine: credentials, network policy, tools, external effects, agent authority, and application data.</w:t>
      </w: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800"/>
        <w:gridCol w:w="6560"/>
      </w:tblGrid>
      <w:tr>
        <w:trPr>
          <w:tblHeader/>
        </w:trPr>
        <w:tc>
          <w:tcPr>
            <w:tcW w:w="280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Planning assumption</w:t>
            </w:r>
          </w:p>
        </w:tc>
        <w:tc>
          <w:tcPr>
            <w:tcW w:w="656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How this plan uses it</w:t>
            </w:r>
          </w:p>
        </w:tc>
      </w:tr>
      <w:tr>
        <w:trPr/>
        <w:tc>
          <w:tcPr>
            <w:tcW w:w="28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Architecture baseline is authoritative</w:t>
            </w:r>
          </w:p>
        </w:tc>
        <w:tc>
          <w:tcPr>
            <w:tcW w:w="656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Phase names, contract families, trust boundaries, model sequence, and first-release definition are taken from the design brief unless this plan explicitly adds delivery controls.</w:t>
            </w:r>
          </w:p>
        </w:tc>
      </w:tr>
      <w:tr>
        <w:trPr/>
        <w:tc>
          <w:tcPr>
            <w:tcW w:w="28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Release scope is not yet calendar-bound</w:t>
            </w:r>
          </w:p>
        </w:tc>
        <w:tc>
          <w:tcPr>
            <w:tcW w:w="656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Dependencies and gates are specified without inventing dates. A schedule can be attached once team capacity, hardware access, and the target release date are confirmed.</w:t>
            </w:r>
          </w:p>
        </w:tc>
      </w:tr>
      <w:tr>
        <w:trPr/>
        <w:tc>
          <w:tcPr>
            <w:tcW w:w="28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First release favors correctness and proof</w:t>
            </w:r>
          </w:p>
        </w:tc>
        <w:tc>
          <w:tcPr>
            <w:tcW w:w="656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Optimization features such as prefix caching, CUDA Graphs, speculative decoding, and multi-model lifecycle follow the core conformance path.</w:t>
            </w:r>
          </w:p>
        </w:tc>
      </w:tr>
      <w:tr>
        <w:trPr/>
        <w:tc>
          <w:tcPr>
            <w:tcW w:w="28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Native support is explicit</w:t>
            </w:r>
          </w:p>
        </w:tc>
        <w:tc>
          <w:tcPr>
            <w:tcW w:w="656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Compatibility backends may exist, but they retain their identity, use separate verification classes, and are never silent fallbacks.</w:t>
            </w:r>
          </w:p>
        </w:tc>
      </w:tr>
      <w:tr>
        <w:trPr/>
        <w:tc>
          <w:tcPr>
            <w:tcW w:w="28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GLM support is staged</w:t>
            </w:r>
          </w:p>
        </w:tc>
        <w:tc>
          <w:tcPr>
            <w:tcW w:w="656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The path is dense reference, dense CUDA, quantized dense, generic MoE, GLM-4.7, then GLM-5.3 research. No architecture leapfrogs a missing lower-level conformance result.</w:t>
            </w:r>
          </w:p>
        </w:tc>
      </w:tr>
    </w:tbl>
    <w:p>
      <w:pPr>
        <w:spacing w:after="80"/>
      </w:pPr>
    </w:p>
    <w:p>
      <w:pPr>
        <w:pStyle w:val="Heading1"/>
      </w:pPr>
      <w:r>
        <w:rPr>
          <w:rFonts w:ascii="Arial" w:hAnsi="Arial"/>
          <w:sz w:val="21"/>
          <w:szCs w:val="21"/>
        </w:rPr>
        <w:t xml:space="preserve">2 Questions to confirm</w:t>
      </w:r>
    </w:p>
    <w:p>
      <w:pPr>
        <w:pStyle w:val="Normal"/>
      </w:pPr>
      <w:r>
        <w:rPr>
          <w:rFonts w:ascii="Arial" w:hAnsi="Arial"/>
          <w:sz w:val="21"/>
          <w:szCs w:val="21"/>
        </w:rPr>
        <w:t xml:space="preserve">These questions were raised before drafting. The plan continues with visible assumptions so implementation can start without waiting, but the answers should be captured in the decision log before a release commitment is made.</w:t>
      </w: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0"/>
        <w:gridCol w:w="2500"/>
        <w:gridCol w:w="3300"/>
        <w:gridCol w:w="3060"/>
      </w:tblGrid>
      <w:tr>
        <w:trPr>
          <w:tblHeader/>
        </w:trPr>
        <w:tc>
          <w:tcPr>
            <w:tcW w:w="50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w:t>
            </w:r>
          </w:p>
        </w:tc>
        <w:tc>
          <w:tcPr>
            <w:tcW w:w="250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Question</w:t>
            </w:r>
          </w:p>
        </w:tc>
        <w:tc>
          <w:tcPr>
            <w:tcW w:w="330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Why it changes the plan</w:t>
            </w:r>
          </w:p>
        </w:tc>
        <w:tc>
          <w:tcPr>
            <w:tcW w:w="306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Working assumption</w:t>
            </w:r>
          </w:p>
        </w:tc>
      </w:tr>
      <w:tr>
        <w:trPr/>
        <w:tc>
          <w:tcPr>
            <w:tcW w:w="5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1</w:t>
            </w:r>
          </w:p>
        </w:tc>
        <w:tc>
          <w:tcPr>
            <w:tcW w:w="25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Who is the primary reader and approver: engineering, leadership, or both?</w:t>
            </w:r>
          </w:p>
        </w:tc>
        <w:tc>
          <w:tcPr>
            <w:tcW w:w="33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It determines how much detail belongs in the operational plan, who owns phase gates, and which artifacts must be executive-readable.</w:t>
            </w:r>
          </w:p>
        </w:tc>
        <w:tc>
          <w:tcPr>
            <w:tcW w:w="306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Both. This plan is written for engineering execution with decision-level summaries.</w:t>
            </w:r>
          </w:p>
        </w:tc>
      </w:tr>
      <w:tr>
        <w:trPr/>
        <w:tc>
          <w:tcPr>
            <w:tcW w:w="5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2</w:t>
            </w:r>
          </w:p>
        </w:tc>
        <w:tc>
          <w:tcPr>
            <w:tcW w:w="25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Is there a target release date or a fixed staffing level?</w:t>
            </w:r>
          </w:p>
        </w:tc>
        <w:tc>
          <w:tcPr>
            <w:tcW w:w="33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A calendar schedule and parallel workstream size cannot be estimated credibly without a time or capacity constraint.</w:t>
            </w:r>
          </w:p>
        </w:tc>
        <w:tc>
          <w:tcPr>
            <w:tcW w:w="306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No date assumed. Use dependency order first; add timeboxes after capacity is known.</w:t>
            </w:r>
          </w:p>
        </w:tc>
      </w:tr>
      <w:tr>
        <w:trPr/>
        <w:tc>
          <w:tcPr>
            <w:tcW w:w="5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3</w:t>
            </w:r>
          </w:p>
        </w:tc>
        <w:tc>
          <w:tcPr>
            <w:tcW w:w="25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Must the first release include native GLM-4.7 support?</w:t>
            </w:r>
          </w:p>
        </w:tc>
        <w:tc>
          <w:tcPr>
            <w:tcW w:w="33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If yes, MoE work becomes a release dependency; if no, the first release can finish at the dense/quantized native path and integrate with Knolo earlier.</w:t>
            </w:r>
          </w:p>
        </w:tc>
        <w:tc>
          <w:tcPr>
            <w:tcW w:w="306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Recommended: first release finishes through Phase 5; GLM-4.7 is a follow-on release unless explicitly required.</w:t>
            </w:r>
          </w:p>
        </w:tc>
      </w:tr>
    </w:tbl>
    <w:p>
      <w:pPr>
        <w:spacing w:after="80"/>
      </w:pPr>
    </w:p>
    <w:p>
      <w:pPr>
        <w:pStyle w:val="Heading1"/>
      </w:pPr>
      <w:r>
        <w:rPr>
          <w:rFonts w:ascii="Arial" w:hAnsi="Arial"/>
          <w:sz w:val="21"/>
          <w:szCs w:val="21"/>
        </w:rPr>
        <w:t xml:space="preserve">3 What success looks like</w:t>
      </w:r>
    </w:p>
    <w:p>
      <w:pPr>
        <w:pStyle w:val="Normal"/>
      </w:pPr>
      <w:r>
        <w:rPr>
          <w:rFonts w:ascii="Arial" w:hAnsi="Arial"/>
          <w:sz w:val="21"/>
          <w:szCs w:val="21"/>
        </w:rPr>
        <w:t xml:space="preserve">The first native release is successful when a developer can verify and pin a model image, pull its exact artifacts, compute a placement plan, start the native server, submit a request bound to a Knowledge Image, and receive output plus a verifiable receipt chain.</w:t>
      </w:r>
    </w:p>
    <w:p>
      <w:pPr>
        <w:pStyle w:val="Code"/>
      </w:pPr>
      <w:r>
        <w:rPr>
          <w:rFonts w:ascii="Courier New" w:hAnsi="Courier New"/>
          <w:sz w:val="21"/>
          <w:szCs w:val="21"/>
        </w:rPr>
        <w:t xml:space="preserve">knolo infer model verify ./daily.kmodel</w:t>
        <w:br/>
        <w:t xml:space="preserve">knolo infer pin daily ./daily.kmodel</w:t>
        <w:br/>
        <w:t xml:space="preserve">knolo infer pull daily</w:t>
        <w:br/>
        <w:t xml:space="preserve">knolo infer plan daily --intent interactive</w:t>
        <w:br/>
        <w:t xml:space="preserve">knolo infer serve --model daily</w:t>
      </w:r>
    </w:p>
    <w:p>
      <w:pPr>
        <w:pStyle w:val="Normal"/>
      </w:pPr>
      <w:r>
        <w:rPr>
          <w:rFonts w:ascii="Arial" w:hAnsi="Arial"/>
          <w:sz w:val="21"/>
          <w:szCs w:val="21"/>
        </w:rPr>
        <w:t xml:space="preserve">The receipt must bind the model runtime root, artifact root, tokenizer and template identity, engine build, kernel bundle, placement plan, prompt token root, Knowledge Image and query/reflex receipts, sampler configuration, output token root, output text root, and the assurance level. A second machine with the same pins must be able to verify those identities without relying on a model server outside Knolo.</w:t>
      </w:r>
    </w:p>
    <w:p>
      <w:pPr>
        <w:pageBreakBefore/>
      </w:pPr>
    </w:p>
    <w:p>
      <w:pPr>
        <w:pStyle w:val="Heading1"/>
      </w:pPr>
      <w:r>
        <w:rPr>
          <w:rFonts w:ascii="Arial" w:hAnsi="Arial"/>
          <w:sz w:val="21"/>
          <w:szCs w:val="21"/>
        </w:rPr>
        <w:t xml:space="preserve">4 Phase roadmap at a glance</w:t>
      </w:r>
    </w:p>
    <w:p>
      <w:pPr>
        <w:pStyle w:val="Normal"/>
      </w:pPr>
      <w:r>
        <w:rPr>
          <w:rFonts w:ascii="Arial" w:hAnsi="Arial"/>
          <w:sz w:val="21"/>
          <w:szCs w:val="21"/>
        </w:rPr>
        <w:t xml:space="preserve">The roadmap is dependency-driven. Phase 0 freezes the vocabulary and trust model; Phases 1–3 establish a correct native path and production serving boundary; Phase 4–5 make it usable as a Knolo product; Phases 6–8 expand model and performance scope.</w:t>
      </w: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620"/>
        <w:gridCol w:w="1550"/>
        <w:gridCol w:w="2700"/>
        <w:gridCol w:w="3000"/>
        <w:gridCol w:w="1490"/>
      </w:tblGrid>
      <w:tr>
        <w:trPr>
          <w:tblHeader/>
        </w:trPr>
        <w:tc>
          <w:tcPr>
            <w:tcW w:w="62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Phase</w:t>
            </w:r>
          </w:p>
        </w:tc>
        <w:tc>
          <w:tcPr>
            <w:tcW w:w="155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Outcome</w:t>
            </w:r>
          </w:p>
        </w:tc>
        <w:tc>
          <w:tcPr>
            <w:tcW w:w="270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Primary deliverables</w:t>
            </w:r>
          </w:p>
        </w:tc>
        <w:tc>
          <w:tcPr>
            <w:tcW w:w="300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Exit gate</w:t>
            </w:r>
          </w:p>
        </w:tc>
        <w:tc>
          <w:tcPr>
            <w:tcW w:w="149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Depends on</w:t>
            </w:r>
          </w:p>
        </w:tc>
      </w:tr>
      <w:tr>
        <w:trPr/>
        <w:tc>
          <w:tcPr>
            <w:tcW w:w="62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0</w:t>
            </w:r>
          </w:p>
        </w:tc>
        <w:tc>
          <w:tcPr>
            <w:tcW w:w="155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Contracts and threat model</w:t>
            </w:r>
          </w:p>
        </w:tc>
        <w:tc>
          <w:tcPr>
            <w:tcW w:w="27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Versioned contracts, canonical encoding, roots, receipt schema, .kmodel schema, threat model, golden vectors</w:t>
            </w:r>
          </w:p>
        </w:tc>
        <w:tc>
          <w:tcPr>
            <w:tcW w:w="30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Rust and TypeScript roots match; malformed inputs fail; no contract ambiguity remains</w:t>
            </w:r>
          </w:p>
        </w:tc>
        <w:tc>
          <w:tcPr>
            <w:tcW w:w="149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None</w:t>
            </w:r>
          </w:p>
        </w:tc>
      </w:tr>
      <w:tr>
        <w:trPr/>
        <w:tc>
          <w:tcPr>
            <w:tcW w:w="62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1</w:t>
            </w:r>
          </w:p>
        </w:tc>
        <w:tc>
          <w:tcPr>
            <w:tcW w:w="155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CPU reference engine</w:t>
            </w:r>
          </w:p>
        </w:tc>
        <w:tc>
          <w:tcPr>
            <w:tcW w:w="27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Micro-transformer, safetensors loader, prompt compiler, dense adapter, sampler, journal, receipts, CLI</w:t>
            </w:r>
          </w:p>
        </w:tc>
        <w:tc>
          <w:tcPr>
            <w:tcW w:w="30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Micro-model fixtures and reference logits pass; receipt verification passes</w:t>
            </w:r>
          </w:p>
        </w:tc>
        <w:tc>
          <w:tcPr>
            <w:tcW w:w="149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0</w:t>
            </w:r>
          </w:p>
        </w:tc>
      </w:tr>
      <w:tr>
        <w:trPr/>
        <w:tc>
          <w:tcPr>
            <w:tcW w:w="62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2</w:t>
            </w:r>
          </w:p>
        </w:tc>
        <w:tc>
          <w:tcPr>
            <w:tcW w:w="155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CUDA single-request native execution</w:t>
            </w:r>
          </w:p>
        </w:tc>
        <w:tc>
          <w:tcPr>
            <w:tcW w:w="27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Candle CUDA backend, placement planner, exact attention, KV cache, hardware probe, kernel identity</w:t>
            </w:r>
          </w:p>
        </w:tc>
        <w:tc>
          <w:tcPr>
            <w:tcW w:w="30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CPU/GPU tolerance suite passes; stable repeated-run memory; build and kernel roots are receipted</w:t>
            </w:r>
          </w:p>
        </w:tc>
        <w:tc>
          <w:tcPr>
            <w:tcW w:w="149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1</w:t>
            </w:r>
          </w:p>
        </w:tc>
      </w:tr>
      <w:tr>
        <w:trPr/>
        <w:tc>
          <w:tcPr>
            <w:tcW w:w="62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3</w:t>
            </w:r>
          </w:p>
        </w:tc>
        <w:tc>
          <w:tcPr>
            <w:tcW w:w="155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Server, paging, and scheduling</w:t>
            </w:r>
          </w:p>
        </w:tc>
        <w:tc>
          <w:tcPr>
            <w:tcW w:w="27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Supervisor/worker, IPC, native API, OpenAI subset, paged KV, continuous batching, cancellation, metrics</w:t>
            </w:r>
          </w:p>
        </w:tc>
        <w:tc>
          <w:tcPr>
            <w:tcW w:w="30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Batch/isolated invariance, bounded-memory soak, crash recovery, cancellation, receipted streaming</w:t>
            </w:r>
          </w:p>
        </w:tc>
        <w:tc>
          <w:tcPr>
            <w:tcW w:w="149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2</w:t>
            </w:r>
          </w:p>
        </w:tc>
      </w:tr>
      <w:tr>
        <w:trPr/>
        <w:tc>
          <w:tcPr>
            <w:tcW w:w="62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4</w:t>
            </w:r>
          </w:p>
        </w:tc>
        <w:tc>
          <w:tcPr>
            <w:tcW w:w="155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GGUF and quantized kernels</w:t>
            </w:r>
          </w:p>
        </w:tc>
        <w:tc>
          <w:tcPr>
            <w:tcW w:w="27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Bounded GGUF parser, selected quant formats, quantized GEMM, conversion receipts, accuracy reports</w:t>
            </w:r>
          </w:p>
        </w:tc>
        <w:tc>
          <w:tcPr>
            <w:tcW w:w="30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Corruption fuzzing, measured accuracy delta, bounded memory, no silent conversion</w:t>
            </w:r>
          </w:p>
        </w:tc>
        <w:tc>
          <w:tcPr>
            <w:tcW w:w="149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2; Phase 3 recommended</w:t>
            </w:r>
          </w:p>
        </w:tc>
      </w:tr>
      <w:tr>
        <w:trPr/>
        <w:tc>
          <w:tcPr>
            <w:tcW w:w="62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5</w:t>
            </w:r>
          </w:p>
        </w:tc>
        <w:tc>
          <w:tcPr>
            <w:tcW w:w="155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Knolo product integration</w:t>
            </w:r>
          </w:p>
        </w:tc>
        <w:tc>
          <w:tcPr>
            <w:tcW w:w="27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@knolo/infer, Core/Reflex adapter, Agents host effect, Hub .kmodel record, receipt-chain demo</w:t>
            </w:r>
          </w:p>
        </w:tc>
        <w:tc>
          <w:tcPr>
            <w:tcW w:w="30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End-to-end evidence-to-output verification; policy can deny wrong model/root/backend</w:t>
            </w:r>
          </w:p>
        </w:tc>
        <w:tc>
          <w:tcPr>
            <w:tcW w:w="149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3 and 4</w:t>
            </w:r>
          </w:p>
        </w:tc>
      </w:tr>
      <w:tr>
        <w:trPr/>
        <w:tc>
          <w:tcPr>
            <w:tcW w:w="62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6</w:t>
            </w:r>
          </w:p>
        </w:tc>
        <w:tc>
          <w:tcPr>
            <w:tcW w:w="155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MoE and GLM-4.7</w:t>
            </w:r>
          </w:p>
        </w:tc>
        <w:tc>
          <w:tcPr>
            <w:tcW w:w="27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Generic MoE, expert placement, grouped kernels, GLM-4.7 adapter, workstation recipes</w:t>
            </w:r>
          </w:p>
        </w:tc>
        <w:tc>
          <w:tcPr>
            <w:tcW w:w="30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Router/expert conformance; placement tests; benchmark and conformance receipts</w:t>
            </w:r>
          </w:p>
        </w:tc>
        <w:tc>
          <w:tcPr>
            <w:tcW w:w="149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5</w:t>
            </w:r>
          </w:p>
        </w:tc>
      </w:tr>
      <w:tr>
        <w:trPr/>
        <w:tc>
          <w:tcPr>
            <w:tcW w:w="62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7</w:t>
            </w:r>
          </w:p>
        </w:tc>
        <w:tc>
          <w:tcPr>
            <w:tcW w:w="155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Advanced serving</w:t>
            </w:r>
          </w:p>
        </w:tc>
        <w:tc>
          <w:tcPr>
            <w:tcW w:w="27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Prefix cache, CUDA Graphs, structured decoding, speculative decoding, multi-model lifecycle</w:t>
            </w:r>
          </w:p>
        </w:tc>
        <w:tc>
          <w:tcPr>
            <w:tcW w:w="30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Each feature has independent conformance and receipt fields</w:t>
            </w:r>
          </w:p>
        </w:tc>
        <w:tc>
          <w:tcPr>
            <w:tcW w:w="149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3; selective sequencing</w:t>
            </w:r>
          </w:p>
        </w:tc>
      </w:tr>
      <w:tr>
        <w:trPr/>
        <w:tc>
          <w:tcPr>
            <w:tcW w:w="62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8</w:t>
            </w:r>
          </w:p>
        </w:tc>
        <w:tc>
          <w:tcPr>
            <w:tcW w:w="155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GLM-5.3 research</w:t>
            </w:r>
          </w:p>
        </w:tc>
        <w:tc>
          <w:tcPr>
            <w:tcW w:w="27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Hybrid attention state, KDA/linear attention, mHC, MTP, multimodal path, large MoE placement</w:t>
            </w:r>
          </w:p>
        </w:tc>
        <w:tc>
          <w:tcPr>
            <w:tcW w:w="30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Dedicated design review and research-grade conformance; does not block production</w:t>
            </w:r>
          </w:p>
        </w:tc>
        <w:tc>
          <w:tcPr>
            <w:tcW w:w="149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6; research track</w:t>
            </w:r>
          </w:p>
        </w:tc>
      </w:tr>
    </w:tbl>
    <w:p>
      <w:pPr>
        <w:spacing w:after="80"/>
      </w:pPr>
    </w:p>
    <w:p>
      <w:pPr>
        <w:pStyle w:val="Heading2"/>
      </w:pPr>
      <w:r>
        <w:rPr>
          <w:rFonts w:ascii="Arial" w:hAnsi="Arial"/>
          <w:sz w:val="21"/>
          <w:szCs w:val="21"/>
        </w:rPr>
        <w:t xml:space="preserve">Recommended release train</w:t>
      </w:r>
    </w:p>
    <w:p>
      <w:pPr>
        <w:pStyle w:val="Normal"/>
      </w:pPr>
      <w:r>
        <w:rPr>
          <w:rFonts w:ascii="Arial" w:hAnsi="Arial"/>
          <w:b/>
          <w:sz w:val="21"/>
          <w:szCs w:val="21"/>
        </w:rPr>
        <w:t xml:space="preserve">Release A — Native foundation:</w:t>
      </w:r>
      <w:r>
        <w:rPr>
          <w:rFonts w:ascii="Arial" w:hAnsi="Arial"/>
          <w:sz w:val="21"/>
          <w:szCs w:val="21"/>
        </w:rPr>
        <w:t xml:space="preserve"> Phases 0–2. Produces a verifiable CPU/GPU engine suitable for focused integration testing.</w:t>
      </w:r>
    </w:p>
    <w:p>
      <w:pPr>
        <w:pStyle w:val="Normal"/>
      </w:pPr>
      <w:r>
        <w:rPr>
          <w:rFonts w:ascii="Arial" w:hAnsi="Arial"/>
          <w:b/>
          <w:sz w:val="21"/>
          <w:szCs w:val="21"/>
        </w:rPr>
        <w:t xml:space="preserve">Release B — Serving and formats:</w:t>
      </w:r>
      <w:r>
        <w:rPr>
          <w:rFonts w:ascii="Arial" w:hAnsi="Arial"/>
          <w:sz w:val="21"/>
          <w:szCs w:val="21"/>
        </w:rPr>
        <w:t xml:space="preserve"> Phases 3–4. Produces the supervised daemon, streaming API, paging, scheduling, GGUF, and quantized execution.</w:t>
      </w:r>
    </w:p>
    <w:p>
      <w:pPr>
        <w:pStyle w:val="Normal"/>
      </w:pPr>
      <w:r>
        <w:rPr>
          <w:rFonts w:ascii="Arial" w:hAnsi="Arial"/>
          <w:b/>
          <w:sz w:val="21"/>
          <w:szCs w:val="21"/>
        </w:rPr>
        <w:t xml:space="preserve">Release C — Knolo product:</w:t>
      </w:r>
      <w:r>
        <w:rPr>
          <w:rFonts w:ascii="Arial" w:hAnsi="Arial"/>
          <w:sz w:val="21"/>
          <w:szCs w:val="21"/>
        </w:rPr>
        <w:t xml:space="preserve"> Phase 5. Produces the end-to-end evidence-to-output chain and the public TypeScript surface.</w:t>
      </w:r>
    </w:p>
    <w:p>
      <w:pPr>
        <w:pStyle w:val="Normal"/>
      </w:pPr>
      <w:r>
        <w:rPr>
          <w:rFonts w:ascii="Arial" w:hAnsi="Arial"/>
          <w:b/>
          <w:sz w:val="21"/>
          <w:szCs w:val="21"/>
        </w:rPr>
        <w:t xml:space="preserve">Release D — Model expansion:</w:t>
      </w:r>
      <w:r>
        <w:rPr>
          <w:rFonts w:ascii="Arial" w:hAnsi="Arial"/>
          <w:sz w:val="21"/>
          <w:szCs w:val="21"/>
        </w:rPr>
        <w:t xml:space="preserve"> Phase 6, followed by selected Phase 7 capabilities. Phase 8 remains research.</w:t>
      </w:r>
    </w:p>
    <w:p>
      <w:pPr>
        <w:pageBreakBefore/>
      </w:pPr>
    </w:p>
    <w:p>
      <w:pPr>
        <w:pStyle w:val="Heading1"/>
      </w:pPr>
      <w:r>
        <w:rPr>
          <w:rFonts w:ascii="Arial" w:hAnsi="Arial"/>
          <w:sz w:val="21"/>
          <w:szCs w:val="21"/>
        </w:rPr>
        <w:t xml:space="preserve">5 Phase 0 — Contracts and threat model</w:t>
      </w:r>
    </w:p>
    <w:p>
      <w:pPr>
        <w:pStyle w:val="Normal"/>
      </w:pPr>
      <w:r>
        <w:rPr>
          <w:rFonts w:ascii="Arial" w:hAnsi="Arial"/>
          <w:b/>
          <w:sz w:val="21"/>
          <w:szCs w:val="21"/>
        </w:rPr>
        <w:t xml:space="preserve">Outcome:</w:t>
      </w:r>
      <w:r>
        <w:rPr>
          <w:rFonts w:ascii="Arial" w:hAnsi="Arial"/>
          <w:sz w:val="21"/>
          <w:szCs w:val="21"/>
        </w:rPr>
        <w:t xml:space="preserve"> Every later component can exchange, hash, verify, and replay the same bounded objects without inventing local interpretations.</w:t>
      </w:r>
    </w:p>
    <w:p>
      <w:pPr>
        <w:pStyle w:val="Heading2"/>
      </w:pPr>
      <w:r>
        <w:rPr>
          <w:rFonts w:ascii="Arial" w:hAnsi="Arial"/>
          <w:sz w:val="21"/>
          <w:szCs w:val="21"/>
        </w:rPr>
        <w:t xml:space="preserve">Scope</w:t>
      </w:r>
    </w:p>
    <w:p>
      <w:pPr>
        <w:pStyle w:val="Normal"/>
        <w:numPr>
          <w:ilvl w:val="0"/>
          <w:numId w:val="1"/>
        </w:numPr>
      </w:pPr>
      <w:r>
        <w:rPr>
          <w:rFonts w:ascii="Arial" w:hAnsi="Arial"/>
          <w:sz w:val="21"/>
          <w:szCs w:val="21"/>
        </w:rPr>
        <w:t xml:space="preserve">Freeze KIP-INFER specifications for model images, artifacts, placement, prompts, receipts, replay checks, APIs, and canonical contracts.</w:t>
      </w:r>
    </w:p>
    <w:p>
      <w:pPr>
        <w:pStyle w:val="Normal"/>
        <w:numPr>
          <w:ilvl w:val="0"/>
          <w:numId w:val="1"/>
        </w:numPr>
      </w:pPr>
      <w:r>
        <w:rPr>
          <w:rFonts w:ascii="Arial" w:hAnsi="Arial"/>
          <w:sz w:val="21"/>
          <w:szCs w:val="21"/>
        </w:rPr>
        <w:t xml:space="preserve">Implement the canonical CBOR subset: definite lengths, text-keyed maps, shortest integers, sorted keys, duplicate-key rejection, and byte-for-byte re-encoding checks.</w:t>
      </w:r>
    </w:p>
    <w:p>
      <w:pPr>
        <w:pStyle w:val="Normal"/>
        <w:numPr>
          <w:ilvl w:val="0"/>
          <w:numId w:val="1"/>
        </w:numPr>
      </w:pPr>
      <w:r>
        <w:rPr>
          <w:rFonts w:ascii="Arial" w:hAnsi="Arial"/>
          <w:sz w:val="21"/>
          <w:szCs w:val="21"/>
        </w:rPr>
        <w:t xml:space="preserve">Reserve domain-separated digest names and fixed-point integer fields for sampler settings. No rooted contract may depend on floating-point serialization.</w:t>
      </w:r>
    </w:p>
    <w:p>
      <w:pPr>
        <w:pStyle w:val="Normal"/>
        <w:numPr>
          <w:ilvl w:val="0"/>
          <w:numId w:val="1"/>
        </w:numPr>
      </w:pPr>
      <w:r>
        <w:rPr>
          <w:rFonts w:ascii="Arial" w:hAnsi="Arial"/>
          <w:sz w:val="21"/>
          <w:szCs w:val="21"/>
        </w:rPr>
        <w:t xml:space="preserve">Define ModelImageV1, ModelArtifactSetV1, EngineBuildDescriptorV1, KernelBundleDescriptorV1, HardwareProbeV1, PlacementPlanV1, PromptPlanV1, InferenceIntentV1, ExecutionPlanV1, InferenceReceiptV1, ReplayCheckReceiptV1, and ModelConformanceReceiptV1.</w:t>
      </w:r>
    </w:p>
    <w:p>
      <w:pPr>
        <w:pStyle w:val="Normal"/>
        <w:numPr>
          <w:ilvl w:val="0"/>
          <w:numId w:val="1"/>
        </w:numPr>
      </w:pPr>
      <w:r>
        <w:rPr>
          <w:rFonts w:ascii="Arial" w:hAnsi="Arial"/>
          <w:sz w:val="21"/>
          <w:szCs w:val="21"/>
        </w:rPr>
        <w:t xml:space="preserve">Publish Rust and TypeScript types plus golden vectors for valid, invalid, boundary, and cross-language cases.</w:t>
      </w:r>
    </w:p>
    <w:p>
      <w:pPr>
        <w:pStyle w:val="Normal"/>
        <w:numPr>
          <w:ilvl w:val="0"/>
          <w:numId w:val="1"/>
        </w:numPr>
      </w:pPr>
      <w:r>
        <w:rPr>
          <w:rFonts w:ascii="Arial" w:hAnsi="Arial"/>
          <w:sz w:val="21"/>
          <w:szCs w:val="21"/>
        </w:rPr>
        <w:t xml:space="preserve">Write the threat model for untrusted model metadata, prompt templates, API requests, worker IPC, compatibility runtimes, caches, receipt keys, and supply chain inputs.</w:t>
      </w:r>
    </w:p>
    <w:p>
      <w:pPr>
        <w:pStyle w:val="Heading2"/>
      </w:pPr>
      <w:r>
        <w:rPr>
          <w:rFonts w:ascii="Arial" w:hAnsi="Arial"/>
          <w:sz w:val="21"/>
          <w:szCs w:val="21"/>
        </w:rPr>
        <w:t xml:space="preserve">Outputs</w:t>
      </w: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tblHeader/>
        </w:trPr>
        <w:tc>
          <w:tcPr>
            <w:tcW w:w="312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Artifact</w:t>
            </w:r>
          </w:p>
        </w:tc>
        <w:tc>
          <w:tcPr>
            <w:tcW w:w="312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Acceptance evidence</w:t>
            </w:r>
          </w:p>
        </w:tc>
        <w:tc>
          <w:tcPr>
            <w:tcW w:w="312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Owner</w:t>
            </w:r>
          </w:p>
        </w:tc>
      </w:tr>
      <w:tr>
        <w:trPr/>
        <w:tc>
          <w:tcPr>
            <w:tcW w:w="312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Contract specifications</w:t>
            </w:r>
          </w:p>
        </w:tc>
        <w:tc>
          <w:tcPr>
            <w:tcW w:w="312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Reviewable KIP-INFER documents with examples and rejection rules</w:t>
            </w:r>
          </w:p>
        </w:tc>
        <w:tc>
          <w:tcPr>
            <w:tcW w:w="312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Contracts workstream</w:t>
            </w:r>
          </w:p>
        </w:tc>
      </w:tr>
      <w:tr>
        <w:trPr/>
        <w:tc>
          <w:tcPr>
            <w:tcW w:w="312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Golden vector suite</w:t>
            </w:r>
          </w:p>
        </w:tc>
        <w:tc>
          <w:tcPr>
            <w:tcW w:w="312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Rust and TypeScript produce identical roots and reject the same malformed cases</w:t>
            </w:r>
          </w:p>
        </w:tc>
        <w:tc>
          <w:tcPr>
            <w:tcW w:w="312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Contracts plus QA</w:t>
            </w:r>
          </w:p>
        </w:tc>
      </w:tr>
      <w:tr>
        <w:trPr/>
        <w:tc>
          <w:tcPr>
            <w:tcW w:w="312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Threat model</w:t>
            </w:r>
          </w:p>
        </w:tc>
        <w:tc>
          <w:tcPr>
            <w:tcW w:w="312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Trust boundaries, attacker capabilities, mitigations, and unresolved risks are recorded</w:t>
            </w:r>
          </w:p>
        </w:tc>
        <w:tc>
          <w:tcPr>
            <w:tcW w:w="312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Security workstream</w:t>
            </w:r>
          </w:p>
        </w:tc>
      </w:tr>
      <w:tr>
        <w:trPr/>
        <w:tc>
          <w:tcPr>
            <w:tcW w:w="312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.kmodel schema</w:t>
            </w:r>
          </w:p>
        </w:tc>
        <w:tc>
          <w:tcPr>
            <w:tcW w:w="312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Authoring manifest compiles to bounded canonical CBOR and verifies without loading weights</w:t>
            </w:r>
          </w:p>
        </w:tc>
        <w:tc>
          <w:tcPr>
            <w:tcW w:w="312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Artifact workstream</w:t>
            </w:r>
          </w:p>
        </w:tc>
      </w:tr>
    </w:tbl>
    <w:p>
      <w:pPr>
        <w:spacing w:after="80"/>
      </w:pPr>
    </w:p>
    <w:p>
      <w:pPr>
        <w:pStyle w:val="Heading2"/>
      </w:pPr>
      <w:r>
        <w:rPr>
          <w:rFonts w:ascii="Arial" w:hAnsi="Arial"/>
          <w:sz w:val="21"/>
          <w:szCs w:val="21"/>
        </w:rPr>
        <w:t xml:space="preserve">Exit gate</w:t>
      </w:r>
    </w:p>
    <w:p>
      <w:pPr>
        <w:pStyle w:val="Normal"/>
      </w:pPr>
      <w:r>
        <w:rPr>
          <w:rFonts w:ascii="Arial" w:hAnsi="Arial"/>
          <w:sz w:val="21"/>
          <w:szCs w:val="21"/>
        </w:rPr>
        <w:t xml:space="preserve">Phase 1 may start only after cross-language roots match, malformed vectors fail closed, security-critical fields cannot be silently defaulted, and the receipt schema is specific enough to identify model, prompt, execution, and output roots.</w:t>
      </w:r>
    </w:p>
    <w:p>
      <w:pPr>
        <w:pageBreakBefore/>
      </w:pPr>
    </w:p>
    <w:p>
      <w:pPr>
        <w:pStyle w:val="Heading1"/>
      </w:pPr>
      <w:r>
        <w:rPr>
          <w:rFonts w:ascii="Arial" w:hAnsi="Arial"/>
          <w:sz w:val="21"/>
          <w:szCs w:val="21"/>
        </w:rPr>
        <w:t xml:space="preserve">6 Phase 1 — CPU reference engine</w:t>
      </w:r>
    </w:p>
    <w:p>
      <w:pPr>
        <w:pStyle w:val="Normal"/>
      </w:pPr>
      <w:r>
        <w:rPr>
          <w:rFonts w:ascii="Arial" w:hAnsi="Arial"/>
          <w:b/>
          <w:sz w:val="21"/>
          <w:szCs w:val="21"/>
        </w:rPr>
        <w:t xml:space="preserve">Outcome:</w:t>
      </w:r>
      <w:r>
        <w:rPr>
          <w:rFonts w:ascii="Arial" w:hAnsi="Arial"/>
          <w:sz w:val="21"/>
          <w:szCs w:val="21"/>
        </w:rPr>
        <w:t xml:space="preserve"> A small, inspectable native path proves the contract-to-output chain without CUDA, an external model server, Python, or dynamic model code.</w:t>
      </w:r>
    </w:p>
    <w:p>
      <w:pPr>
        <w:pStyle w:val="Heading2"/>
      </w:pPr>
      <w:r>
        <w:rPr>
          <w:rFonts w:ascii="Arial" w:hAnsi="Arial"/>
          <w:sz w:val="21"/>
          <w:szCs w:val="21"/>
        </w:rPr>
        <w:t xml:space="preserve">Scope</w:t>
      </w:r>
    </w:p>
    <w:p>
      <w:pPr>
        <w:pStyle w:val="Normal"/>
        <w:numPr>
          <w:ilvl w:val="0"/>
          <w:numId w:val="1"/>
        </w:numPr>
      </w:pPr>
      <w:r>
        <w:rPr>
          <w:rFonts w:ascii="Arial" w:hAnsi="Arial"/>
          <w:sz w:val="21"/>
          <w:szCs w:val="21"/>
        </w:rPr>
        <w:t xml:space="preserve">Create a synthetic micro-transformer with known weights, tokenizer, template, and reference logits. Use it as the first end-to-end conformance fixture.</w:t>
      </w:r>
    </w:p>
    <w:p>
      <w:pPr>
        <w:pStyle w:val="Normal"/>
        <w:numPr>
          <w:ilvl w:val="0"/>
          <w:numId w:val="1"/>
        </w:numPr>
      </w:pPr>
      <w:r>
        <w:rPr>
          <w:rFonts w:ascii="Arial" w:hAnsi="Arial"/>
          <w:sz w:val="21"/>
          <w:szCs w:val="21"/>
        </w:rPr>
        <w:t xml:space="preserve">Implement direct safetensors inventory and loading with size and digest verification before model construction.</w:t>
      </w:r>
    </w:p>
    <w:p>
      <w:pPr>
        <w:pStyle w:val="Normal"/>
        <w:numPr>
          <w:ilvl w:val="0"/>
          <w:numId w:val="1"/>
        </w:numPr>
      </w:pPr>
      <w:r>
        <w:rPr>
          <w:rFonts w:ascii="Arial" w:hAnsi="Arial"/>
          <w:sz w:val="21"/>
          <w:szCs w:val="21"/>
        </w:rPr>
        <w:t xml:space="preserve">Build the prompt compiler: normalized messages, bounded template execution, explicit special-token handling, exact token IDs, and truncation policy.</w:t>
      </w:r>
    </w:p>
    <w:p>
      <w:pPr>
        <w:pStyle w:val="Normal"/>
        <w:numPr>
          <w:ilvl w:val="0"/>
          <w:numId w:val="1"/>
        </w:numPr>
      </w:pPr>
      <w:r>
        <w:rPr>
          <w:rFonts w:ascii="Arial" w:hAnsi="Arial"/>
          <w:sz w:val="21"/>
          <w:szCs w:val="21"/>
        </w:rPr>
        <w:t xml:space="preserve">Implement a dense Llama-family adapter through Knolo-owned traits. Candle may be the tensor substrate, but Candle types must not cross public Knolo boundaries.</w:t>
      </w:r>
    </w:p>
    <w:p>
      <w:pPr>
        <w:pStyle w:val="Normal"/>
        <w:numPr>
          <w:ilvl w:val="0"/>
          <w:numId w:val="1"/>
        </w:numPr>
      </w:pPr>
      <w:r>
        <w:rPr>
          <w:rFonts w:ascii="Arial" w:hAnsi="Arial"/>
          <w:sz w:val="21"/>
          <w:szCs w:val="21"/>
        </w:rPr>
        <w:t xml:space="preserve">Implement greedy sampling, seeded random sampling, stop conditions, logit processing order, and Philox or an equally explicit RNG contract.</w:t>
      </w:r>
    </w:p>
    <w:p>
      <w:pPr>
        <w:pStyle w:val="Normal"/>
        <w:numPr>
          <w:ilvl w:val="0"/>
          <w:numId w:val="1"/>
        </w:numPr>
      </w:pPr>
      <w:r>
        <w:rPr>
          <w:rFonts w:ascii="Arial" w:hAnsi="Arial"/>
          <w:sz w:val="21"/>
          <w:szCs w:val="21"/>
        </w:rPr>
        <w:t xml:space="preserve">Write the request journal and receipt builder before streaming or serving work begins.</w:t>
      </w:r>
    </w:p>
    <w:p>
      <w:pPr>
        <w:pStyle w:val="Normal"/>
        <w:numPr>
          <w:ilvl w:val="0"/>
          <w:numId w:val="1"/>
        </w:numPr>
      </w:pPr>
      <w:r>
        <w:rPr>
          <w:rFonts w:ascii="Arial" w:hAnsi="Arial"/>
          <w:sz w:val="21"/>
          <w:szCs w:val="21"/>
        </w:rPr>
        <w:t xml:space="preserve">Expose a local CLI that can verify a model, compile a prompt, run the micro-model, and inspect the receipt.</w:t>
      </w:r>
    </w:p>
    <w:p>
      <w:pPr>
        <w:pStyle w:val="Heading2"/>
      </w:pPr>
      <w:r>
        <w:rPr>
          <w:rFonts w:ascii="Arial" w:hAnsi="Arial"/>
          <w:sz w:val="21"/>
          <w:szCs w:val="21"/>
        </w:rPr>
        <w:t xml:space="preserve">Exit gate</w:t>
      </w:r>
    </w:p>
    <w:p>
      <w:pPr>
        <w:pStyle w:val="Normal"/>
      </w:pPr>
      <w:r>
        <w:rPr>
          <w:rFonts w:ascii="Arial" w:hAnsi="Arial"/>
          <w:sz w:val="21"/>
          <w:szCs w:val="21"/>
        </w:rPr>
        <w:t xml:space="preserve">Reference logits and token outputs pass on the micro-model. CPU/GPU-independent contract verification passes. The final receipt verifies against the exact model bytes, tokenizer/template roots, prompt token root, sampler plan, engine build, and output roots. No request reaches a hidden external runtime.</w:t>
      </w:r>
    </w:p>
    <w:p>
      <w:pPr>
        <w:pStyle w:val="Heading2"/>
      </w:pPr>
      <w:r>
        <w:rPr>
          <w:rFonts w:ascii="Arial" w:hAnsi="Arial"/>
          <w:sz w:val="21"/>
          <w:szCs w:val="21"/>
        </w:rPr>
        <w:t xml:space="preserve">Primary risks</w:t>
      </w:r>
    </w:p>
    <w:p>
      <w:pPr>
        <w:pStyle w:val="Normal"/>
      </w:pPr>
      <w:r>
        <w:rPr>
          <w:rFonts w:ascii="Arial" w:hAnsi="Arial"/>
          <w:sz w:val="21"/>
          <w:szCs w:val="21"/>
        </w:rPr>
        <w:t xml:space="preserve">Do not over-generalize the architecture adapter before the micro-model has a complete trace. Do not allow “helpful” tokenizer or template defaults that make the prompt root ambiguous. Do not optimize memory before the reference path gives a stable correctness oracle.</w:t>
      </w:r>
    </w:p>
    <w:p>
      <w:pPr>
        <w:pageBreakBefore/>
      </w:pPr>
    </w:p>
    <w:p>
      <w:pPr>
        <w:pStyle w:val="Heading1"/>
      </w:pPr>
      <w:r>
        <w:rPr>
          <w:rFonts w:ascii="Arial" w:hAnsi="Arial"/>
          <w:sz w:val="21"/>
          <w:szCs w:val="21"/>
        </w:rPr>
        <w:t xml:space="preserve">7 Phase 2 — CUDA single-request native execution</w:t>
      </w:r>
    </w:p>
    <w:p>
      <w:pPr>
        <w:pStyle w:val="Normal"/>
      </w:pPr>
      <w:r>
        <w:rPr>
          <w:rFonts w:ascii="Arial" w:hAnsi="Arial"/>
          <w:b/>
          <w:sz w:val="21"/>
          <w:szCs w:val="21"/>
        </w:rPr>
        <w:t xml:space="preserve">Outcome:</w:t>
      </w:r>
      <w:r>
        <w:rPr>
          <w:rFonts w:ascii="Arial" w:hAnsi="Arial"/>
          <w:sz w:val="21"/>
          <w:szCs w:val="21"/>
        </w:rPr>
        <w:t xml:space="preserve"> The same native model path can place weights and ordinary KV state on NVIDIA CUDA with explicit hardware, placement, kernel, and numerical identity.</w:t>
      </w:r>
    </w:p>
    <w:p>
      <w:pPr>
        <w:pStyle w:val="Heading2"/>
      </w:pPr>
      <w:r>
        <w:rPr>
          <w:rFonts w:ascii="Arial" w:hAnsi="Arial"/>
          <w:sz w:val="21"/>
          <w:szCs w:val="21"/>
        </w:rPr>
        <w:t xml:space="preserve">Scope</w:t>
      </w:r>
    </w:p>
    <w:p>
      <w:pPr>
        <w:pStyle w:val="Normal"/>
        <w:numPr>
          <w:ilvl w:val="0"/>
          <w:numId w:val="1"/>
        </w:numPr>
      </w:pPr>
      <w:r>
        <w:rPr>
          <w:rFonts w:ascii="Arial" w:hAnsi="Arial"/>
          <w:sz w:val="21"/>
          <w:szCs w:val="21"/>
        </w:rPr>
        <w:t xml:space="preserve">Add a Candle-backed CUDA implementation behind the Knolo tensor, device, model, KV, and kernel traits.</w:t>
      </w:r>
    </w:p>
    <w:p>
      <w:pPr>
        <w:pStyle w:val="Normal"/>
        <w:numPr>
          <w:ilvl w:val="0"/>
          <w:numId w:val="1"/>
        </w:numPr>
      </w:pPr>
      <w:r>
        <w:rPr>
          <w:rFonts w:ascii="Arial" w:hAnsi="Arial"/>
          <w:sz w:val="21"/>
          <w:szCs w:val="21"/>
        </w:rPr>
        <w:t xml:space="preserve">Implement hardware probing for CPU, RAM, GPU, VRAM, compute capability, driver/runtime, supported precisions, storage, and available kernel bundles without recording serial numbers by default.</w:t>
      </w:r>
    </w:p>
    <w:p>
      <w:pPr>
        <w:pStyle w:val="Normal"/>
        <w:numPr>
          <w:ilvl w:val="0"/>
          <w:numId w:val="1"/>
        </w:numPr>
      </w:pPr>
      <w:r>
        <w:rPr>
          <w:rFonts w:ascii="Arial" w:hAnsi="Arial"/>
          <w:sz w:val="21"/>
          <w:szCs w:val="21"/>
        </w:rPr>
        <w:t xml:space="preserve">Build the placement planner from exact artifact inventory, ModelImageV1, HardwareProbeV1, memory policy, and runtime intent.</w:t>
      </w:r>
    </w:p>
    <w:p>
      <w:pPr>
        <w:pStyle w:val="Normal"/>
        <w:numPr>
          <w:ilvl w:val="0"/>
          <w:numId w:val="1"/>
        </w:numPr>
      </w:pPr>
      <w:r>
        <w:rPr>
          <w:rFonts w:ascii="Arial" w:hAnsi="Arial"/>
          <w:sz w:val="21"/>
          <w:szCs w:val="21"/>
        </w:rPr>
        <w:t xml:space="preserve">Implement the ordinary KV cache, exact attention path, weight placement, workspace budgeting, and failure-before-execution when memory is unsatisfiable.</w:t>
      </w:r>
    </w:p>
    <w:p>
      <w:pPr>
        <w:pStyle w:val="Normal"/>
        <w:numPr>
          <w:ilvl w:val="0"/>
          <w:numId w:val="1"/>
        </w:numPr>
      </w:pPr>
      <w:r>
        <w:rPr>
          <w:rFonts w:ascii="Arial" w:hAnsi="Arial"/>
          <w:sz w:val="21"/>
          <w:szCs w:val="21"/>
        </w:rPr>
        <w:t xml:space="preserve">Define kernel bundle identity, compiled architecture list, CUDA toolkit/runtime inputs, source roots, compiler flags, and JIT code-object roots where applicable.</w:t>
      </w:r>
    </w:p>
    <w:p>
      <w:pPr>
        <w:pStyle w:val="Normal"/>
        <w:numPr>
          <w:ilvl w:val="0"/>
          <w:numId w:val="1"/>
        </w:numPr>
      </w:pPr>
      <w:r>
        <w:rPr>
          <w:rFonts w:ascii="Arial" w:hAnsi="Arial"/>
          <w:sz w:val="21"/>
          <w:szCs w:val="21"/>
        </w:rPr>
        <w:t xml:space="preserve">Create the workstation-ampere-dual fixture without hard-coding its hardware assumptions into application logic. Prefer the 3090 for the main model and reserve the 3060 unless a benchmarked recipe says otherwise.</w:t>
      </w:r>
    </w:p>
    <w:p>
      <w:pPr>
        <w:pStyle w:val="Heading2"/>
      </w:pPr>
      <w:r>
        <w:rPr>
          <w:rFonts w:ascii="Arial" w:hAnsi="Arial"/>
          <w:sz w:val="21"/>
          <w:szCs w:val="21"/>
        </w:rPr>
        <w:t xml:space="preserve">Exit gate</w:t>
      </w:r>
    </w:p>
    <w:p>
      <w:pPr>
        <w:pStyle w:val="Normal"/>
      </w:pPr>
      <w:r>
        <w:rPr>
          <w:rFonts w:ascii="Arial" w:hAnsi="Arial"/>
          <w:sz w:val="21"/>
          <w:szCs w:val="21"/>
        </w:rPr>
        <w:t xml:space="preserve">CPU and CUDA outputs pass the defined tolerance suite, greedy output matches on the blessed fixture, repeated runs do not grow memory unexpectedly, placement rejection is deterministic, and every receipt records engine build, hardware, placement, and kernel bundle roots.</w:t>
      </w:r>
    </w:p>
    <w:p>
      <w:pPr>
        <w:pStyle w:val="Heading2"/>
      </w:pPr>
      <w:r>
        <w:rPr>
          <w:rFonts w:ascii="Arial" w:hAnsi="Arial"/>
          <w:sz w:val="21"/>
          <w:szCs w:val="21"/>
        </w:rPr>
        <w:t xml:space="preserve">Decision point</w:t>
      </w:r>
    </w:p>
    <w:p>
      <w:pPr>
        <w:pStyle w:val="Normal"/>
      </w:pPr>
      <w:r>
        <w:rPr>
          <w:rFonts w:ascii="Arial" w:hAnsi="Arial"/>
          <w:sz w:val="21"/>
          <w:szCs w:val="21"/>
        </w:rPr>
        <w:t xml:space="preserve">Decide whether CUDA support is a release requirement for the first public native release. The recommended plan keeps CUDA in the first release because the product’s serving value depends on practical workstation inference, but it keeps the CPU path as the contract oracle.</w:t>
      </w:r>
    </w:p>
    <w:p>
      <w:pPr>
        <w:pageBreakBefore/>
      </w:pPr>
    </w:p>
    <w:p>
      <w:pPr>
        <w:pStyle w:val="Heading1"/>
      </w:pPr>
      <w:r>
        <w:rPr>
          <w:rFonts w:ascii="Arial" w:hAnsi="Arial"/>
          <w:sz w:val="21"/>
          <w:szCs w:val="21"/>
        </w:rPr>
        <w:t xml:space="preserve">8 Phase 3 — Server, paging, and scheduling</w:t>
      </w:r>
    </w:p>
    <w:p>
      <w:pPr>
        <w:pStyle w:val="Normal"/>
      </w:pPr>
      <w:r>
        <w:rPr>
          <w:rFonts w:ascii="Arial" w:hAnsi="Arial"/>
          <w:b/>
          <w:sz w:val="21"/>
          <w:szCs w:val="21"/>
        </w:rPr>
        <w:t xml:space="preserve">Outcome:</w:t>
      </w:r>
      <w:r>
        <w:rPr>
          <w:rFonts w:ascii="Arial" w:hAnsi="Arial"/>
          <w:sz w:val="21"/>
          <w:szCs w:val="21"/>
        </w:rPr>
        <w:t xml:space="preserve"> A supervised daemon can serve multiple requests with bounded memory, cancellation, continuous batching, worker isolation, durable streaming, and no unreceipted native completion.</w:t>
      </w:r>
    </w:p>
    <w:p>
      <w:pPr>
        <w:pStyle w:val="Heading2"/>
      </w:pPr>
      <w:r>
        <w:rPr>
          <w:rFonts w:ascii="Arial" w:hAnsi="Arial"/>
          <w:sz w:val="21"/>
          <w:szCs w:val="21"/>
        </w:rPr>
        <w:t xml:space="preserve">Scope</w:t>
      </w:r>
    </w:p>
    <w:p>
      <w:pPr>
        <w:pStyle w:val="Normal"/>
        <w:numPr>
          <w:ilvl w:val="0"/>
          <w:numId w:val="1"/>
        </w:numPr>
      </w:pPr>
      <w:r>
        <w:rPr>
          <w:rFonts w:ascii="Arial" w:hAnsi="Arial"/>
          <w:sz w:val="21"/>
          <w:szCs w:val="21"/>
        </w:rPr>
        <w:t xml:space="preserve">Split </w:t>
      </w:r>
      <w:r>
        <w:rPr>
          <w:rFonts w:ascii="Arial" w:hAnsi="Arial"/>
          <w:b/>
          <w:sz w:val="21"/>
          <w:szCs w:val="21"/>
        </w:rPr>
        <w:t xml:space="preserve">knolo-inferd</w:t>
      </w:r>
      <w:r>
        <w:rPr>
          <w:rFonts w:ascii="Arial" w:hAnsi="Arial"/>
          <w:sz w:val="21"/>
          <w:szCs w:val="21"/>
        </w:rPr>
        <w:t xml:space="preserve"> from </w:t>
      </w:r>
      <w:r>
        <w:rPr>
          <w:rFonts w:ascii="Arial" w:hAnsi="Arial"/>
          <w:b/>
          <w:sz w:val="21"/>
          <w:szCs w:val="21"/>
        </w:rPr>
        <w:t xml:space="preserve">knolo-infer-worker</w:t>
      </w:r>
      <w:r>
        <w:rPr>
          <w:rFonts w:ascii="Arial" w:hAnsi="Arial"/>
          <w:sz w:val="21"/>
          <w:szCs w:val="21"/>
        </w:rPr>
        <w:t xml:space="preserve">. The supervisor owns API, auth hooks, artifact verification, lifecycle, journaling, and final receipt signing. The worker owns one model runtime, devices, KV pages, scheduling, and sampling.</w:t>
      </w:r>
    </w:p>
    <w:p>
      <w:pPr>
        <w:pStyle w:val="Normal"/>
        <w:numPr>
          <w:ilvl w:val="0"/>
          <w:numId w:val="1"/>
        </w:numPr>
      </w:pPr>
      <w:r>
        <w:rPr>
          <w:rFonts w:ascii="Arial" w:hAnsi="Arial"/>
          <w:sz w:val="21"/>
          <w:szCs w:val="21"/>
        </w:rPr>
        <w:t xml:space="preserve">Implement bounded canonical-CBOR IPC over a local Unix socket on Linux, with request and worker IDs, heartbeats, cancellation, backpressure, and no credentials.</w:t>
      </w:r>
    </w:p>
    <w:p>
      <w:pPr>
        <w:pStyle w:val="Normal"/>
        <w:numPr>
          <w:ilvl w:val="0"/>
          <w:numId w:val="1"/>
        </w:numPr>
      </w:pPr>
      <w:r>
        <w:rPr>
          <w:rFonts w:ascii="Arial" w:hAnsi="Arial"/>
          <w:sz w:val="21"/>
          <w:szCs w:val="21"/>
        </w:rPr>
        <w:t xml:space="preserve">Implement request state transitions: received, normalized, queued, prefill, decode, streaming, cancelled, completed, failed, and receipt committed.</w:t>
      </w:r>
    </w:p>
    <w:p>
      <w:pPr>
        <w:pStyle w:val="Normal"/>
        <w:numPr>
          <w:ilvl w:val="0"/>
          <w:numId w:val="1"/>
        </w:numPr>
      </w:pPr>
      <w:r>
        <w:rPr>
          <w:rFonts w:ascii="Arial" w:hAnsi="Arial"/>
          <w:sz w:val="21"/>
          <w:szCs w:val="21"/>
        </w:rPr>
        <w:t xml:space="preserve">Replace contiguous per-request KV allocation with fixed-size pages, logical-to-physical block tables, transactional allocation, copy-on-write prefix sharing, and explicit eviction.</w:t>
      </w:r>
    </w:p>
    <w:p>
      <w:pPr>
        <w:pStyle w:val="Normal"/>
        <w:numPr>
          <w:ilvl w:val="0"/>
          <w:numId w:val="1"/>
        </w:numPr>
      </w:pPr>
      <w:r>
        <w:rPr>
          <w:rFonts w:ascii="Arial" w:hAnsi="Arial"/>
          <w:sz w:val="21"/>
          <w:szCs w:val="21"/>
        </w:rPr>
        <w:t xml:space="preserve">Implement continuous batching, chunked prefill, fairness, output streaming, disconnect cancellation, and admission based on declared memory limits.</w:t>
      </w:r>
    </w:p>
    <w:p>
      <w:pPr>
        <w:pStyle w:val="Normal"/>
        <w:numPr>
          <w:ilvl w:val="0"/>
          <w:numId w:val="1"/>
        </w:numPr>
      </w:pPr>
      <w:r>
        <w:rPr>
          <w:rFonts w:ascii="Arial" w:hAnsi="Arial"/>
          <w:sz w:val="21"/>
          <w:szCs w:val="21"/>
        </w:rPr>
        <w:t xml:space="preserve">Expose the Knolo-native API and a bounded OpenAI-compatible chat completion subset. Compatibility requests must still enter the native receipt path.</w:t>
      </w:r>
    </w:p>
    <w:p>
      <w:pPr>
        <w:pStyle w:val="Normal"/>
        <w:numPr>
          <w:ilvl w:val="0"/>
          <w:numId w:val="1"/>
        </w:numPr>
      </w:pPr>
      <w:r>
        <w:rPr>
          <w:rFonts w:ascii="Arial" w:hAnsi="Arial"/>
          <w:sz w:val="21"/>
          <w:szCs w:val="21"/>
        </w:rPr>
        <w:t xml:space="preserve">Add metrics, redacted tracing, crash recovery, health, drain, unload, and restart behavior.</w:t>
      </w:r>
    </w:p>
    <w:p>
      <w:pPr>
        <w:pStyle w:val="Heading2"/>
      </w:pPr>
      <w:r>
        <w:rPr>
          <w:rFonts w:ascii="Arial" w:hAnsi="Arial"/>
          <w:sz w:val="21"/>
          <w:szCs w:val="21"/>
        </w:rPr>
        <w:t xml:space="preserve">Exit gate</w:t>
      </w:r>
    </w:p>
    <w:p>
      <w:pPr>
        <w:pStyle w:val="Normal"/>
      </w:pPr>
      <w:r>
        <w:rPr>
          <w:rFonts w:ascii="Arial" w:hAnsi="Arial"/>
          <w:sz w:val="21"/>
          <w:szCs w:val="21"/>
        </w:rPr>
        <w:t xml:space="preserve">Batching does not change isolated results under the defined assurance mode. A bounded-memory soak completes without unbounded growth. Worker crashes and CUDA OOMs are contained. Cancellation works during queueing, prefill, decode, and streaming. A disconnect cannot leave an active request without a terminal journal entry and receipt outcome.</w:t>
      </w:r>
    </w:p>
    <w:p>
      <w:pPr>
        <w:pStyle w:val="Heading2"/>
      </w:pPr>
      <w:r>
        <w:rPr>
          <w:rFonts w:ascii="Arial" w:hAnsi="Arial"/>
          <w:sz w:val="21"/>
          <w:szCs w:val="21"/>
        </w:rPr>
        <w:t xml:space="preserve">Implementation order</w:t>
      </w:r>
    </w:p>
    <w:p>
      <w:pPr>
        <w:pStyle w:val="Normal"/>
      </w:pPr>
      <w:r>
        <w:rPr>
          <w:rFonts w:ascii="Arial" w:hAnsi="Arial"/>
          <w:sz w:val="21"/>
          <w:szCs w:val="21"/>
        </w:rPr>
        <w:t xml:space="preserve">Build paging and scheduler tests against the CPU reference before tuning CUDA. Then add the worker boundary. Then add network transport and OpenAI compatibility. This keeps failures attributable to one boundary at a time.</w:t>
      </w:r>
    </w:p>
    <w:p>
      <w:pPr>
        <w:pageBreakBefore/>
      </w:pPr>
    </w:p>
    <w:p>
      <w:pPr>
        <w:pStyle w:val="Heading1"/>
      </w:pPr>
      <w:r>
        <w:rPr>
          <w:rFonts w:ascii="Arial" w:hAnsi="Arial"/>
          <w:sz w:val="21"/>
          <w:szCs w:val="21"/>
        </w:rPr>
        <w:t xml:space="preserve">9 Phase 4 — GGUF and quantized kernels</w:t>
      </w:r>
    </w:p>
    <w:p>
      <w:pPr>
        <w:pStyle w:val="Normal"/>
      </w:pPr>
      <w:r>
        <w:rPr>
          <w:rFonts w:ascii="Arial" w:hAnsi="Arial"/>
          <w:b/>
          <w:sz w:val="21"/>
          <w:szCs w:val="21"/>
        </w:rPr>
        <w:t xml:space="preserve">Outcome:</w:t>
      </w:r>
      <w:r>
        <w:rPr>
          <w:rFonts w:ascii="Arial" w:hAnsi="Arial"/>
          <w:sz w:val="21"/>
          <w:szCs w:val="21"/>
        </w:rPr>
        <w:t xml:space="preserve"> Common local model artifacts can be loaded directly or through an explicitly rooted conversion path with measured numerical behavior.</w:t>
      </w:r>
    </w:p>
    <w:p>
      <w:pPr>
        <w:pStyle w:val="Heading2"/>
      </w:pPr>
      <w:r>
        <w:rPr>
          <w:rFonts w:ascii="Arial" w:hAnsi="Arial"/>
          <w:sz w:val="21"/>
          <w:szCs w:val="21"/>
        </w:rPr>
        <w:t xml:space="preserve">Scope</w:t>
      </w:r>
    </w:p>
    <w:p>
      <w:pPr>
        <w:pStyle w:val="Normal"/>
        <w:numPr>
          <w:ilvl w:val="0"/>
          <w:numId w:val="1"/>
        </w:numPr>
      </w:pPr>
      <w:r>
        <w:rPr>
          <w:rFonts w:ascii="Arial" w:hAnsi="Arial"/>
          <w:sz w:val="21"/>
          <w:szCs w:val="21"/>
        </w:rPr>
        <w:t xml:space="preserve">Implement a bounded GGUF parser with duplicate-key rejection, size limits, supported-type allowlists, and corruption tests.</w:t>
      </w:r>
    </w:p>
    <w:p>
      <w:pPr>
        <w:pStyle w:val="Normal"/>
        <w:numPr>
          <w:ilvl w:val="0"/>
          <w:numId w:val="1"/>
        </w:numPr>
      </w:pPr>
      <w:r>
        <w:rPr>
          <w:rFonts w:ascii="Arial" w:hAnsi="Arial"/>
          <w:sz w:val="21"/>
          <w:szCs w:val="21"/>
        </w:rPr>
        <w:t xml:space="preserve">Implement only the selected quantization formats needed for the first supported model set. Keep the parser and quantized kernels independently testable.</w:t>
      </w:r>
    </w:p>
    <w:p>
      <w:pPr>
        <w:pStyle w:val="Normal"/>
        <w:numPr>
          <w:ilvl w:val="0"/>
          <w:numId w:val="1"/>
        </w:numPr>
      </w:pPr>
      <w:r>
        <w:rPr>
          <w:rFonts w:ascii="Arial" w:hAnsi="Arial"/>
          <w:sz w:val="21"/>
          <w:szCs w:val="21"/>
        </w:rPr>
        <w:t xml:space="preserve">Add quantized GEMM and any required dequantization or fused paths without misrepresenting third-party primitives as Knolo-authored kernels.</w:t>
      </w:r>
    </w:p>
    <w:p>
      <w:pPr>
        <w:pStyle w:val="Normal"/>
        <w:numPr>
          <w:ilvl w:val="0"/>
          <w:numId w:val="1"/>
        </w:numPr>
      </w:pPr>
      <w:r>
        <w:rPr>
          <w:rFonts w:ascii="Arial" w:hAnsi="Arial"/>
          <w:sz w:val="21"/>
          <w:szCs w:val="21"/>
        </w:rPr>
        <w:t xml:space="preserve">Record conversion inputs and outputs as content-addressed artifacts. Never convert silently or mutate a pinned file in place.</w:t>
      </w:r>
    </w:p>
    <w:p>
      <w:pPr>
        <w:pStyle w:val="Normal"/>
        <w:numPr>
          <w:ilvl w:val="0"/>
          <w:numId w:val="1"/>
        </w:numPr>
      </w:pPr>
      <w:r>
        <w:rPr>
          <w:rFonts w:ascii="Arial" w:hAnsi="Arial"/>
          <w:sz w:val="21"/>
          <w:szCs w:val="21"/>
        </w:rPr>
        <w:t xml:space="preserve">Measure accuracy/perplexity deltas, memory estimates, throughput, latency, and output stability on the same fixtures used by the native path.</w:t>
      </w:r>
    </w:p>
    <w:p>
      <w:pPr>
        <w:pStyle w:val="Heading2"/>
      </w:pPr>
      <w:r>
        <w:rPr>
          <w:rFonts w:ascii="Arial" w:hAnsi="Arial"/>
          <w:sz w:val="21"/>
          <w:szCs w:val="21"/>
        </w:rPr>
        <w:t xml:space="preserve">Exit gate</w:t>
      </w:r>
    </w:p>
    <w:p>
      <w:pPr>
        <w:pStyle w:val="Normal"/>
      </w:pPr>
      <w:r>
        <w:rPr>
          <w:rFonts w:ascii="Arial" w:hAnsi="Arial"/>
          <w:sz w:val="21"/>
          <w:szCs w:val="21"/>
        </w:rPr>
        <w:t xml:space="preserve">Corruption fuzzing and malformed metadata tests pass. Measured memory is consistent with the planner’s bounds. Quantized accuracy deltas are published. The verification class and receipt make it clear whether the output came from direct native loading, an explicit conversion, or a compatibility backend.</w:t>
      </w:r>
    </w:p>
    <w:p>
      <w:pPr>
        <w:pageBreakBefore/>
      </w:pPr>
    </w:p>
    <w:p>
      <w:pPr>
        <w:pStyle w:val="Heading1"/>
      </w:pPr>
      <w:r>
        <w:rPr>
          <w:rFonts w:ascii="Arial" w:hAnsi="Arial"/>
          <w:sz w:val="21"/>
          <w:szCs w:val="21"/>
        </w:rPr>
        <w:t xml:space="preserve">10 Phase 5 — Knolo product integration</w:t>
      </w:r>
    </w:p>
    <w:p>
      <w:pPr>
        <w:pStyle w:val="Normal"/>
      </w:pPr>
      <w:r>
        <w:rPr>
          <w:rFonts w:ascii="Arial" w:hAnsi="Arial"/>
          <w:b/>
          <w:sz w:val="21"/>
          <w:szCs w:val="21"/>
        </w:rPr>
        <w:t xml:space="preserve">Outcome:</w:t>
      </w:r>
      <w:r>
        <w:rPr>
          <w:rFonts w:ascii="Arial" w:hAnsi="Arial"/>
          <w:sz w:val="21"/>
          <w:szCs w:val="21"/>
        </w:rPr>
        <w:t xml:space="preserve"> Knolo Infer is usable as a product capability, not only as a runtime repository.</w:t>
      </w:r>
    </w:p>
    <w:p>
      <w:pPr>
        <w:pStyle w:val="Heading2"/>
      </w:pPr>
      <w:r>
        <w:rPr>
          <w:rFonts w:ascii="Arial" w:hAnsi="Arial"/>
          <w:sz w:val="21"/>
          <w:szCs w:val="21"/>
        </w:rPr>
        <w:t xml:space="preserve">Scope</w:t>
      </w:r>
    </w:p>
    <w:p>
      <w:pPr>
        <w:pStyle w:val="Normal"/>
        <w:numPr>
          <w:ilvl w:val="0"/>
          <w:numId w:val="1"/>
        </w:numPr>
      </w:pPr>
      <w:r>
        <w:rPr>
          <w:rFonts w:ascii="Arial" w:hAnsi="Arial"/>
          <w:sz w:val="21"/>
          <w:szCs w:val="21"/>
        </w:rPr>
        <w:t xml:space="preserve">Publish </w:t>
      </w:r>
      <w:r>
        <w:rPr>
          <w:rFonts w:ascii="Arial" w:hAnsi="Arial"/>
          <w:b/>
          <w:sz w:val="21"/>
          <w:szCs w:val="21"/>
        </w:rPr>
        <w:t xml:space="preserve">@knolo/infer</w:t>
      </w:r>
      <w:r>
        <w:rPr>
          <w:rFonts w:ascii="Arial" w:hAnsi="Arial"/>
          <w:sz w:val="21"/>
          <w:szCs w:val="21"/>
        </w:rPr>
        <w:t xml:space="preserve"> with TypeScript types, native request/response helpers, receipt verification, and compatibility surface documentation.</w:t>
      </w:r>
    </w:p>
    <w:p>
      <w:pPr>
        <w:pStyle w:val="Normal"/>
        <w:numPr>
          <w:ilvl w:val="0"/>
          <w:numId w:val="1"/>
        </w:numPr>
      </w:pPr>
      <w:r>
        <w:rPr>
          <w:rFonts w:ascii="Arial" w:hAnsi="Arial"/>
          <w:sz w:val="21"/>
          <w:szCs w:val="21"/>
        </w:rPr>
        <w:t xml:space="preserve">Integrate Knowledge Image roots and query receipts from </w:t>
      </w:r>
      <w:r>
        <w:rPr>
          <w:rFonts w:ascii="Arial" w:hAnsi="Arial"/>
          <w:b/>
          <w:sz w:val="21"/>
          <w:szCs w:val="21"/>
        </w:rPr>
        <w:t xml:space="preserve">@knolo/core</w:t>
      </w:r>
      <w:r>
        <w:rPr>
          <w:rFonts w:ascii="Arial" w:hAnsi="Arial"/>
          <w:sz w:val="21"/>
          <w:szCs w:val="21"/>
        </w:rPr>
        <w:t xml:space="preserve"> without moving model inference into Core.</w:t>
      </w:r>
    </w:p>
    <w:p>
      <w:pPr>
        <w:pStyle w:val="Normal"/>
        <w:numPr>
          <w:ilvl w:val="0"/>
          <w:numId w:val="1"/>
        </w:numPr>
      </w:pPr>
      <w:r>
        <w:rPr>
          <w:rFonts w:ascii="Arial" w:hAnsi="Arial"/>
          <w:sz w:val="21"/>
          <w:szCs w:val="21"/>
        </w:rPr>
        <w:t xml:space="preserve">Integrate Reflex selection receipts and prompt/evidence binding. The prompt compiler must prove which context reached the model.</w:t>
      </w:r>
    </w:p>
    <w:p>
      <w:pPr>
        <w:pStyle w:val="Normal"/>
        <w:numPr>
          <w:ilvl w:val="0"/>
          <w:numId w:val="1"/>
        </w:numPr>
      </w:pPr>
      <w:r>
        <w:rPr>
          <w:rFonts w:ascii="Arial" w:hAnsi="Arial"/>
          <w:sz w:val="21"/>
          <w:szCs w:val="21"/>
        </w:rPr>
        <w:t xml:space="preserve">Add the Agents host effect for inference requests. Agent policy must be able to deny the wrong model root, artifact root, engine channel, backend, or assurance level.</w:t>
      </w:r>
    </w:p>
    <w:p>
      <w:pPr>
        <w:pStyle w:val="Normal"/>
        <w:numPr>
          <w:ilvl w:val="0"/>
          <w:numId w:val="1"/>
        </w:numPr>
      </w:pPr>
      <w:r>
        <w:rPr>
          <w:rFonts w:ascii="Arial" w:hAnsi="Arial"/>
          <w:sz w:val="21"/>
          <w:szCs w:val="21"/>
        </w:rPr>
        <w:t xml:space="preserve">Define Hub records for .kmodel images, signatures, metadata, artifact manifests, and installation verification. Hub may distribute metadata and recipes without becoming the owner of large weight blobs.</w:t>
      </w:r>
    </w:p>
    <w:p>
      <w:pPr>
        <w:pStyle w:val="Normal"/>
        <w:numPr>
          <w:ilvl w:val="0"/>
          <w:numId w:val="1"/>
        </w:numPr>
      </w:pPr>
      <w:r>
        <w:rPr>
          <w:rFonts w:ascii="Arial" w:hAnsi="Arial"/>
          <w:sz w:val="21"/>
          <w:szCs w:val="21"/>
        </w:rPr>
        <w:t xml:space="preserve">Build an end-to-end demo from Knowledge Image to query receipt to Reflex selection to inference receipt to agent effect event.</w:t>
      </w:r>
    </w:p>
    <w:p>
      <w:pPr>
        <w:pStyle w:val="Normal"/>
        <w:numPr>
          <w:ilvl w:val="0"/>
          <w:numId w:val="1"/>
        </w:numPr>
      </w:pPr>
      <w:r>
        <w:rPr>
          <w:rFonts w:ascii="Arial" w:hAnsi="Arial"/>
          <w:sz w:val="21"/>
          <w:szCs w:val="21"/>
        </w:rPr>
        <w:t xml:space="preserve">Document compatibility backends and verification classes. Keep llama.cpp, Ollama, and other third-party runtimes named and licensed as themselves.</w:t>
      </w:r>
    </w:p>
    <w:p>
      <w:pPr>
        <w:pStyle w:val="Heading2"/>
      </w:pPr>
      <w:r>
        <w:rPr>
          <w:rFonts w:ascii="Arial" w:hAnsi="Arial"/>
          <w:sz w:val="21"/>
          <w:szCs w:val="21"/>
        </w:rPr>
        <w:t xml:space="preserve">Exit gate</w:t>
      </w:r>
    </w:p>
    <w:p>
      <w:pPr>
        <w:pStyle w:val="Normal"/>
      </w:pPr>
      <w:r>
        <w:rPr>
          <w:rFonts w:ascii="Arial" w:hAnsi="Arial"/>
          <w:sz w:val="21"/>
          <w:szCs w:val="21"/>
        </w:rPr>
        <w:t xml:space="preserve">The end-to-end receipt chain verifies. Agents can deny a request with the wrong model/runtime identity. Hub installation verifies every pinned artifact. The TypeScript SDK matches Rust golden vectors. The demo runs without hidden network/model-server dependencies on the native path.</w:t>
      </w:r>
    </w:p>
    <w:p>
      <w:pPr>
        <w:pageBreakBefore/>
      </w:pPr>
    </w:p>
    <w:p>
      <w:pPr>
        <w:pStyle w:val="Heading1"/>
      </w:pPr>
      <w:r>
        <w:rPr>
          <w:rFonts w:ascii="Arial" w:hAnsi="Arial"/>
          <w:sz w:val="21"/>
          <w:szCs w:val="21"/>
        </w:rPr>
        <w:t xml:space="preserve">11 Phase 6 — MoE and GLM-4.7</w:t>
      </w:r>
    </w:p>
    <w:p>
      <w:pPr>
        <w:pStyle w:val="Normal"/>
      </w:pPr>
      <w:r>
        <w:rPr>
          <w:rFonts w:ascii="Arial" w:hAnsi="Arial"/>
          <w:b/>
          <w:sz w:val="21"/>
          <w:szCs w:val="21"/>
        </w:rPr>
        <w:t xml:space="preserve">Outcome:</w:t>
      </w:r>
      <w:r>
        <w:rPr>
          <w:rFonts w:ascii="Arial" w:hAnsi="Arial"/>
          <w:sz w:val="21"/>
          <w:szCs w:val="21"/>
        </w:rPr>
        <w:t xml:space="preserve"> The runtime supports ordinary mixture-of-experts execution and a blessed native GLM-4.7 recipe on tested workstation profiles.</w:t>
      </w:r>
    </w:p>
    <w:p>
      <w:pPr>
        <w:pStyle w:val="Heading2"/>
      </w:pPr>
      <w:r>
        <w:rPr>
          <w:rFonts w:ascii="Arial" w:hAnsi="Arial"/>
          <w:sz w:val="21"/>
          <w:szCs w:val="21"/>
        </w:rPr>
        <w:t xml:space="preserve">Scope</w:t>
      </w:r>
    </w:p>
    <w:p>
      <w:pPr>
        <w:pStyle w:val="Normal"/>
        <w:numPr>
          <w:ilvl w:val="0"/>
          <w:numId w:val="1"/>
        </w:numPr>
      </w:pPr>
      <w:r>
        <w:rPr>
          <w:rFonts w:ascii="Arial" w:hAnsi="Arial"/>
          <w:sz w:val="21"/>
          <w:szCs w:val="21"/>
        </w:rPr>
        <w:t xml:space="preserve">Define generic expert routing, top-k selection, capacity behavior, auxiliary state, grouped expert kernels, and expert placement contracts.</w:t>
      </w:r>
    </w:p>
    <w:p>
      <w:pPr>
        <w:pStyle w:val="Normal"/>
        <w:numPr>
          <w:ilvl w:val="0"/>
          <w:numId w:val="1"/>
        </w:numPr>
      </w:pPr>
      <w:r>
        <w:rPr>
          <w:rFonts w:ascii="Arial" w:hAnsi="Arial"/>
          <w:sz w:val="21"/>
          <w:szCs w:val="21"/>
        </w:rPr>
        <w:t xml:space="preserve">Extend the planner for expert residency, CPU offload, asymmetric GPU policies, and memory reservations. Do not assume tensor parallelism improves latency on PCIe-connected asymmetric GPUs.</w:t>
      </w:r>
    </w:p>
    <w:p>
      <w:pPr>
        <w:pStyle w:val="Normal"/>
        <w:numPr>
          <w:ilvl w:val="0"/>
          <w:numId w:val="1"/>
        </w:numPr>
      </w:pPr>
      <w:r>
        <w:rPr>
          <w:rFonts w:ascii="Arial" w:hAnsi="Arial"/>
          <w:sz w:val="21"/>
          <w:szCs w:val="21"/>
        </w:rPr>
        <w:t xml:space="preserve">Implement router/expert conformance fixtures before wiring the full model.</w:t>
      </w:r>
    </w:p>
    <w:p>
      <w:pPr>
        <w:pStyle w:val="Normal"/>
        <w:numPr>
          <w:ilvl w:val="0"/>
          <w:numId w:val="1"/>
        </w:numPr>
      </w:pPr>
      <w:r>
        <w:rPr>
          <w:rFonts w:ascii="Arial" w:hAnsi="Arial"/>
          <w:sz w:val="21"/>
          <w:szCs w:val="21"/>
        </w:rPr>
        <w:t xml:space="preserve">Implement the GLM-4.7 adapter as a distinct architecture path with its own config normalization, tensor inventory, placement recipe, and receipt fields.</w:t>
      </w:r>
    </w:p>
    <w:p>
      <w:pPr>
        <w:pStyle w:val="Normal"/>
        <w:numPr>
          <w:ilvl w:val="0"/>
          <w:numId w:val="1"/>
        </w:numPr>
      </w:pPr>
      <w:r>
        <w:rPr>
          <w:rFonts w:ascii="Arial" w:hAnsi="Arial"/>
          <w:sz w:val="21"/>
          <w:szCs w:val="21"/>
        </w:rPr>
        <w:t xml:space="preserve">Produce workstation recipes and benchmark receipts for the reference hardware class.</w:t>
      </w:r>
    </w:p>
    <w:p>
      <w:pPr>
        <w:pStyle w:val="Heading2"/>
      </w:pPr>
      <w:r>
        <w:rPr>
          <w:rFonts w:ascii="Arial" w:hAnsi="Arial"/>
          <w:sz w:val="21"/>
          <w:szCs w:val="21"/>
        </w:rPr>
        <w:t xml:space="preserve">Exit gate</w:t>
      </w:r>
    </w:p>
    <w:p>
      <w:pPr>
        <w:pStyle w:val="Normal"/>
      </w:pPr>
      <w:r>
        <w:rPr>
          <w:rFonts w:ascii="Arial" w:hAnsi="Arial"/>
          <w:sz w:val="21"/>
          <w:szCs w:val="21"/>
        </w:rPr>
        <w:t xml:space="preserve">Router and expert outputs pass conformance. Single-device and mixed-placement tests are explicit and reproducible. Unsupported placement or model features reject clearly. A recipe is blessed only when correctness, security, stability, and benchmark receipts all exist.</w:t>
      </w:r>
    </w:p>
    <w:p>
      <w:pPr>
        <w:pStyle w:val="Heading2"/>
      </w:pPr>
      <w:r>
        <w:rPr>
          <w:rFonts w:ascii="Arial" w:hAnsi="Arial"/>
          <w:sz w:val="21"/>
          <w:szCs w:val="21"/>
        </w:rPr>
        <w:t xml:space="preserve">Release rule</w:t>
      </w:r>
    </w:p>
    <w:p>
      <w:pPr>
        <w:pStyle w:val="Normal"/>
      </w:pPr>
      <w:r>
        <w:rPr>
          <w:rFonts w:ascii="Arial" w:hAnsi="Arial"/>
          <w:sz w:val="21"/>
          <w:szCs w:val="21"/>
        </w:rPr>
        <w:t xml:space="preserve">Do not make GLM-4.7 a hidden dependency of the first native release. If it is required commercially, promote this phase into the release train and accept the additional MoE risk explicitly.</w:t>
      </w:r>
    </w:p>
    <w:p>
      <w:pPr>
        <w:pageBreakBefore/>
      </w:pPr>
    </w:p>
    <w:p>
      <w:pPr>
        <w:pStyle w:val="Heading1"/>
      </w:pPr>
      <w:r>
        <w:rPr>
          <w:rFonts w:ascii="Arial" w:hAnsi="Arial"/>
          <w:sz w:val="21"/>
          <w:szCs w:val="21"/>
        </w:rPr>
        <w:t xml:space="preserve">12 Phase 7 — Advanced serving</w:t>
      </w:r>
    </w:p>
    <w:p>
      <w:pPr>
        <w:pStyle w:val="Normal"/>
      </w:pPr>
      <w:r>
        <w:rPr>
          <w:rFonts w:ascii="Arial" w:hAnsi="Arial"/>
          <w:b/>
          <w:sz w:val="21"/>
          <w:szCs w:val="21"/>
        </w:rPr>
        <w:t xml:space="preserve">Outcome:</w:t>
      </w:r>
      <w:r>
        <w:rPr>
          <w:rFonts w:ascii="Arial" w:hAnsi="Arial"/>
          <w:sz w:val="21"/>
          <w:szCs w:val="21"/>
        </w:rPr>
        <w:t xml:space="preserve"> Performance and capability features improve the engine without weakening proof, cache isolation, or replay semantics.</w:t>
      </w:r>
    </w:p>
    <w:p>
      <w:pPr>
        <w:pStyle w:val="Heading2"/>
      </w:pPr>
      <w:r>
        <w:rPr>
          <w:rFonts w:ascii="Arial" w:hAnsi="Arial"/>
          <w:sz w:val="21"/>
          <w:szCs w:val="21"/>
        </w:rPr>
        <w:t xml:space="preserve">Scope and sequencing</w:t>
      </w: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tblHeader/>
        </w:trPr>
        <w:tc>
          <w:tcPr>
            <w:tcW w:w="312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Feature</w:t>
            </w:r>
          </w:p>
        </w:tc>
        <w:tc>
          <w:tcPr>
            <w:tcW w:w="312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Implement after</w:t>
            </w:r>
          </w:p>
        </w:tc>
        <w:tc>
          <w:tcPr>
            <w:tcW w:w="312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Non-negotiable proof</w:t>
            </w:r>
          </w:p>
        </w:tc>
      </w:tr>
      <w:tr>
        <w:trPr/>
        <w:tc>
          <w:tcPr>
            <w:tcW w:w="312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Tenant-scoped prefix cache</w:t>
            </w:r>
          </w:p>
        </w:tc>
        <w:tc>
          <w:tcPr>
            <w:tcW w:w="312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Stable prompt roots and paged KV</w:t>
            </w:r>
          </w:p>
        </w:tc>
        <w:tc>
          <w:tcPr>
            <w:tcW w:w="312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Key includes model runtime, tokenizer, template, exact token prefix, position configuration, precision, and cache namespace. Cross-tenant sharing is off by default.</w:t>
            </w:r>
          </w:p>
        </w:tc>
      </w:tr>
      <w:tr>
        <w:trPr/>
        <w:tc>
          <w:tcPr>
            <w:tcW w:w="312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CUDA Graphs</w:t>
            </w:r>
          </w:p>
        </w:tc>
        <w:tc>
          <w:tcPr>
            <w:tcW w:w="312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Stable decode shape buckets and kernel identity</w:t>
            </w:r>
          </w:p>
        </w:tc>
        <w:tc>
          <w:tcPr>
            <w:tcW w:w="312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Graph identity, shapes, workspace addresses, device, and kernel roots appear in the execution plan and receipt.</w:t>
            </w:r>
          </w:p>
        </w:tc>
      </w:tr>
      <w:tr>
        <w:trPr/>
        <w:tc>
          <w:tcPr>
            <w:tcW w:w="312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Structured decoding</w:t>
            </w:r>
          </w:p>
        </w:tc>
        <w:tc>
          <w:tcPr>
            <w:tcW w:w="312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Stable sampler and stop-condition contracts</w:t>
            </w:r>
          </w:p>
        </w:tc>
        <w:tc>
          <w:tcPr>
            <w:tcW w:w="312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Grammar compiler is bounded, deterministic, and rooted. Tool calls remain host effects.</w:t>
            </w:r>
          </w:p>
        </w:tc>
      </w:tr>
      <w:tr>
        <w:trPr/>
        <w:tc>
          <w:tcPr>
            <w:tcW w:w="312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Speculative decoding</w:t>
            </w:r>
          </w:p>
        </w:tc>
        <w:tc>
          <w:tcPr>
            <w:tcW w:w="312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Target-only decode is conformant</w:t>
            </w:r>
          </w:p>
        </w:tc>
        <w:tc>
          <w:tcPr>
            <w:tcW w:w="312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Draft model, acceptance logic, cache coordination, and receipt fields preserve the defined target distribution semantics.</w:t>
            </w:r>
          </w:p>
        </w:tc>
      </w:tr>
      <w:tr>
        <w:trPr/>
        <w:tc>
          <w:tcPr>
            <w:tcW w:w="312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Multi-model lifecycle</w:t>
            </w:r>
          </w:p>
        </w:tc>
        <w:tc>
          <w:tcPr>
            <w:tcW w:w="312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Worker isolation and lifecycle recovery</w:t>
            </w:r>
          </w:p>
        </w:tc>
        <w:tc>
          <w:tcPr>
            <w:tcW w:w="312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Admission, unload, drain, and receipt identity remain unambiguous across model instances.</w:t>
            </w:r>
          </w:p>
        </w:tc>
      </w:tr>
    </w:tbl>
    <w:p>
      <w:pPr>
        <w:spacing w:after="80"/>
      </w:pPr>
    </w:p>
    <w:p>
      <w:pPr>
        <w:pStyle w:val="Heading2"/>
      </w:pPr>
      <w:r>
        <w:rPr>
          <w:rFonts w:ascii="Arial" w:hAnsi="Arial"/>
          <w:sz w:val="21"/>
          <w:szCs w:val="21"/>
        </w:rPr>
        <w:t xml:space="preserve">Exit gate</w:t>
      </w:r>
    </w:p>
    <w:p>
      <w:pPr>
        <w:pStyle w:val="Normal"/>
      </w:pPr>
      <w:r>
        <w:rPr>
          <w:rFonts w:ascii="Arial" w:hAnsi="Arial"/>
          <w:sz w:val="21"/>
          <w:szCs w:val="21"/>
        </w:rPr>
        <w:t xml:space="preserve">Each feature has an independent conformance suite, benchmark report, and receipt extension. A performance feature can be disabled without changing the meaning of a pinned request. No optimization is allowed to silently approximate, share across tenants, or bypass the native proof path.</w:t>
      </w:r>
    </w:p>
    <w:p>
      <w:pPr>
        <w:pageBreakBefore/>
      </w:pPr>
    </w:p>
    <w:p>
      <w:pPr>
        <w:pStyle w:val="Heading1"/>
      </w:pPr>
      <w:r>
        <w:rPr>
          <w:rFonts w:ascii="Arial" w:hAnsi="Arial"/>
          <w:sz w:val="21"/>
          <w:szCs w:val="21"/>
        </w:rPr>
        <w:t xml:space="preserve">13 Phase 8 — GLM-5.3 research track</w:t>
      </w:r>
    </w:p>
    <w:p>
      <w:pPr>
        <w:pStyle w:val="Normal"/>
      </w:pPr>
      <w:r>
        <w:rPr>
          <w:rFonts w:ascii="Arial" w:hAnsi="Arial"/>
          <w:b/>
          <w:sz w:val="21"/>
          <w:szCs w:val="21"/>
        </w:rPr>
        <w:t xml:space="preserve">Outcome:</w:t>
      </w:r>
      <w:r>
        <w:rPr>
          <w:rFonts w:ascii="Arial" w:hAnsi="Arial"/>
          <w:sz w:val="21"/>
          <w:szCs w:val="21"/>
        </w:rPr>
        <w:t xml:space="preserve"> A deliberate research adapter exists for the hybrid, multimodal, large MoE architecture without destabilizing the production engine.</w:t>
      </w:r>
    </w:p>
    <w:p>
      <w:pPr>
        <w:pStyle w:val="Heading2"/>
      </w:pPr>
      <w:r>
        <w:rPr>
          <w:rFonts w:ascii="Arial" w:hAnsi="Arial"/>
          <w:sz w:val="21"/>
          <w:szCs w:val="21"/>
        </w:rPr>
        <w:t xml:space="preserve">Scope</w:t>
      </w:r>
    </w:p>
    <w:p>
      <w:pPr>
        <w:pStyle w:val="Normal"/>
        <w:numPr>
          <w:ilvl w:val="0"/>
          <w:numId w:val="1"/>
        </w:numPr>
      </w:pPr>
      <w:r>
        <w:rPr>
          <w:rFonts w:ascii="Arial" w:hAnsi="Arial"/>
          <w:sz w:val="21"/>
          <w:szCs w:val="21"/>
        </w:rPr>
        <w:t xml:space="preserve">Hold a dedicated design review before implementation. Treat GLM-5.3 as a separate architecture, not as a larger GLM-4.7.</w:t>
      </w:r>
    </w:p>
    <w:p>
      <w:pPr>
        <w:pStyle w:val="Normal"/>
        <w:numPr>
          <w:ilvl w:val="0"/>
          <w:numId w:val="1"/>
        </w:numPr>
      </w:pPr>
      <w:r>
        <w:rPr>
          <w:rFonts w:ascii="Arial" w:hAnsi="Arial"/>
          <w:sz w:val="21"/>
          <w:szCs w:val="21"/>
        </w:rPr>
        <w:t xml:space="preserve">Model hybrid sparse and linear-attention state, KDA/linear attention, mHC-related configuration, MTP behavior, multimodal input, and extreme-context cache strategy.</w:t>
      </w:r>
    </w:p>
    <w:p>
      <w:pPr>
        <w:pStyle w:val="Normal"/>
        <w:numPr>
          <w:ilvl w:val="0"/>
          <w:numId w:val="1"/>
        </w:numPr>
      </w:pPr>
      <w:r>
        <w:rPr>
          <w:rFonts w:ascii="Arial" w:hAnsi="Arial"/>
          <w:sz w:val="21"/>
          <w:szCs w:val="21"/>
        </w:rPr>
        <w:t xml:space="preserve">Build research fixtures and receipts that identify experimental status, unsupported production guarantees, and exact adapter/build identity.</w:t>
      </w:r>
    </w:p>
    <w:p>
      <w:pPr>
        <w:pStyle w:val="Normal"/>
        <w:numPr>
          <w:ilvl w:val="0"/>
          <w:numId w:val="1"/>
        </w:numPr>
      </w:pPr>
      <w:r>
        <w:rPr>
          <w:rFonts w:ascii="Arial" w:hAnsi="Arial"/>
          <w:sz w:val="21"/>
          <w:szCs w:val="21"/>
        </w:rPr>
        <w:t xml:space="preserve">Keep this track isolated from the first production release branch and do not let it redefine core contracts without compatibility review.</w:t>
      </w:r>
    </w:p>
    <w:p>
      <w:pPr>
        <w:pStyle w:val="Heading2"/>
      </w:pPr>
      <w:r>
        <w:rPr>
          <w:rFonts w:ascii="Arial" w:hAnsi="Arial"/>
          <w:sz w:val="21"/>
          <w:szCs w:val="21"/>
        </w:rPr>
        <w:t xml:space="preserve">Exit gate</w:t>
      </w:r>
    </w:p>
    <w:p>
      <w:pPr>
        <w:pStyle w:val="Normal"/>
      </w:pPr>
      <w:r>
        <w:rPr>
          <w:rFonts w:ascii="Arial" w:hAnsi="Arial"/>
          <w:sz w:val="21"/>
          <w:szCs w:val="21"/>
        </w:rPr>
        <w:t xml:space="preserve">A dedicated design review accepts the state model, placement strategy, receipt extensions, and test budget. The research adapter can be run, measured, and rejected explicitly without weakening the production verification classes.</w:t>
      </w:r>
    </w:p>
    <w:p>
      <w:pPr>
        <w:pageBreakBefore/>
      </w:pPr>
    </w:p>
    <w:p>
      <w:pPr>
        <w:pStyle w:val="Heading1"/>
      </w:pPr>
      <w:r>
        <w:rPr>
          <w:rFonts w:ascii="Arial" w:hAnsi="Arial"/>
          <w:sz w:val="21"/>
          <w:szCs w:val="21"/>
        </w:rPr>
        <w:t xml:space="preserve">14 Parallel workstreams and ownership</w:t>
      </w:r>
    </w:p>
    <w:p>
      <w:pPr>
        <w:pStyle w:val="Normal"/>
      </w:pPr>
      <w:r>
        <w:rPr>
          <w:rFonts w:ascii="Arial" w:hAnsi="Arial"/>
          <w:sz w:val="21"/>
          <w:szCs w:val="21"/>
        </w:rPr>
        <w:t xml:space="preserve">Workstreams can run in parallel only where the contract boundaries are already frozen. The contracts workstream is the critical path for public structures; all other workstreams should consume versioned schemas rather than inventing local formats.</w:t>
      </w: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00"/>
        <w:gridCol w:w="2600"/>
        <w:gridCol w:w="3300"/>
        <w:gridCol w:w="1560"/>
      </w:tblGrid>
      <w:tr>
        <w:trPr>
          <w:tblHeader/>
        </w:trPr>
        <w:tc>
          <w:tcPr>
            <w:tcW w:w="190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Workstream</w:t>
            </w:r>
          </w:p>
        </w:tc>
        <w:tc>
          <w:tcPr>
            <w:tcW w:w="260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Owns</w:t>
            </w:r>
          </w:p>
        </w:tc>
        <w:tc>
          <w:tcPr>
            <w:tcW w:w="330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First active phases</w:t>
            </w:r>
          </w:p>
        </w:tc>
        <w:tc>
          <w:tcPr>
            <w:tcW w:w="156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Dependencies</w:t>
            </w:r>
          </w:p>
        </w:tc>
      </w:tr>
      <w:tr>
        <w:trPr/>
        <w:tc>
          <w:tcPr>
            <w:tcW w:w="19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A. Contracts</w:t>
            </w:r>
          </w:p>
        </w:tc>
        <w:tc>
          <w:tcPr>
            <w:tcW w:w="26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Canonical CBOR, roots, schemas, golden vectors, receipt verifier</w:t>
            </w:r>
          </w:p>
        </w:tc>
        <w:tc>
          <w:tcPr>
            <w:tcW w:w="33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0–5, then maintenance</w:t>
            </w:r>
          </w:p>
        </w:tc>
        <w:tc>
          <w:tcPr>
            <w:tcW w:w="156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None; must freeze public objects before consumers</w:t>
            </w:r>
          </w:p>
        </w:tc>
      </w:tr>
      <w:tr>
        <w:trPr/>
        <w:tc>
          <w:tcPr>
            <w:tcW w:w="19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B. Artifact system</w:t>
            </w:r>
          </w:p>
        </w:tc>
        <w:tc>
          <w:tcPr>
            <w:tcW w:w="26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.kmodel compiler/verifier, CAS, resumable pulls, safetensors and GGUF inventory, lockfile</w:t>
            </w:r>
          </w:p>
        </w:tc>
        <w:tc>
          <w:tcPr>
            <w:tcW w:w="33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0–4</w:t>
            </w:r>
          </w:p>
        </w:tc>
        <w:tc>
          <w:tcPr>
            <w:tcW w:w="156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Contract roots and security policy</w:t>
            </w:r>
          </w:p>
        </w:tc>
      </w:tr>
      <w:tr>
        <w:trPr/>
        <w:tc>
          <w:tcPr>
            <w:tcW w:w="19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C. Prompt system</w:t>
            </w:r>
          </w:p>
        </w:tc>
        <w:tc>
          <w:tcPr>
            <w:tcW w:w="26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Tokenizer/template loading, bounded renderer, truncation, evidence binding, prompt roots</w:t>
            </w:r>
          </w:p>
        </w:tc>
        <w:tc>
          <w:tcPr>
            <w:tcW w:w="33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0–5</w:t>
            </w:r>
          </w:p>
        </w:tc>
        <w:tc>
          <w:tcPr>
            <w:tcW w:w="156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Model image and prompt contracts</w:t>
            </w:r>
          </w:p>
        </w:tc>
      </w:tr>
      <w:tr>
        <w:trPr/>
        <w:tc>
          <w:tcPr>
            <w:tcW w:w="19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D. Native model core</w:t>
            </w:r>
          </w:p>
        </w:tc>
        <w:tc>
          <w:tcPr>
            <w:tcW w:w="26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Knolo model traits, micro-model, dense adapters, sampling, model conformance</w:t>
            </w:r>
          </w:p>
        </w:tc>
        <w:tc>
          <w:tcPr>
            <w:tcW w:w="33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1–2, 4, 6</w:t>
            </w:r>
          </w:p>
        </w:tc>
        <w:tc>
          <w:tcPr>
            <w:tcW w:w="156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Contracts, artifact inventory, prompt compiler</w:t>
            </w:r>
          </w:p>
        </w:tc>
      </w:tr>
      <w:tr>
        <w:trPr/>
        <w:tc>
          <w:tcPr>
            <w:tcW w:w="19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E. CUDA and placement</w:t>
            </w:r>
          </w:p>
        </w:tc>
        <w:tc>
          <w:tcPr>
            <w:tcW w:w="26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Hardware probe, memory estimator, CUDA backend, exact kernels, kernel identity</w:t>
            </w:r>
          </w:p>
        </w:tc>
        <w:tc>
          <w:tcPr>
            <w:tcW w:w="33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2, 4, 6–7</w:t>
            </w:r>
          </w:p>
        </w:tc>
        <w:tc>
          <w:tcPr>
            <w:tcW w:w="156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Native traits and placement contracts</w:t>
            </w:r>
          </w:p>
        </w:tc>
      </w:tr>
      <w:tr>
        <w:trPr/>
        <w:tc>
          <w:tcPr>
            <w:tcW w:w="19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F. KV and scheduler</w:t>
            </w:r>
          </w:p>
        </w:tc>
        <w:tc>
          <w:tcPr>
            <w:tcW w:w="26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KV pages, prefix cache, admission, prefill, continuous batching, fairness, cancellation</w:t>
            </w:r>
          </w:p>
        </w:tc>
        <w:tc>
          <w:tcPr>
            <w:tcW w:w="33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3, 7</w:t>
            </w:r>
          </w:p>
        </w:tc>
        <w:tc>
          <w:tcPr>
            <w:tcW w:w="156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Execution plan and model runtime</w:t>
            </w:r>
          </w:p>
        </w:tc>
      </w:tr>
      <w:tr>
        <w:trPr/>
        <w:tc>
          <w:tcPr>
            <w:tcW w:w="19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G. Daemon and APIs</w:t>
            </w:r>
          </w:p>
        </w:tc>
        <w:tc>
          <w:tcPr>
            <w:tcW w:w="26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Supervisor/worker, IPC, native API, OpenAI subset, journal, metrics, CLI</w:t>
            </w:r>
          </w:p>
        </w:tc>
        <w:tc>
          <w:tcPr>
            <w:tcW w:w="33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3–5</w:t>
            </w:r>
          </w:p>
        </w:tc>
        <w:tc>
          <w:tcPr>
            <w:tcW w:w="156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Phase 2 runtime and receipt schema</w:t>
            </w:r>
          </w:p>
        </w:tc>
      </w:tr>
      <w:tr>
        <w:trPr/>
        <w:tc>
          <w:tcPr>
            <w:tcW w:w="19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H. Knolo integrations</w:t>
            </w:r>
          </w:p>
        </w:tc>
        <w:tc>
          <w:tcPr>
            <w:tcW w:w="26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@knolo/infer, Core/Reflex adapter, Agents effect, Hub records, demo</w:t>
            </w:r>
          </w:p>
        </w:tc>
        <w:tc>
          <w:tcPr>
            <w:tcW w:w="33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5</w:t>
            </w:r>
          </w:p>
        </w:tc>
        <w:tc>
          <w:tcPr>
            <w:tcW w:w="156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Stable receipts and API contracts</w:t>
            </w:r>
          </w:p>
        </w:tc>
      </w:tr>
      <w:tr>
        <w:trPr/>
        <w:tc>
          <w:tcPr>
            <w:tcW w:w="19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I. Security and verification</w:t>
            </w:r>
          </w:p>
        </w:tc>
        <w:tc>
          <w:tcPr>
            <w:tcW w:w="26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Threat model, fuzzing, corruption tests, crash/OOM, SBOM, NOTICE, signed releases</w:t>
            </w:r>
          </w:p>
        </w:tc>
        <w:tc>
          <w:tcPr>
            <w:tcW w:w="33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0–5, then every phase</w:t>
            </w:r>
          </w:p>
        </w:tc>
        <w:tc>
          <w:tcPr>
            <w:tcW w:w="156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All artifacts; acts as an independent gate</w:t>
            </w:r>
          </w:p>
        </w:tc>
      </w:tr>
    </w:tbl>
    <w:p>
      <w:pPr>
        <w:spacing w:after="80"/>
      </w:pPr>
    </w:p>
    <w:p>
      <w:pPr>
        <w:pStyle w:val="Heading1"/>
      </w:pPr>
      <w:r>
        <w:rPr>
          <w:rFonts w:ascii="Arial" w:hAnsi="Arial"/>
          <w:sz w:val="21"/>
          <w:szCs w:val="21"/>
        </w:rPr>
        <w:t xml:space="preserve">15 Delivery controls</w:t>
      </w:r>
    </w:p>
    <w:p>
      <w:pPr>
        <w:pStyle w:val="Heading2"/>
      </w:pPr>
      <w:r>
        <w:rPr>
          <w:rFonts w:ascii="Arial" w:hAnsi="Arial"/>
          <w:sz w:val="21"/>
          <w:szCs w:val="21"/>
        </w:rPr>
        <w:t xml:space="preserve">Every phase must produce five things</w:t>
      </w:r>
    </w:p>
    <w:p>
      <w:pPr>
        <w:pStyle w:val="Normal"/>
        <w:numPr>
          <w:ilvl w:val="0"/>
          <w:numId w:val="2"/>
        </w:numPr>
      </w:pPr>
      <w:r>
        <w:rPr>
          <w:rFonts w:ascii="Arial" w:hAnsi="Arial"/>
          <w:b/>
          <w:sz w:val="21"/>
          <w:szCs w:val="21"/>
        </w:rPr>
        <w:t xml:space="preserve">Implementation:</w:t>
      </w:r>
      <w:r>
        <w:rPr>
          <w:rFonts w:ascii="Arial" w:hAnsi="Arial"/>
          <w:sz w:val="21"/>
          <w:szCs w:val="21"/>
        </w:rPr>
        <w:t xml:space="preserve"> code behind a documented contract boundary.</w:t>
      </w:r>
    </w:p>
    <w:p>
      <w:pPr>
        <w:pStyle w:val="Normal"/>
        <w:numPr>
          <w:ilvl w:val="0"/>
          <w:numId w:val="2"/>
        </w:numPr>
      </w:pPr>
      <w:r>
        <w:rPr>
          <w:rFonts w:ascii="Arial" w:hAnsi="Arial"/>
          <w:b/>
          <w:sz w:val="21"/>
          <w:szCs w:val="21"/>
        </w:rPr>
        <w:t xml:space="preserve">Fixtures:</w:t>
      </w:r>
      <w:r>
        <w:rPr>
          <w:rFonts w:ascii="Arial" w:hAnsi="Arial"/>
          <w:sz w:val="21"/>
          <w:szCs w:val="21"/>
        </w:rPr>
        <w:t xml:space="preserve"> deterministic or bounded test inputs, including malformed cases where relevant.</w:t>
      </w:r>
    </w:p>
    <w:p>
      <w:pPr>
        <w:pStyle w:val="Normal"/>
        <w:numPr>
          <w:ilvl w:val="0"/>
          <w:numId w:val="2"/>
        </w:numPr>
      </w:pPr>
      <w:r>
        <w:rPr>
          <w:rFonts w:ascii="Arial" w:hAnsi="Arial"/>
          <w:b/>
          <w:sz w:val="21"/>
          <w:szCs w:val="21"/>
        </w:rPr>
        <w:t xml:space="preserve">Verification:</w:t>
      </w:r>
      <w:r>
        <w:rPr>
          <w:rFonts w:ascii="Arial" w:hAnsi="Arial"/>
          <w:sz w:val="21"/>
          <w:szCs w:val="21"/>
        </w:rPr>
        <w:t xml:space="preserve"> automated tests that prove the phase’s exit gate.</w:t>
      </w:r>
    </w:p>
    <w:p>
      <w:pPr>
        <w:pStyle w:val="Normal"/>
        <w:numPr>
          <w:ilvl w:val="0"/>
          <w:numId w:val="2"/>
        </w:numPr>
      </w:pPr>
      <w:r>
        <w:rPr>
          <w:rFonts w:ascii="Arial" w:hAnsi="Arial"/>
          <w:b/>
          <w:sz w:val="21"/>
          <w:szCs w:val="21"/>
        </w:rPr>
        <w:t xml:space="preserve">Receipt or report:</w:t>
      </w:r>
      <w:r>
        <w:rPr>
          <w:rFonts w:ascii="Arial" w:hAnsi="Arial"/>
          <w:sz w:val="21"/>
          <w:szCs w:val="21"/>
        </w:rPr>
        <w:t xml:space="preserve"> a durable identity for what was tested, built, benchmarked, or rejected.</w:t>
      </w:r>
    </w:p>
    <w:p>
      <w:pPr>
        <w:pStyle w:val="Normal"/>
        <w:numPr>
          <w:ilvl w:val="0"/>
          <w:numId w:val="2"/>
        </w:numPr>
      </w:pPr>
      <w:r>
        <w:rPr>
          <w:rFonts w:ascii="Arial" w:hAnsi="Arial"/>
          <w:b/>
          <w:sz w:val="21"/>
          <w:szCs w:val="21"/>
        </w:rPr>
        <w:t xml:space="preserve">Operational notes:</w:t>
      </w:r>
      <w:r>
        <w:rPr>
          <w:rFonts w:ascii="Arial" w:hAnsi="Arial"/>
          <w:sz w:val="21"/>
          <w:szCs w:val="21"/>
        </w:rPr>
        <w:t xml:space="preserve"> supported models/backends, failure modes, limits, and rollback behavior.</w:t>
      </w:r>
    </w:p>
    <w:p>
      <w:pPr>
        <w:pStyle w:val="Heading2"/>
      </w:pPr>
      <w:r>
        <w:rPr>
          <w:rFonts w:ascii="Arial" w:hAnsi="Arial"/>
          <w:sz w:val="21"/>
          <w:szCs w:val="21"/>
        </w:rPr>
        <w:t xml:space="preserve">Branch and integration discipline</w:t>
      </w:r>
    </w:p>
    <w:p>
      <w:pPr>
        <w:pStyle w:val="Normal"/>
        <w:numPr>
          <w:ilvl w:val="0"/>
          <w:numId w:val="1"/>
        </w:numPr>
      </w:pPr>
      <w:r>
        <w:rPr>
          <w:rFonts w:ascii="Arial" w:hAnsi="Arial"/>
          <w:sz w:val="21"/>
          <w:szCs w:val="21"/>
        </w:rPr>
        <w:t xml:space="preserve">Keep contract changes versioned and reviewable. Do not mutate Core’s existing lockfile parser without compatibility and rollback tests.</w:t>
      </w:r>
    </w:p>
    <w:p>
      <w:pPr>
        <w:pStyle w:val="Normal"/>
        <w:numPr>
          <w:ilvl w:val="0"/>
          <w:numId w:val="1"/>
        </w:numPr>
      </w:pPr>
      <w:r>
        <w:rPr>
          <w:rFonts w:ascii="Arial" w:hAnsi="Arial"/>
          <w:sz w:val="21"/>
          <w:szCs w:val="21"/>
        </w:rPr>
        <w:t xml:space="preserve">Require a conformance fixture before accepting an architecture adapter, kernel optimization, cache feature, or compatibility backend.</w:t>
      </w:r>
    </w:p>
    <w:p>
      <w:pPr>
        <w:pStyle w:val="Normal"/>
        <w:numPr>
          <w:ilvl w:val="0"/>
          <w:numId w:val="1"/>
        </w:numPr>
      </w:pPr>
      <w:r>
        <w:rPr>
          <w:rFonts w:ascii="Arial" w:hAnsi="Arial"/>
          <w:sz w:val="21"/>
          <w:szCs w:val="21"/>
        </w:rPr>
        <w:t xml:space="preserve">Use explicit support levels such as experimental, conformant, and blessed. “Fast but non-conformant” is not blessed.</w:t>
      </w:r>
    </w:p>
    <w:p>
      <w:pPr>
        <w:pStyle w:val="Normal"/>
        <w:numPr>
          <w:ilvl w:val="0"/>
          <w:numId w:val="1"/>
        </w:numPr>
      </w:pPr>
      <w:r>
        <w:rPr>
          <w:rFonts w:ascii="Arial" w:hAnsi="Arial"/>
          <w:sz w:val="21"/>
          <w:szCs w:val="21"/>
        </w:rPr>
        <w:t xml:space="preserve">Keep compatibility backends behind a clearly selected backend interface. Record exact binary/version identity and retain their licenses.</w:t>
      </w:r>
    </w:p>
    <w:p>
      <w:pPr>
        <w:pStyle w:val="Normal"/>
        <w:numPr>
          <w:ilvl w:val="0"/>
          <w:numId w:val="1"/>
        </w:numPr>
      </w:pPr>
      <w:r>
        <w:rPr>
          <w:rFonts w:ascii="Arial" w:hAnsi="Arial"/>
          <w:sz w:val="21"/>
          <w:szCs w:val="21"/>
        </w:rPr>
        <w:t xml:space="preserve">Reject unsupported model features and missing required receipts before execution. Do not silently fall back.</w:t>
      </w:r>
    </w:p>
    <w:p>
      <w:pPr>
        <w:pageBreakBefore/>
      </w:pPr>
    </w:p>
    <w:p>
      <w:pPr>
        <w:pStyle w:val="Heading1"/>
      </w:pPr>
      <w:r>
        <w:rPr>
          <w:rFonts w:ascii="Arial" w:hAnsi="Arial"/>
          <w:sz w:val="21"/>
          <w:szCs w:val="21"/>
        </w:rPr>
        <w:t xml:space="preserve">16 Verification and test strategy</w:t>
      </w:r>
    </w:p>
    <w:p>
      <w:pPr>
        <w:pStyle w:val="Normal"/>
      </w:pPr>
      <w:r>
        <w:rPr>
          <w:rFonts w:ascii="Arial" w:hAnsi="Arial"/>
          <w:sz w:val="21"/>
          <w:szCs w:val="21"/>
        </w:rPr>
        <w:t xml:space="preserve">Verification is not a final hardening step. It is the mechanism that lets the team add performance and model coverage without losing the identity guarantees that differentiate Knolo Infer.</w:t>
      </w: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tblHeader/>
        </w:trPr>
        <w:tc>
          <w:tcPr>
            <w:tcW w:w="312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Test layer</w:t>
            </w:r>
          </w:p>
        </w:tc>
        <w:tc>
          <w:tcPr>
            <w:tcW w:w="312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What it proves</w:t>
            </w:r>
          </w:p>
        </w:tc>
        <w:tc>
          <w:tcPr>
            <w:tcW w:w="312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When it starts</w:t>
            </w:r>
          </w:p>
        </w:tc>
      </w:tr>
      <w:tr>
        <w:trPr/>
        <w:tc>
          <w:tcPr>
            <w:tcW w:w="312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Contract conformance</w:t>
            </w:r>
          </w:p>
        </w:tc>
        <w:tc>
          <w:tcPr>
            <w:tcW w:w="312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Canonical encoding, roots, fixed-point fields, versioning, rejection behavior, Rust/TypeScript parity</w:t>
            </w:r>
          </w:p>
        </w:tc>
        <w:tc>
          <w:tcPr>
            <w:tcW w:w="312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Phase 0</w:t>
            </w:r>
          </w:p>
        </w:tc>
      </w:tr>
      <w:tr>
        <w:trPr/>
        <w:tc>
          <w:tcPr>
            <w:tcW w:w="312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Micro-model conformance</w:t>
            </w:r>
          </w:p>
        </w:tc>
        <w:tc>
          <w:tcPr>
            <w:tcW w:w="312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Exact tensor shapes, logits, tokenization, sampling, receipts, and replay on a tiny fixture</w:t>
            </w:r>
          </w:p>
        </w:tc>
        <w:tc>
          <w:tcPr>
            <w:tcW w:w="312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Phase 1</w:t>
            </w:r>
          </w:p>
        </w:tc>
      </w:tr>
      <w:tr>
        <w:trPr/>
        <w:tc>
          <w:tcPr>
            <w:tcW w:w="312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Real-model correctness</w:t>
            </w:r>
          </w:p>
        </w:tc>
        <w:tc>
          <w:tcPr>
            <w:tcW w:w="312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Dense and later MoE adapter output against trusted reference values and tolerance rules</w:t>
            </w:r>
          </w:p>
        </w:tc>
        <w:tc>
          <w:tcPr>
            <w:tcW w:w="312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Phase 1 onward</w:t>
            </w:r>
          </w:p>
        </w:tc>
      </w:tr>
      <w:tr>
        <w:trPr/>
        <w:tc>
          <w:tcPr>
            <w:tcW w:w="312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Artifact corruption</w:t>
            </w:r>
          </w:p>
        </w:tc>
        <w:tc>
          <w:tcPr>
            <w:tcW w:w="312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Truncated, oversized, malformed, duplicate, mis-rooted, and unsupported metadata fails closed</w:t>
            </w:r>
          </w:p>
        </w:tc>
        <w:tc>
          <w:tcPr>
            <w:tcW w:w="312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Phase 0 onward</w:t>
            </w:r>
          </w:p>
        </w:tc>
      </w:tr>
      <w:tr>
        <w:trPr/>
        <w:tc>
          <w:tcPr>
            <w:tcW w:w="312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Runtime resilience</w:t>
            </w:r>
          </w:p>
        </w:tc>
        <w:tc>
          <w:tcPr>
            <w:tcW w:w="312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Worker crash, CUDA OOM, cancellation, disconnect, drain, restart, and journal recovery</w:t>
            </w:r>
          </w:p>
        </w:tc>
        <w:tc>
          <w:tcPr>
            <w:tcW w:w="312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Phase 3</w:t>
            </w:r>
          </w:p>
        </w:tc>
      </w:tr>
      <w:tr>
        <w:trPr/>
        <w:tc>
          <w:tcPr>
            <w:tcW w:w="312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Performance benchmarks</w:t>
            </w:r>
          </w:p>
        </w:tc>
        <w:tc>
          <w:tcPr>
            <w:tcW w:w="312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Prefill/decode latency, throughput, memory, batch scaling, cache behavior, and placement tradeoffs</w:t>
            </w:r>
          </w:p>
        </w:tc>
        <w:tc>
          <w:tcPr>
            <w:tcW w:w="312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Phase 2 onward</w:t>
            </w:r>
          </w:p>
        </w:tc>
      </w:tr>
      <w:tr>
        <w:trPr/>
        <w:tc>
          <w:tcPr>
            <w:tcW w:w="312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Fuzzing</w:t>
            </w:r>
          </w:p>
        </w:tc>
        <w:tc>
          <w:tcPr>
            <w:tcW w:w="312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Canonical CBOR, .kmodel, GGUF, prompt/template boundaries, and IPC framing do not panic or bypass limits</w:t>
            </w:r>
          </w:p>
        </w:tc>
        <w:tc>
          <w:tcPr>
            <w:tcW w:w="312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Phase 0/4</w:t>
            </w:r>
          </w:p>
        </w:tc>
      </w:tr>
      <w:tr>
        <w:trPr/>
        <w:tc>
          <w:tcPr>
            <w:tcW w:w="312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Security and supply chain</w:t>
            </w:r>
          </w:p>
        </w:tc>
        <w:tc>
          <w:tcPr>
            <w:tcW w:w="312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SBOM, NOTICE, signature verification, remote-code prohibition, redacted logs, and sandbox boundaries</w:t>
            </w:r>
          </w:p>
        </w:tc>
        <w:tc>
          <w:tcPr>
            <w:tcW w:w="312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Phase 0 onward</w:t>
            </w:r>
          </w:p>
        </w:tc>
      </w:tr>
    </w:tbl>
    <w:p>
      <w:pPr>
        <w:spacing w:after="80"/>
      </w:pPr>
    </w:p>
    <w:p>
      <w:pPr>
        <w:pStyle w:val="Heading2"/>
      </w:pPr>
      <w:r>
        <w:rPr>
          <w:rFonts w:ascii="Arial" w:hAnsi="Arial"/>
          <w:sz w:val="21"/>
          <w:szCs w:val="21"/>
        </w:rPr>
        <w:t xml:space="preserve">Benchmark policy</w:t>
      </w:r>
    </w:p>
    <w:p>
      <w:pPr>
        <w:pStyle w:val="Normal"/>
      </w:pPr>
      <w:r>
        <w:rPr>
          <w:rFonts w:ascii="Arial" w:hAnsi="Arial"/>
          <w:sz w:val="21"/>
          <w:szCs w:val="21"/>
        </w:rPr>
        <w:t xml:space="preserve">Benchmark at fixed context lengths, output lengths, concurrency levels, model sizes, quantization levels, and placement recipes. Record warm and cold behavior separately. Report tokens per second, time to first token, inter-token latency, peak memory, admission failures, cancellation latency, and receipt assurance. Every benchmark must name the exact model runtime root, engine build root, kernel bundle root, hardware probe class, and commit.</w:t>
      </w:r>
    </w:p>
    <w:p>
      <w:pPr>
        <w:pStyle w:val="Heading2"/>
      </w:pPr>
      <w:r>
        <w:rPr>
          <w:rFonts w:ascii="Arial" w:hAnsi="Arial"/>
          <w:sz w:val="21"/>
          <w:szCs w:val="21"/>
        </w:rPr>
        <w:t xml:space="preserve">Replay and assurance modes</w:t>
      </w:r>
    </w:p>
    <w:p>
      <w:pPr>
        <w:pStyle w:val="Normal"/>
        <w:numPr>
          <w:ilvl w:val="0"/>
          <w:numId w:val="1"/>
        </w:numPr>
      </w:pPr>
      <w:r>
        <w:rPr>
          <w:rFonts w:ascii="Arial" w:hAnsi="Arial"/>
          <w:b/>
          <w:sz w:val="21"/>
          <w:szCs w:val="21"/>
        </w:rPr>
        <w:t xml:space="preserve">Throughput:</w:t>
      </w:r>
      <w:r>
        <w:rPr>
          <w:rFonts w:ascii="Arial" w:hAnsi="Arial"/>
          <w:sz w:val="21"/>
          <w:szCs w:val="21"/>
        </w:rPr>
        <w:t xml:space="preserve"> optimized serving with full identity receipts; output equality is not promised beyond the defined runtime guarantees.</w:t>
      </w:r>
    </w:p>
    <w:p>
      <w:pPr>
        <w:pStyle w:val="Normal"/>
        <w:numPr>
          <w:ilvl w:val="0"/>
          <w:numId w:val="1"/>
        </w:numPr>
      </w:pPr>
      <w:r>
        <w:rPr>
          <w:rFonts w:ascii="Arial" w:hAnsi="Arial"/>
          <w:b/>
          <w:sz w:val="21"/>
          <w:szCs w:val="21"/>
        </w:rPr>
        <w:t xml:space="preserve">Pinned:</w:t>
      </w:r>
      <w:r>
        <w:rPr>
          <w:rFonts w:ascii="Arial" w:hAnsi="Arial"/>
          <w:sz w:val="21"/>
          <w:szCs w:val="21"/>
        </w:rPr>
        <w:t xml:space="preserve"> fixed artifacts, plan, sampler, and execution inputs with reproducibility expectations recorded in the receipt.</w:t>
      </w:r>
    </w:p>
    <w:p>
      <w:pPr>
        <w:pStyle w:val="Normal"/>
        <w:numPr>
          <w:ilvl w:val="0"/>
          <w:numId w:val="1"/>
        </w:numPr>
      </w:pPr>
      <w:r>
        <w:rPr>
          <w:rFonts w:ascii="Arial" w:hAnsi="Arial"/>
          <w:b/>
          <w:sz w:val="21"/>
          <w:szCs w:val="21"/>
        </w:rPr>
        <w:t xml:space="preserve">Isolated replay:</w:t>
      </w:r>
      <w:r>
        <w:rPr>
          <w:rFonts w:ascii="Arial" w:hAnsi="Arial"/>
          <w:sz w:val="21"/>
          <w:szCs w:val="21"/>
        </w:rPr>
        <w:t xml:space="preserve"> one request, pinned build and plan, controlled hardware/runtime conditions, and the strongest available replay check.</w:t>
      </w:r>
    </w:p>
    <w:p>
      <w:pPr>
        <w:pageBreakBefore/>
      </w:pPr>
    </w:p>
    <w:p>
      <w:pPr>
        <w:pStyle w:val="Heading1"/>
      </w:pPr>
      <w:r>
        <w:rPr>
          <w:rFonts w:ascii="Arial" w:hAnsi="Arial"/>
          <w:sz w:val="21"/>
          <w:szCs w:val="21"/>
        </w:rPr>
        <w:t xml:space="preserve">17 Risk register and mitigations</w:t>
      </w: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00"/>
        <w:gridCol w:w="2600"/>
        <w:gridCol w:w="3300"/>
        <w:gridCol w:w="1560"/>
      </w:tblGrid>
      <w:tr>
        <w:trPr>
          <w:tblHeader/>
        </w:trPr>
        <w:tc>
          <w:tcPr>
            <w:tcW w:w="190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Risk</w:t>
            </w:r>
          </w:p>
        </w:tc>
        <w:tc>
          <w:tcPr>
            <w:tcW w:w="260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Impact</w:t>
            </w:r>
          </w:p>
        </w:tc>
        <w:tc>
          <w:tcPr>
            <w:tcW w:w="330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Mitigation</w:t>
            </w:r>
          </w:p>
        </w:tc>
        <w:tc>
          <w:tcPr>
            <w:tcW w:w="156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Trigger for escalation</w:t>
            </w:r>
          </w:p>
        </w:tc>
      </w:tr>
      <w:tr>
        <w:trPr/>
        <w:tc>
          <w:tcPr>
            <w:tcW w:w="19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Contract ambiguity spreads into multiple crates</w:t>
            </w:r>
          </w:p>
        </w:tc>
        <w:tc>
          <w:tcPr>
            <w:tcW w:w="26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Incompatible roots and costly rewrites</w:t>
            </w:r>
          </w:p>
        </w:tc>
        <w:tc>
          <w:tcPr>
            <w:tcW w:w="33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Phase 0 freeze, golden vectors, and change control for public schemas</w:t>
            </w:r>
          </w:p>
        </w:tc>
        <w:tc>
          <w:tcPr>
            <w:tcW w:w="156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Two implementations disagree on a root or default</w:t>
            </w:r>
          </w:p>
        </w:tc>
      </w:tr>
      <w:tr>
        <w:trPr/>
        <w:tc>
          <w:tcPr>
            <w:tcW w:w="19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Prompt interpretation is not pinned</w:t>
            </w:r>
          </w:p>
        </w:tc>
        <w:tc>
          <w:tcPr>
            <w:tcW w:w="26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Same text produces different model input; receipts are not meaningful</w:t>
            </w:r>
          </w:p>
        </w:tc>
        <w:tc>
          <w:tcPr>
            <w:tcW w:w="33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Embed or pin tokenizer/template/special tokens in .kmodel; root exact token IDs</w:t>
            </w:r>
          </w:p>
        </w:tc>
        <w:tc>
          <w:tcPr>
            <w:tcW w:w="156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Any request relies on unrecorded defaults</w:t>
            </w:r>
          </w:p>
        </w:tc>
      </w:tr>
      <w:tr>
        <w:trPr/>
        <w:tc>
          <w:tcPr>
            <w:tcW w:w="19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CUDA optimization outruns correctness</w:t>
            </w:r>
          </w:p>
        </w:tc>
        <w:tc>
          <w:tcPr>
            <w:tcW w:w="26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Fast but untrusted output and hard-to-debug regressions</w:t>
            </w:r>
          </w:p>
        </w:tc>
        <w:tc>
          <w:tcPr>
            <w:tcW w:w="33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CPU reference oracle, tolerance suite, separate kernel roots, feature flags</w:t>
            </w:r>
          </w:p>
        </w:tc>
        <w:tc>
          <w:tcPr>
            <w:tcW w:w="156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GPU output cannot be explained by a conformance fixture</w:t>
            </w:r>
          </w:p>
        </w:tc>
      </w:tr>
      <w:tr>
        <w:trPr/>
        <w:tc>
          <w:tcPr>
            <w:tcW w:w="19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KV cache leaks memory or tenant state</w:t>
            </w:r>
          </w:p>
        </w:tc>
        <w:tc>
          <w:tcPr>
            <w:tcW w:w="26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Instability or cross-tenant information exposure</w:t>
            </w:r>
          </w:p>
        </w:tc>
        <w:tc>
          <w:tcPr>
            <w:tcW w:w="33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Fixed pages, transactional allocation, namespace-scoped prefix cache, soak tests</w:t>
            </w:r>
          </w:p>
        </w:tc>
        <w:tc>
          <w:tcPr>
            <w:tcW w:w="156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Peak memory exceeds planner bounds or cache keys omit a root</w:t>
            </w:r>
          </w:p>
        </w:tc>
      </w:tr>
      <w:tr>
        <w:trPr/>
        <w:tc>
          <w:tcPr>
            <w:tcW w:w="19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Third-party runtime becomes an accidental dependency</w:t>
            </w:r>
          </w:p>
        </w:tc>
        <w:tc>
          <w:tcPr>
            <w:tcW w:w="26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Product identity and verification boundary collapse</w:t>
            </w:r>
          </w:p>
        </w:tc>
        <w:tc>
          <w:tcPr>
            <w:tcW w:w="33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Explicit compatibility interface, named backend, lower assurance class, no silent fallback</w:t>
            </w:r>
          </w:p>
        </w:tc>
        <w:tc>
          <w:tcPr>
            <w:tcW w:w="156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Native path cannot run without external model server</w:t>
            </w:r>
          </w:p>
        </w:tc>
      </w:tr>
      <w:tr>
        <w:trPr/>
        <w:tc>
          <w:tcPr>
            <w:tcW w:w="19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MoE or GLM-5.3 expands first-release scope</w:t>
            </w:r>
          </w:p>
        </w:tc>
        <w:tc>
          <w:tcPr>
            <w:tcW w:w="26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Release slips while foundation remains unproven</w:t>
            </w:r>
          </w:p>
        </w:tc>
        <w:tc>
          <w:tcPr>
            <w:tcW w:w="33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Separate release train; promote only by explicit decision</w:t>
            </w:r>
          </w:p>
        </w:tc>
        <w:tc>
          <w:tcPr>
            <w:tcW w:w="156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New model support is requested before Phase 5 gate</w:t>
            </w:r>
          </w:p>
        </w:tc>
      </w:tr>
      <w:tr>
        <w:trPr/>
        <w:tc>
          <w:tcPr>
            <w:tcW w:w="19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Worker fault takes down supervisor</w:t>
            </w:r>
          </w:p>
        </w:tc>
        <w:tc>
          <w:tcPr>
            <w:tcW w:w="26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Service-wide outage and incomplete receipts</w:t>
            </w:r>
          </w:p>
        </w:tc>
        <w:tc>
          <w:tcPr>
            <w:tcW w:w="33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Process boundary, journal, heartbeat, drain/restart, crash tests</w:t>
            </w:r>
          </w:p>
        </w:tc>
        <w:tc>
          <w:tcPr>
            <w:tcW w:w="156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Any model fault terminates the API process</w:t>
            </w:r>
          </w:p>
        </w:tc>
      </w:tr>
      <w:tr>
        <w:trPr/>
        <w:tc>
          <w:tcPr>
            <w:tcW w:w="19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Artifact parser accepts unsafe input</w:t>
            </w:r>
          </w:p>
        </w:tc>
        <w:tc>
          <w:tcPr>
            <w:tcW w:w="26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Supply-chain compromise or resource exhaustion</w:t>
            </w:r>
          </w:p>
        </w:tc>
        <w:tc>
          <w:tcPr>
            <w:tcW w:w="33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Bounded parsers, allowlists, digest verification, fuzzing, no remote code</w:t>
            </w:r>
          </w:p>
        </w:tc>
        <w:tc>
          <w:tcPr>
            <w:tcW w:w="156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Parser uses unbounded allocation or executes repository code</w:t>
            </w:r>
          </w:p>
        </w:tc>
      </w:tr>
    </w:tbl>
    <w:p>
      <w:pPr>
        <w:spacing w:after="80"/>
      </w:pPr>
    </w:p>
    <w:p>
      <w:pPr>
        <w:pStyle w:val="Heading1"/>
      </w:pPr>
      <w:r>
        <w:rPr>
          <w:rFonts w:ascii="Arial" w:hAnsi="Arial"/>
          <w:sz w:val="21"/>
          <w:szCs w:val="21"/>
        </w:rPr>
        <w:t xml:space="preserve">18 Initial implementation queue</w:t>
      </w:r>
    </w:p>
    <w:p>
      <w:pPr>
        <w:pStyle w:val="Normal"/>
      </w:pPr>
      <w:r>
        <w:rPr>
          <w:rFonts w:ascii="Arial" w:hAnsi="Arial"/>
          <w:sz w:val="21"/>
          <w:szCs w:val="21"/>
        </w:rPr>
        <w:t xml:space="preserve">These are the first issues to create and order. The order intentionally starts with identity and rejection behavior before performance work.</w:t>
      </w:r>
    </w:p>
    <w:p>
      <w:pPr>
        <w:pStyle w:val="Normal"/>
        <w:numPr>
          <w:ilvl w:val="0"/>
          <w:numId w:val="2"/>
        </w:numPr>
      </w:pPr>
      <w:r>
        <w:rPr>
          <w:rFonts w:ascii="Arial" w:hAnsi="Arial"/>
          <w:sz w:val="21"/>
          <w:szCs w:val="21"/>
        </w:rPr>
        <w:t xml:space="preserve">Specify canonical Infer CBOR and domain-separated digest rules.</w:t>
      </w:r>
    </w:p>
    <w:p>
      <w:pPr>
        <w:pStyle w:val="Normal"/>
        <w:numPr>
          <w:ilvl w:val="0"/>
          <w:numId w:val="2"/>
        </w:numPr>
      </w:pPr>
      <w:r>
        <w:rPr>
          <w:rFonts w:ascii="Arial" w:hAnsi="Arial"/>
          <w:sz w:val="21"/>
          <w:szCs w:val="21"/>
        </w:rPr>
        <w:t xml:space="preserve">Define ModelImageV1, ModelArtifactSetV1, PromptPlanV1, PlacementPlanV1, and InferenceReceiptV1.</w:t>
      </w:r>
    </w:p>
    <w:p>
      <w:pPr>
        <w:pStyle w:val="Normal"/>
        <w:numPr>
          <w:ilvl w:val="0"/>
          <w:numId w:val="2"/>
        </w:numPr>
      </w:pPr>
      <w:r>
        <w:rPr>
          <w:rFonts w:ascii="Arial" w:hAnsi="Arial"/>
          <w:sz w:val="21"/>
          <w:szCs w:val="21"/>
        </w:rPr>
        <w:t xml:space="preserve">Generate Rust and TypeScript golden vectors, including malformed cases.</w:t>
      </w:r>
    </w:p>
    <w:p>
      <w:pPr>
        <w:pStyle w:val="Normal"/>
        <w:numPr>
          <w:ilvl w:val="0"/>
          <w:numId w:val="2"/>
        </w:numPr>
      </w:pPr>
      <w:r>
        <w:rPr>
          <w:rFonts w:ascii="Arial" w:hAnsi="Arial"/>
          <w:sz w:val="21"/>
          <w:szCs w:val="21"/>
        </w:rPr>
        <w:t xml:space="preserve">Write the threat model and compatibility-backend policy.</w:t>
      </w:r>
    </w:p>
    <w:p>
      <w:pPr>
        <w:pStyle w:val="Normal"/>
        <w:numPr>
          <w:ilvl w:val="0"/>
          <w:numId w:val="2"/>
        </w:numPr>
      </w:pPr>
      <w:r>
        <w:rPr>
          <w:rFonts w:ascii="Arial" w:hAnsi="Arial"/>
          <w:sz w:val="21"/>
          <w:szCs w:val="21"/>
        </w:rPr>
        <w:t xml:space="preserve">Build the .kmodel compiler/verifier and infer-local lockfile.</w:t>
      </w:r>
    </w:p>
    <w:p>
      <w:pPr>
        <w:pStyle w:val="Normal"/>
        <w:numPr>
          <w:ilvl w:val="0"/>
          <w:numId w:val="2"/>
        </w:numPr>
      </w:pPr>
      <w:r>
        <w:rPr>
          <w:rFonts w:ascii="Arial" w:hAnsi="Arial"/>
          <w:sz w:val="21"/>
          <w:szCs w:val="21"/>
        </w:rPr>
        <w:t xml:space="preserve">Create the micro-transformer and reference logits fixture.</w:t>
      </w:r>
    </w:p>
    <w:p>
      <w:pPr>
        <w:pStyle w:val="Normal"/>
        <w:numPr>
          <w:ilvl w:val="0"/>
          <w:numId w:val="2"/>
        </w:numPr>
      </w:pPr>
      <w:r>
        <w:rPr>
          <w:rFonts w:ascii="Arial" w:hAnsi="Arial"/>
          <w:sz w:val="21"/>
          <w:szCs w:val="21"/>
        </w:rPr>
        <w:t xml:space="preserve">Implement the CPU tensor/model traits, safetensors loader, prompt compiler, and sampler.</w:t>
      </w:r>
    </w:p>
    <w:p>
      <w:pPr>
        <w:pStyle w:val="Normal"/>
        <w:numPr>
          <w:ilvl w:val="0"/>
          <w:numId w:val="2"/>
        </w:numPr>
      </w:pPr>
      <w:r>
        <w:rPr>
          <w:rFonts w:ascii="Arial" w:hAnsi="Arial"/>
          <w:sz w:val="21"/>
          <w:szCs w:val="21"/>
        </w:rPr>
        <w:t xml:space="preserve">Implement the CPU receipt path and local CLI.</w:t>
      </w:r>
    </w:p>
    <w:p>
      <w:pPr>
        <w:pStyle w:val="Normal"/>
        <w:numPr>
          <w:ilvl w:val="0"/>
          <w:numId w:val="2"/>
        </w:numPr>
      </w:pPr>
      <w:r>
        <w:rPr>
          <w:rFonts w:ascii="Arial" w:hAnsi="Arial"/>
          <w:sz w:val="21"/>
          <w:szCs w:val="21"/>
        </w:rPr>
        <w:t xml:space="preserve">Add hardware probe, placement estimator, and Candle CUDA backend.</w:t>
      </w:r>
    </w:p>
    <w:p>
      <w:pPr>
        <w:pStyle w:val="Normal"/>
        <w:numPr>
          <w:ilvl w:val="0"/>
          <w:numId w:val="2"/>
        </w:numPr>
      </w:pPr>
      <w:r>
        <w:rPr>
          <w:rFonts w:ascii="Arial" w:hAnsi="Arial"/>
          <w:sz w:val="21"/>
          <w:szCs w:val="21"/>
        </w:rPr>
        <w:t xml:space="preserve">Implement worker IPC, supervisor lifecycle, paged KV allocator, scheduler, and native streaming.</w:t>
      </w:r>
    </w:p>
    <w:p>
      <w:pPr>
        <w:pStyle w:val="Normal"/>
        <w:numPr>
          <w:ilvl w:val="0"/>
          <w:numId w:val="2"/>
        </w:numPr>
      </w:pPr>
      <w:r>
        <w:rPr>
          <w:rFonts w:ascii="Arial" w:hAnsi="Arial"/>
          <w:sz w:val="21"/>
          <w:szCs w:val="21"/>
        </w:rPr>
        <w:t xml:space="preserve">Add bounded GGUF parsing and selected quantized execution.</w:t>
      </w:r>
    </w:p>
    <w:p>
      <w:pPr>
        <w:pStyle w:val="Normal"/>
        <w:numPr>
          <w:ilvl w:val="0"/>
          <w:numId w:val="2"/>
        </w:numPr>
      </w:pPr>
      <w:r>
        <w:rPr>
          <w:rFonts w:ascii="Arial" w:hAnsi="Arial"/>
          <w:sz w:val="21"/>
          <w:szCs w:val="21"/>
        </w:rPr>
        <w:t xml:space="preserve">Implement @knolo/infer and the Core/Reflex/Agents/Hub receipt-chain demo.</w:t>
      </w:r>
    </w:p>
    <w:p>
      <w:pPr>
        <w:pageBreakBefore/>
      </w:pPr>
    </w:p>
    <w:p>
      <w:pPr>
        <w:pStyle w:val="Heading1"/>
      </w:pPr>
      <w:r>
        <w:rPr>
          <w:rFonts w:ascii="Arial" w:hAnsi="Arial"/>
          <w:sz w:val="21"/>
          <w:szCs w:val="21"/>
        </w:rPr>
        <w:t xml:space="preserve">19 Definition of done for the first native release</w:t>
      </w:r>
    </w:p>
    <w:p>
      <w:pPr>
        <w:pStyle w:val="Normal"/>
      </w:pPr>
      <w:r>
        <w:rPr>
          <w:rFonts w:ascii="Arial" w:hAnsi="Arial"/>
          <w:sz w:val="21"/>
          <w:szCs w:val="21"/>
        </w:rPr>
        <w:t xml:space="preserve">The release is complete only when all of the following are true:</w:t>
      </w: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tblHeader/>
        </w:trPr>
        <w:tc>
          <w:tcPr>
            <w:tcW w:w="468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Area</w:t>
            </w:r>
          </w:p>
        </w:tc>
        <w:tc>
          <w:tcPr>
            <w:tcW w:w="468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Done means</w:t>
            </w:r>
          </w:p>
        </w:tc>
      </w:tr>
      <w:tr>
        <w:trPr/>
        <w:tc>
          <w:tcPr>
            <w:tcW w:w="468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Contracts</w:t>
            </w:r>
          </w:p>
        </w:tc>
        <w:tc>
          <w:tcPr>
            <w:tcW w:w="468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Versioned canonical contracts, roots, receipt verification, and Rust/TypeScript golden vectors are stable and tested.</w:t>
            </w:r>
          </w:p>
        </w:tc>
      </w:tr>
      <w:tr>
        <w:trPr/>
        <w:tc>
          <w:tcPr>
            <w:tcW w:w="468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Artifacts</w:t>
            </w:r>
          </w:p>
        </w:tc>
        <w:tc>
          <w:tcPr>
            <w:tcW w:w="468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.kmodel and weight artifacts verify by exact bytes, sizes, normalized paths, and digests. Missing or corrupted inputs fail closed.</w:t>
            </w:r>
          </w:p>
        </w:tc>
      </w:tr>
      <w:tr>
        <w:trPr/>
        <w:tc>
          <w:tcPr>
            <w:tcW w:w="468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Prompt</w:t>
            </w:r>
          </w:p>
        </w:tc>
        <w:tc>
          <w:tcPr>
            <w:tcW w:w="468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Messages, tools, evidence context, tokenizer, template, special tokens, rendered bytes, and exact token IDs are rooted.</w:t>
            </w:r>
          </w:p>
        </w:tc>
      </w:tr>
      <w:tr>
        <w:trPr/>
        <w:tc>
          <w:tcPr>
            <w:tcW w:w="468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Native runtime</w:t>
            </w:r>
          </w:p>
        </w:tc>
        <w:tc>
          <w:tcPr>
            <w:tcW w:w="468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CPU reference and first-party CUDA execution run without llama.cpp, Ollama, mistral.rs, Python, or another model server.</w:t>
            </w:r>
          </w:p>
        </w:tc>
      </w:tr>
      <w:tr>
        <w:trPr/>
        <w:tc>
          <w:tcPr>
            <w:tcW w:w="468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Serving</w:t>
            </w:r>
          </w:p>
        </w:tc>
        <w:tc>
          <w:tcPr>
            <w:tcW w:w="468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Supervisor/worker isolation, bounded IPC, request journal, cancellation, streaming, health, drain, restart, paging, and continuous batching work under test.</w:t>
            </w:r>
          </w:p>
        </w:tc>
      </w:tr>
      <w:tr>
        <w:trPr/>
        <w:tc>
          <w:tcPr>
            <w:tcW w:w="468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Numerics</w:t>
            </w:r>
          </w:p>
        </w:tc>
        <w:tc>
          <w:tcPr>
            <w:tcW w:w="468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CPU/GPU tolerance and quantized behavior are documented; any approximation or alternate cache representation is explicit in the plan and receipt.</w:t>
            </w:r>
          </w:p>
        </w:tc>
      </w:tr>
      <w:tr>
        <w:trPr/>
        <w:tc>
          <w:tcPr>
            <w:tcW w:w="468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Integrations</w:t>
            </w:r>
          </w:p>
        </w:tc>
        <w:tc>
          <w:tcPr>
            <w:tcW w:w="468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@knolo/infer, Core/Reflex binding, Agents policy, Hub metadata, and the end-to-end receipt chain are usable.</w:t>
            </w:r>
          </w:p>
        </w:tc>
      </w:tr>
      <w:tr>
        <w:trPr/>
        <w:tc>
          <w:tcPr>
            <w:tcW w:w="468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Security</w:t>
            </w:r>
          </w:p>
        </w:tc>
        <w:tc>
          <w:tcPr>
            <w:tcW w:w="468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No arbitrary model code executes. Fuzzing, corruption, crash/OOM, SBOM, NOTICE, signatures, and redacted logs are complete.</w:t>
            </w:r>
          </w:p>
        </w:tc>
      </w:tr>
      <w:tr>
        <w:trPr/>
        <w:tc>
          <w:tcPr>
            <w:tcW w:w="468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Operations</w:t>
            </w:r>
          </w:p>
        </w:tc>
        <w:tc>
          <w:tcPr>
            <w:tcW w:w="468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Model support levels, error codes, observability, benchmark reports, support profiles, and rollback procedures are documented.</w:t>
            </w:r>
          </w:p>
        </w:tc>
      </w:tr>
    </w:tbl>
    <w:p>
      <w:pPr>
        <w:spacing w:after="80"/>
      </w:pPr>
    </w:p>
    <w:p>
      <w:pPr>
        <w:pStyle w:val="Heading2"/>
      </w:pPr>
      <w:r>
        <w:rPr>
          <w:rFonts w:ascii="Arial" w:hAnsi="Arial"/>
          <w:sz w:val="21"/>
          <w:szCs w:val="21"/>
        </w:rPr>
        <w:t xml:space="preserve">Release acceptance scenario</w:t>
      </w:r>
    </w:p>
    <w:p>
      <w:pPr>
        <w:pStyle w:val="Normal"/>
      </w:pPr>
      <w:r>
        <w:rPr>
          <w:rFonts w:ascii="Arial" w:hAnsi="Arial"/>
          <w:sz w:val="21"/>
          <w:szCs w:val="21"/>
        </w:rPr>
        <w:t xml:space="preserve">A developer verifies and pins a .kmodel, pulls its exact weights, plans a supported workstation placement, starts </w:t>
      </w:r>
      <w:r>
        <w:rPr>
          <w:rFonts w:ascii="Arial" w:hAnsi="Arial"/>
          <w:b/>
          <w:sz w:val="21"/>
          <w:szCs w:val="21"/>
        </w:rPr>
        <w:t xml:space="preserve">knolo-inferd</w:t>
      </w:r>
      <w:r>
        <w:rPr>
          <w:rFonts w:ascii="Arial" w:hAnsi="Arial"/>
          <w:sz w:val="21"/>
          <w:szCs w:val="21"/>
        </w:rPr>
        <w:t xml:space="preserve">, sends a Knowledge Image-bound request, receives streamed output, and then verifies the final receipt on another machine with the same pins. The receipt must show the model runtime root, artifact root, engine build root, kernel bundle root, placement root, prompt token root, Knowledge Image root, query and Reflex receipt IDs, output token root, output text root, and assurance class.</w:t>
      </w:r>
    </w:p>
    <w:p>
      <w:pPr>
        <w:pageBreakBefore/>
      </w:pPr>
    </w:p>
    <w:p>
      <w:pPr>
        <w:pStyle w:val="Heading1"/>
      </w:pPr>
      <w:r>
        <w:rPr>
          <w:rFonts w:ascii="Arial" w:hAnsi="Arial"/>
          <w:sz w:val="21"/>
          <w:szCs w:val="21"/>
        </w:rPr>
        <w:t xml:space="preserve">20 Decision log</w:t>
      </w:r>
    </w:p>
    <w:tbl>
      <w:tblPr>
        <w:tblW w:w="9360"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0"/>
        <w:gridCol w:w="2500"/>
        <w:gridCol w:w="3300"/>
        <w:gridCol w:w="3060"/>
      </w:tblGrid>
      <w:tr>
        <w:trPr>
          <w:tblHeader/>
        </w:trPr>
        <w:tc>
          <w:tcPr>
            <w:tcW w:w="50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ID</w:t>
            </w:r>
          </w:p>
        </w:tc>
        <w:tc>
          <w:tcPr>
            <w:tcW w:w="250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Decision</w:t>
            </w:r>
          </w:p>
        </w:tc>
        <w:tc>
          <w:tcPr>
            <w:tcW w:w="330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Recommendation</w:t>
            </w:r>
          </w:p>
        </w:tc>
        <w:tc>
          <w:tcPr>
            <w:tcW w:w="3060" w:type="dxa"/>
            <w:shd w:val="clear" w:fill="1F4E79"/>
            <w:tcMar>
              <w:top w:w="95" w:type="dxa"/>
              <w:left w:w="105" w:type="dxa"/>
              <w:bottom w:w="95" w:type="dxa"/>
              <w:right w:w="105" w:type="dxa"/>
            </w:tcMar>
            <w:vAlign w:val="center"/>
          </w:tcPr>
          <w:p>
            <w:pPr>
              <w:pStyle w:val="TableText"/>
            </w:pPr>
            <w:r>
              <w:rPr>
                <w:rFonts w:ascii="Arial" w:hAnsi="Arial"/>
                <w:b/>
                <w:sz w:val="21"/>
                <w:szCs w:val="21"/>
              </w:rPr>
              <w:t xml:space="preserve">When to revisit</w:t>
            </w:r>
          </w:p>
        </w:tc>
      </w:tr>
      <w:tr>
        <w:trPr/>
        <w:tc>
          <w:tcPr>
            <w:tcW w:w="5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1</w:t>
            </w:r>
          </w:p>
        </w:tc>
        <w:tc>
          <w:tcPr>
            <w:tcW w:w="25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Where inference lives</w:t>
            </w:r>
          </w:p>
        </w:tc>
        <w:tc>
          <w:tcPr>
            <w:tcW w:w="33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Keep inference outside @knolo/core; expose a host-owned @knolo/infer surface and Agents effect.</w:t>
            </w:r>
          </w:p>
        </w:tc>
        <w:tc>
          <w:tcPr>
            <w:tcW w:w="306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Only with a cross-product architecture review.</w:t>
            </w:r>
          </w:p>
        </w:tc>
      </w:tr>
      <w:tr>
        <w:trPr/>
        <w:tc>
          <w:tcPr>
            <w:tcW w:w="5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2</w:t>
            </w:r>
          </w:p>
        </w:tc>
        <w:tc>
          <w:tcPr>
            <w:tcW w:w="25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What counts as native</w:t>
            </w:r>
          </w:p>
        </w:tc>
        <w:tc>
          <w:tcPr>
            <w:tcW w:w="33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Knolo owns artifact loading, model graph, tokenization, prompt compilation, KV, scheduling, sampling, placement, and receipts. External runtimes remain compatibility backends.</w:t>
            </w:r>
          </w:p>
        </w:tc>
        <w:tc>
          <w:tcPr>
            <w:tcW w:w="306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When a new backend is proposed.</w:t>
            </w:r>
          </w:p>
        </w:tc>
      </w:tr>
      <w:tr>
        <w:trPr/>
        <w:tc>
          <w:tcPr>
            <w:tcW w:w="5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3</w:t>
            </w:r>
          </w:p>
        </w:tc>
        <w:tc>
          <w:tcPr>
            <w:tcW w:w="25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Contract numeric representation</w:t>
            </w:r>
          </w:p>
        </w:tc>
        <w:tc>
          <w:tcPr>
            <w:tcW w:w="33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Use fixed-point integers in rooted contracts; convert only after verification.</w:t>
            </w:r>
          </w:p>
        </w:tc>
        <w:tc>
          <w:tcPr>
            <w:tcW w:w="306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Only with a new contract major version.</w:t>
            </w:r>
          </w:p>
        </w:tc>
      </w:tr>
      <w:tr>
        <w:trPr/>
        <w:tc>
          <w:tcPr>
            <w:tcW w:w="5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4</w:t>
            </w:r>
          </w:p>
        </w:tc>
        <w:tc>
          <w:tcPr>
            <w:tcW w:w="25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Model interpretation</w:t>
            </w:r>
          </w:p>
        </w:tc>
        <w:tc>
          <w:tcPr>
            <w:tcW w:w="33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Pin tokenizer, template, special tokens, config, and adapter in .kmodel and model runtime roots.</w:t>
            </w:r>
          </w:p>
        </w:tc>
        <w:tc>
          <w:tcPr>
            <w:tcW w:w="306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When supporting a new model family.</w:t>
            </w:r>
          </w:p>
        </w:tc>
      </w:tr>
      <w:tr>
        <w:trPr/>
        <w:tc>
          <w:tcPr>
            <w:tcW w:w="5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5</w:t>
            </w:r>
          </w:p>
        </w:tc>
        <w:tc>
          <w:tcPr>
            <w:tcW w:w="25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First release boundary</w:t>
            </w:r>
          </w:p>
        </w:tc>
        <w:tc>
          <w:tcPr>
            <w:tcW w:w="33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Target Phases 0–5. Treat GLM-4.7 as a follow-on unless the product requirement makes it mandatory.</w:t>
            </w:r>
          </w:p>
        </w:tc>
        <w:tc>
          <w:tcPr>
            <w:tcW w:w="306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After product owner answers the GLM-4.7 question.</w:t>
            </w:r>
          </w:p>
        </w:tc>
      </w:tr>
      <w:tr>
        <w:trPr/>
        <w:tc>
          <w:tcPr>
            <w:tcW w:w="5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6</w:t>
            </w:r>
          </w:p>
        </w:tc>
        <w:tc>
          <w:tcPr>
            <w:tcW w:w="25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Advanced serving</w:t>
            </w:r>
          </w:p>
        </w:tc>
        <w:tc>
          <w:tcPr>
            <w:tcW w:w="330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Implement after correctness gates; each optimization gets its own receipt fields and conformance suite.</w:t>
            </w:r>
          </w:p>
        </w:tc>
        <w:tc>
          <w:tcPr>
            <w:tcW w:w="3060" w:type="dxa"/>
            <w:shd w:val="clear" w:fill="F4F7FA"/>
            <w:tcMar>
              <w:top w:w="95" w:type="dxa"/>
              <w:left w:w="105" w:type="dxa"/>
              <w:bottom w:w="95" w:type="dxa"/>
              <w:right w:w="105" w:type="dxa"/>
            </w:tcMar>
            <w:vAlign w:val="center"/>
          </w:tcPr>
          <w:p>
            <w:pPr>
              <w:pStyle w:val="TableText"/>
            </w:pPr>
            <w:r>
              <w:rPr>
                <w:rFonts w:ascii="Arial" w:hAnsi="Arial"/>
                <w:sz w:val="21"/>
                <w:szCs w:val="21"/>
              </w:rPr>
              <w:t xml:space="preserve">At each Phase 7 feature proposal.</w:t>
            </w:r>
          </w:p>
        </w:tc>
      </w:tr>
      <w:tr>
        <w:trPr/>
        <w:tc>
          <w:tcPr>
            <w:tcW w:w="5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7</w:t>
            </w:r>
          </w:p>
        </w:tc>
        <w:tc>
          <w:tcPr>
            <w:tcW w:w="25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Shared lockfile</w:t>
            </w:r>
          </w:p>
        </w:tc>
        <w:tc>
          <w:tcPr>
            <w:tcW w:w="330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Start with knolo.infer.lock.json and migrate only after Core and Infer agree on a compatibility-preserving shared schema.</w:t>
            </w:r>
          </w:p>
        </w:tc>
        <w:tc>
          <w:tcPr>
            <w:tcW w:w="3060" w:type="dxa"/>
            <w:shd w:val="clear" w:fill="FFFFFF"/>
            <w:tcMar>
              <w:top w:w="95" w:type="dxa"/>
              <w:left w:w="105" w:type="dxa"/>
              <w:bottom w:w="95" w:type="dxa"/>
              <w:right w:w="105" w:type="dxa"/>
            </w:tcMar>
            <w:vAlign w:val="center"/>
          </w:tcPr>
          <w:p>
            <w:pPr>
              <w:pStyle w:val="TableText"/>
            </w:pPr>
            <w:r>
              <w:rPr>
                <w:rFonts w:ascii="Arial" w:hAnsi="Arial"/>
                <w:sz w:val="21"/>
                <w:szCs w:val="21"/>
              </w:rPr>
              <w:t xml:space="preserve">When Core/Infer lockfile ownership is staffed.</w:t>
            </w:r>
          </w:p>
        </w:tc>
      </w:tr>
    </w:tbl>
    <w:p>
      <w:pPr>
        <w:spacing w:after="80"/>
      </w:pPr>
    </w:p>
    <w:p>
      <w:pPr>
        <w:pStyle w:val="Heading2"/>
      </w:pPr>
      <w:r>
        <w:rPr>
          <w:rFonts w:ascii="Arial" w:hAnsi="Arial"/>
          <w:sz w:val="21"/>
          <w:szCs w:val="21"/>
        </w:rPr>
        <w:t xml:space="preserve">Next decision needed from the project owner</w:t>
      </w:r>
    </w:p>
    <w:p>
      <w:pPr>
        <w:pStyle w:val="Normal"/>
      </w:pPr>
      <w:r>
        <w:rPr>
          <w:rFonts w:ascii="Arial" w:hAnsi="Arial"/>
          <w:sz w:val="21"/>
          <w:szCs w:val="21"/>
        </w:rPr>
        <w:t xml:space="preserve">Confirm the primary audience, release date or staffing constraint, and whether native GLM-4.7 is a first-release requirement. After those answers, convert the dependency-based roadmap into a calendar plan, assign named owners, and mark the release train.</w:t>
      </w:r>
    </w:p>
    <w:p>
      <w:pPr>
        <w:pStyle w:val="Normal"/>
      </w:pPr>
      <w:r>
        <w:rPr>
          <w:rFonts w:ascii="Arial" w:hAnsi="Arial"/>
          <w:sz w:val="21"/>
          <w:szCs w:val="21"/>
        </w:rPr>
        <w:t xml:space="preserve">This plan is intentionally conservative about guarantees. It treats identity, boundedness, receipts, and explicit failure as product behavior rather than implementation detail.</w:t>
      </w:r>
    </w:p>
    <w:sectPr>
      <w:footerReference w:type="default" r:id="rId3"/>
      <w:pgSz w:w="12240" w:h="15840"/>
      <w:pgMar w:top="1037" w:right="1037" w:bottom="979" w:left="1037" w:header="500" w:footer="500" w:gutter="0"/>
      <w:cols w:space="720"/>
    </w:sectPr>
  </w:body>
</w:document>
</file>

<file path=word/footer1.xml><?xml version="1.0" encoding="utf-8"?>
<w:ftr xmlns:w="http://schemas.openxmlformats.org/wordprocessingml/2006/main">
  <w:p>
    <w:pPr>
      <w:jc w:val="right"/>
    </w:pPr>
    <w:r>
      <w:rPr>
        <w:rFonts w:ascii="Arial" w:hAnsi="Arial"/>
        <w:color w:val="5B6770"/>
        <w:sz w:val="16"/>
      </w:rPr>
      <w:t>Knolo Infer Native Engine Build Plan  |  Page </w:t>
    </w:r>
    <w:fldSimple w:instr="PAGE">
      <w:r>
        <w:rPr>
          <w:rFonts w:ascii="Arial" w:hAnsi="Arial"/>
          <w:sz w:val="16"/>
        </w:rPr>
        <w:t>1</w:t>
      </w:r>
    </w:fldSimple>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180"/>
      </w:pPr>
      <w:rPr>
        <w:rFonts w:ascii="Symbol" w:hAnsi="Symbol"/>
      </w:rPr>
    </w:lvl>
  </w:abstractNum>
  <w:abstractNum w:abstractNumId="1">
    <w:multiLevelType w:val="hybridMultilevel"/>
    <w:lvl w:ilvl="0">
      <w:start w:val="1"/>
      <w:numFmt w:val="decimal"/>
      <w:lvlText w:val="%1."/>
      <w:lvlJc w:val="left"/>
      <w:pPr>
        <w:ind w:left="360" w:hanging="180"/>
      </w:pPr>
    </w:lvl>
  </w:abstractNum>
  <w:num w:numId="1">
    <w:abstractNumId w:val="0"/>
  </w:num>
  <w:num w:numId="2">
    <w:abstractNumId w:val="1"/>
  </w:num>
</w:numbering>
</file>

<file path=word/styles.xml><?xml version="1.0" encoding="utf-8"?>
<w:styles xmlns:w="http://schemas.openxmlformats.org/wordprocessingml/2006/main">
  <w:docDefaults>
    <w:rPrDefault>
      <w:rPr>
        <w:rFonts w:ascii="Arial" w:hAnsi="Arial"/>
        <w:sz w:val="21"/>
        <w:szCs w:val="21"/>
      </w:rPr>
    </w:rPrDefault>
    <w:pPrDefault>
      <w:pPr>
        <w:spacing w:after="140" w:line="276" w:lineRule="auto"/>
      </w:pPr>
    </w:pPrDefault>
  </w:docDefaults>
  <w:style w:type="paragraph" w:default="1" w:styleId="Normal">
    <w:name w:val="Normal"/>
    <w:rPr>
      <w:rFonts w:ascii="Arial" w:hAnsi="Arial"/>
      <w:color w:val="111111"/>
      <w:sz w:val="21"/>
      <w:szCs w:val="21"/>
    </w:rPr>
  </w:style>
  <w:style w:type="paragraph" w:styleId="Title">
    <w:name w:val="Title"/>
    <w:basedOn w:val="Normal"/>
    <w:pPr>
      <w:spacing w:after="180"/>
      <w:keepNext/>
    </w:pPr>
    <w:rPr>
      <w:rFonts w:ascii="Arial" w:hAnsi="Arial"/>
      <w:b/>
      <w:color w:val="000000"/>
      <w:sz w:val="50"/>
      <w:szCs w:val="50"/>
    </w:rPr>
  </w:style>
  <w:style w:type="paragraph" w:styleId="Heading1">
    <w:name w:val="Heading 1"/>
    <w:basedOn w:val="Normal"/>
    <w:next w:val="Normal"/>
    <w:pPr>
      <w:spacing w:before="360" w:after="120"/>
      <w:keepNext/>
      <w:keepLines/>
    </w:pPr>
    <w:rPr>
      <w:rFonts w:ascii="Arial" w:hAnsi="Arial"/>
      <w:b/>
      <w:color w:val="000000"/>
      <w:sz w:val="32"/>
      <w:szCs w:val="32"/>
    </w:rPr>
  </w:style>
  <w:style w:type="paragraph" w:styleId="Heading2">
    <w:name w:val="Heading 2"/>
    <w:basedOn w:val="Normal"/>
    <w:next w:val="Normal"/>
    <w:pPr>
      <w:spacing w:before="240" w:after="80"/>
      <w:keepNext/>
      <w:keepLines/>
    </w:pPr>
    <w:rPr>
      <w:rFonts w:ascii="Arial" w:hAnsi="Arial"/>
      <w:b/>
      <w:color w:val="000000"/>
      <w:sz w:val="25"/>
      <w:szCs w:val="25"/>
    </w:rPr>
  </w:style>
  <w:style w:type="paragraph" w:styleId="Heading3">
    <w:name w:val="Heading 3"/>
    <w:basedOn w:val="Normal"/>
    <w:next w:val="Normal"/>
    <w:pPr>
      <w:spacing w:before="160" w:after="60"/>
      <w:keepNext/>
    </w:pPr>
    <w:rPr>
      <w:rFonts w:ascii="Arial" w:hAnsi="Arial"/>
      <w:b/>
      <w:color w:val="000000"/>
      <w:sz w:val="21"/>
      <w:szCs w:val="21"/>
    </w:rPr>
  </w:style>
  <w:style w:type="paragraph" w:styleId="Lead">
    <w:name w:val="Lead"/>
    <w:basedOn w:val="Normal"/>
    <w:pPr>
      <w:spacing w:after="220" w:line="300"/>
    </w:pPr>
    <w:rPr>
      <w:rFonts w:ascii="Arial" w:hAnsi="Arial"/>
      <w:color w:val="111111"/>
      <w:sz w:val="24"/>
      <w:szCs w:val="24"/>
    </w:rPr>
  </w:style>
  <w:style w:type="paragraph" w:styleId="Small">
    <w:name w:val="Small"/>
    <w:basedOn w:val="Normal"/>
    <w:pPr>
      <w:spacing w:after="100"/>
    </w:pPr>
    <w:rPr>
      <w:rFonts w:ascii="Arial" w:hAnsi="Arial"/>
      <w:color w:val="5B6770"/>
      <w:sz w:val="18"/>
      <w:szCs w:val="18"/>
    </w:rPr>
  </w:style>
  <w:style w:type="paragraph" w:styleId="Code">
    <w:name w:val="Code"/>
    <w:basedOn w:val="Normal"/>
    <w:pPr>
      <w:spacing w:before="60" w:after="120"/>
      <w:ind w:left="160" w:right="160"/>
    </w:pPr>
    <w:rPr>
      <w:rFonts w:ascii="Courier New" w:hAnsi="Courier New"/>
      <w:sz w:val="17"/>
      <w:szCs w:val="17"/>
    </w:rPr>
  </w:style>
  <w:style w:type="paragraph" w:styleId="TableText">
    <w:name w:val="Table Text"/>
    <w:basedOn w:val="Normal"/>
    <w:pPr>
      <w:spacing w:after="30" w:line="235" w:lineRule="auto"/>
    </w:pPr>
    <w:rPr>
      <w:rFonts w:ascii="Arial" w:hAnsi="Arial"/>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Knolo Plan Builder</Application>
  <DocSecurity>0</DocSecurity>
  <ScaleCrop>false</ScaleCrop>
  <HeadingPairs>
    <vt:vector size="2" baseType="variant">
      <vt:variant>
        <vt:lpstr>Title</vt:lpstr>
      </vt:variant>
      <vt:variant>
        <vt:i4>1</vt:i4>
      </vt:variant>
    </vt:vector>
  </HeadingPairs>
  <TitlesOfParts>
    <vt:vector size="1" baseType="lpstr">
      <vt:lpstr>Build Plan</vt:lpstr>
    </vt:vector>
  </TitlesOfParts>
  <Company>Knolo</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Knolo Infer Native Engine Build Plan</dc:title>
  <dc:subject>Phased implementation plan</dc:subject>
  <dc:creator>Knolo</dc:creator>
  <cp:keywords>Knolo Infer, native engine, build plan</cp:keywords>
</cp:coreProperties>
</file>