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Raleway" w:cs="Raleway" w:eastAsia="Raleway" w:hAnsi="Raleway"/>
          <w:b/>
          <w:bCs/>
          <w:color w:val="0B4550"/>
          <w:sz w:val="52"/>
          <w:szCs w:val="52"/>
        </w:rPr>
        <w:t xml:space="preserve">HIVE Trade Network</w:t>
      </w:r>
    </w:p>
    <w:p>
      <w:pPr>
        <w:spacing w:after="80" w:before="0"/>
      </w:pPr>
      <w:r>
        <w:rPr>
          <w:rFonts w:ascii="Raleway" w:cs="Raleway" w:eastAsia="Raleway" w:hAnsi="Raleway"/>
          <w:b/>
          <w:bCs/>
          <w:color w:val="0B4550"/>
          <w:sz w:val="40"/>
          <w:szCs w:val="40"/>
        </w:rPr>
        <w:t xml:space="preserve">Member Acquisition &amp; Onboarding</w:t>
      </w:r>
    </w:p>
    <w:p>
      <w:pPr>
        <w:spacing w:after="400" w:before="0"/>
      </w:pPr>
      <w:r>
        <w:rPr>
          <w:rFonts w:ascii="Work Sans" w:cs="Work Sans" w:eastAsia="Work Sans" w:hAnsi="Work Sans"/>
          <w:color w:val="898A80"/>
          <w:sz w:val="24"/>
          <w:szCs w:val="24"/>
        </w:rPr>
        <w:t xml:space="preserve">Process Framework  —  v0.1 Draft</w:t>
      </w:r>
    </w:p>
    <w:p>
      <w:pPr>
        <w:spacing w:after="80" w:before="0"/>
      </w:pPr>
      <w:r>
        <w:rPr>
          <w:rFonts w:ascii="Work Sans" w:cs="Work Sans" w:eastAsia="Work Sans" w:hAnsi="Work Sans"/>
          <w:b/>
          <w:bCs/>
          <w:color w:val="333333"/>
          <w:sz w:val="22"/>
          <w:szCs w:val="22"/>
        </w:rPr>
        <w:t xml:space="preserve">Purpose</w:t>
      </w:r>
    </w:p>
    <w:p>
      <w:pPr>
        <w:spacing w:after="80" w:before="80"/>
      </w:pPr>
      <w:r>
        <w:rPr>
          <w:rFonts w:ascii="Work Sans" w:cs="Work Sans" w:eastAsia="Work Sans" w:hAnsi="Work Sans"/>
          <w:color w:val="333333"/>
          <w:sz w:val="20"/>
          <w:szCs w:val="20"/>
        </w:rPr>
        <w:t xml:space="preserve">This document defines the end-to-end member acquisition and onboarding process for the HIVE Trade Network. It is structured as a process framework to serve two purposes: (1) a business operations reference for the HIVE team, and (2) a system design brief for use with Claude Code when specifying software and infrastructure requirements.</w:t>
      </w:r>
    </w:p>
    <w:p>
      <w:pPr>
        <w:spacing w:after="100" w:before="100"/>
      </w:pPr>
      <w:r>
        <w:t xml:space="preserve"/>
      </w:r>
    </w:p>
    <w:p>
      <w:pPr>
        <w:spacing w:after="80" w:before="80"/>
      </w:pPr>
      <w:r>
        <w:rPr>
          <w:rFonts w:ascii="Work Sans" w:cs="Work Sans" w:eastAsia="Work Sans" w:hAnsi="Work Sans"/>
          <w:color w:val="333333"/>
          <w:sz w:val="20"/>
          <w:szCs w:val="20"/>
        </w:rPr>
        <w:t xml:space="preserve">Each stage is documented with its inputs, outputs, and key decision points so that system and automation requirements can be derived directly from the process.</w:t>
      </w:r>
    </w:p>
    <w:p>
      <w:pPr>
        <w:spacing w:after="100" w:before="100"/>
      </w:pPr>
      <w:r>
        <w:t xml:space="preserve"/>
      </w:r>
    </w:p>
    <w:p>
      <w:pPr>
        <w:spacing w:after="80" w:before="240"/>
      </w:pPr>
      <w:r>
        <w:rPr>
          <w:rFonts w:ascii="Work Sans" w:cs="Work Sans" w:eastAsia="Work Sans" w:hAnsi="Work Sans"/>
          <w:b/>
          <w:bCs/>
          <w:color w:val="333333"/>
          <w:sz w:val="22"/>
          <w:szCs w:val="22"/>
        </w:rPr>
        <w:t xml:space="preserve">Scope</w:t>
      </w:r>
    </w:p>
    <w:p>
      <w:pPr>
        <w:spacing w:after="80" w:before="80"/>
      </w:pPr>
      <w:r>
        <w:rPr>
          <w:rFonts w:ascii="Work Sans" w:cs="Work Sans" w:eastAsia="Work Sans" w:hAnsi="Work Sans"/>
          <w:color w:val="333333"/>
          <w:sz w:val="20"/>
          <w:szCs w:val="20"/>
        </w:rPr>
        <w:t xml:space="preserve">This version covers the Member stream only — from initial lead capture through to full member activation and ongoing monitoring. Supply Partner onboarding is a separate process to be documented subsequently.</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Status: v0.1 Draft — Derived from founder working session, April 2026. This is a starting framework. Steps will be refined as systems are built and piloted on the Central Coast.</w:t>
      </w:r>
    </w:p>
    <w:p>
      <w:pPr>
        <w:spacing w:after="100" w:before="100"/>
      </w:pPr>
      <w:r>
        <w:t xml:space="preserve"/>
      </w:r>
    </w:p>
    <w:p>
      <w:pPr>
        <w:pStyle w:val="Heading1"/>
        <w:pBdr>
          <w:bottom w:val="single" w:color="0B4550" w:sz="6" w:space="1"/>
        </w:pBdr>
        <w:spacing w:after="200" w:before="480"/>
      </w:pPr>
      <w:r>
        <w:rPr>
          <w:rFonts w:ascii="Raleway" w:cs="Raleway" w:eastAsia="Raleway" w:hAnsi="Raleway"/>
          <w:b/>
          <w:bCs/>
          <w:color w:val="0B4550"/>
          <w:sz w:val="32"/>
          <w:szCs w:val="32"/>
        </w:rPr>
        <w:t xml:space="preserve">SECTION 1: MEMBER ACQUISITION</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Overview</w:t>
      </w:r>
    </w:p>
    <w:p>
      <w:pPr>
        <w:spacing w:after="80" w:before="80"/>
      </w:pPr>
      <w:r>
        <w:rPr>
          <w:rFonts w:ascii="Work Sans" w:cs="Work Sans" w:eastAsia="Work Sans" w:hAnsi="Work Sans"/>
          <w:color w:val="333333"/>
          <w:sz w:val="20"/>
          <w:szCs w:val="20"/>
        </w:rPr>
        <w:t xml:space="preserve">There are three distinct channels through which prospective members enter the HIVE pipeline. The channel of origin must be captured at the point of first contact as it determines attribution, affects reporting, and may inform the follow-up approach.</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1.1  Acquisition Channels</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Channel A — Supply Partner Referral</w:t>
      </w:r>
    </w:p>
    <w:p>
      <w:pPr>
        <w:pStyle w:val="ListParagraph"/>
        <w:numPr>
          <w:ilvl w:val="0"/>
          <w:numId w:val="2"/>
        </w:numPr>
        <w:spacing w:after="60" w:before="60"/>
      </w:pPr>
      <w:r>
        <w:rPr>
          <w:rFonts w:ascii="Work Sans" w:cs="Work Sans" w:eastAsia="Work Sans" w:hAnsi="Work Sans"/>
          <w:color w:val="333333"/>
          <w:sz w:val="20"/>
          <w:szCs w:val="20"/>
        </w:rPr>
        <w:t xml:space="preserve">A Supply Partner refers a trade business from within their existing customer base</w:t>
      </w:r>
    </w:p>
    <w:p>
      <w:pPr>
        <w:pStyle w:val="ListParagraph"/>
        <w:numPr>
          <w:ilvl w:val="0"/>
          <w:numId w:val="2"/>
        </w:numPr>
        <w:spacing w:after="60" w:before="60"/>
      </w:pPr>
      <w:r>
        <w:rPr>
          <w:rFonts w:ascii="Work Sans" w:cs="Work Sans" w:eastAsia="Work Sans" w:hAnsi="Work Sans"/>
          <w:color w:val="333333"/>
          <w:sz w:val="20"/>
          <w:szCs w:val="20"/>
        </w:rPr>
        <w:t xml:space="preserve">Highest-intent lead type — referred by a trusted commercial relationship</w:t>
      </w:r>
    </w:p>
    <w:p>
      <w:pPr>
        <w:pStyle w:val="ListParagraph"/>
        <w:numPr>
          <w:ilvl w:val="0"/>
          <w:numId w:val="2"/>
        </w:numPr>
        <w:spacing w:after="60" w:before="60"/>
      </w:pPr>
      <w:r>
        <w:rPr>
          <w:rFonts w:ascii="Work Sans" w:cs="Work Sans" w:eastAsia="Work Sans" w:hAnsi="Work Sans"/>
          <w:color w:val="333333"/>
          <w:sz w:val="20"/>
          <w:szCs w:val="20"/>
        </w:rPr>
        <w:t xml:space="preserve">Supply Partner should be recorded as the referring partner for attribution</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Channel B — Member Referral</w:t>
      </w:r>
    </w:p>
    <w:p>
      <w:pPr>
        <w:pStyle w:val="ListParagraph"/>
        <w:numPr>
          <w:ilvl w:val="0"/>
          <w:numId w:val="2"/>
        </w:numPr>
        <w:spacing w:after="60" w:before="60"/>
      </w:pPr>
      <w:r>
        <w:rPr>
          <w:rFonts w:ascii="Work Sans" w:cs="Work Sans" w:eastAsia="Work Sans" w:hAnsi="Work Sans"/>
          <w:color w:val="333333"/>
          <w:sz w:val="20"/>
          <w:szCs w:val="20"/>
        </w:rPr>
        <w:t xml:space="preserve">An existing HIVE member refers a colleague, subcontractor, or peer trade business</w:t>
      </w:r>
    </w:p>
    <w:p>
      <w:pPr>
        <w:pStyle w:val="ListParagraph"/>
        <w:numPr>
          <w:ilvl w:val="0"/>
          <w:numId w:val="2"/>
        </w:numPr>
        <w:spacing w:after="60" w:before="60"/>
      </w:pPr>
      <w:r>
        <w:rPr>
          <w:rFonts w:ascii="Work Sans" w:cs="Work Sans" w:eastAsia="Work Sans" w:hAnsi="Work Sans"/>
          <w:color w:val="333333"/>
          <w:sz w:val="20"/>
          <w:szCs w:val="20"/>
        </w:rPr>
        <w:t xml:space="preserve">Warm lead — referred by a trusted peer within the same trade community</w:t>
      </w:r>
    </w:p>
    <w:p>
      <w:pPr>
        <w:pStyle w:val="ListParagraph"/>
        <w:numPr>
          <w:ilvl w:val="0"/>
          <w:numId w:val="2"/>
        </w:numPr>
        <w:spacing w:after="60" w:before="60"/>
      </w:pPr>
      <w:r>
        <w:rPr>
          <w:rFonts w:ascii="Work Sans" w:cs="Work Sans" w:eastAsia="Work Sans" w:hAnsi="Work Sans"/>
          <w:color w:val="333333"/>
          <w:sz w:val="20"/>
          <w:szCs w:val="20"/>
        </w:rPr>
        <w:t xml:space="preserve">Referring member should be recorded for attribution and any future referral incentive program</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Channel C — Open Market Lead</w:t>
      </w:r>
    </w:p>
    <w:p>
      <w:pPr>
        <w:pStyle w:val="ListParagraph"/>
        <w:numPr>
          <w:ilvl w:val="0"/>
          <w:numId w:val="2"/>
        </w:numPr>
        <w:spacing w:after="60" w:before="60"/>
      </w:pPr>
      <w:r>
        <w:rPr>
          <w:rFonts w:ascii="Work Sans" w:cs="Work Sans" w:eastAsia="Work Sans" w:hAnsi="Work Sans"/>
          <w:color w:val="333333"/>
          <w:sz w:val="20"/>
          <w:szCs w:val="20"/>
        </w:rPr>
        <w:t xml:space="preserve">Lead generated through outbound or inbound marketing activity</w:t>
      </w:r>
    </w:p>
    <w:p>
      <w:pPr>
        <w:pStyle w:val="ListParagraph"/>
        <w:numPr>
          <w:ilvl w:val="0"/>
          <w:numId w:val="2"/>
        </w:numPr>
        <w:spacing w:after="60" w:before="60"/>
      </w:pPr>
      <w:r>
        <w:rPr>
          <w:rFonts w:ascii="Work Sans" w:cs="Work Sans" w:eastAsia="Work Sans" w:hAnsi="Work Sans"/>
          <w:color w:val="333333"/>
          <w:sz w:val="20"/>
          <w:szCs w:val="20"/>
        </w:rPr>
        <w:t xml:space="preserve">Includes: social media (organic and paid), cold outreach, events, website enquiry</w:t>
      </w:r>
    </w:p>
    <w:p>
      <w:pPr>
        <w:pStyle w:val="ListParagraph"/>
        <w:numPr>
          <w:ilvl w:val="0"/>
          <w:numId w:val="2"/>
        </w:numPr>
        <w:spacing w:after="60" w:before="60"/>
      </w:pPr>
      <w:r>
        <w:rPr>
          <w:rFonts w:ascii="Work Sans" w:cs="Work Sans" w:eastAsia="Work Sans" w:hAnsi="Work Sans"/>
          <w:color w:val="333333"/>
          <w:sz w:val="20"/>
          <w:szCs w:val="20"/>
        </w:rPr>
        <w:t xml:space="preserve">Channel sub-type (e.g. Facebook Ad, cold call, event) should be captured for marketing ROI tracking</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1.2  Lead Capture Form</w:t>
      </w:r>
    </w:p>
    <w:p>
      <w:pPr>
        <w:spacing w:after="80" w:before="80"/>
      </w:pPr>
      <w:r>
        <w:rPr>
          <w:rFonts w:ascii="Work Sans" w:cs="Work Sans" w:eastAsia="Work Sans" w:hAnsi="Work Sans"/>
          <w:color w:val="333333"/>
          <w:sz w:val="20"/>
          <w:szCs w:val="20"/>
        </w:rPr>
        <w:t xml:space="preserve">All three channels converge at a minimal lead capture form. The form is intentionally lightweight — enough to enable follow-up without creating friction that loses the lead.</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Required Fields</w:t>
      </w:r>
    </w:p>
    <w:p>
      <w:pPr>
        <w:pStyle w:val="ListParagraph"/>
        <w:numPr>
          <w:ilvl w:val="0"/>
          <w:numId w:val="2"/>
        </w:numPr>
        <w:spacing w:after="60" w:before="60"/>
      </w:pPr>
      <w:r>
        <w:rPr>
          <w:rFonts w:ascii="Work Sans" w:cs="Work Sans" w:eastAsia="Work Sans" w:hAnsi="Work Sans"/>
          <w:color w:val="333333"/>
          <w:sz w:val="20"/>
          <w:szCs w:val="20"/>
        </w:rPr>
        <w:t xml:space="preserve">Business name</w:t>
      </w:r>
    </w:p>
    <w:p>
      <w:pPr>
        <w:pStyle w:val="ListParagraph"/>
        <w:numPr>
          <w:ilvl w:val="0"/>
          <w:numId w:val="2"/>
        </w:numPr>
        <w:spacing w:after="60" w:before="60"/>
      </w:pPr>
      <w:r>
        <w:rPr>
          <w:rFonts w:ascii="Work Sans" w:cs="Work Sans" w:eastAsia="Work Sans" w:hAnsi="Work Sans"/>
          <w:color w:val="333333"/>
          <w:sz w:val="20"/>
          <w:szCs w:val="20"/>
        </w:rPr>
        <w:t xml:space="preserve">ABN</w:t>
      </w:r>
    </w:p>
    <w:p>
      <w:pPr>
        <w:pStyle w:val="ListParagraph"/>
        <w:numPr>
          <w:ilvl w:val="0"/>
          <w:numId w:val="2"/>
        </w:numPr>
        <w:spacing w:after="60" w:before="60"/>
      </w:pPr>
      <w:r>
        <w:rPr>
          <w:rFonts w:ascii="Work Sans" w:cs="Work Sans" w:eastAsia="Work Sans" w:hAnsi="Work Sans"/>
          <w:color w:val="333333"/>
          <w:sz w:val="20"/>
          <w:szCs w:val="20"/>
        </w:rPr>
        <w:t xml:space="preserve">Primary contact name</w:t>
      </w:r>
    </w:p>
    <w:p>
      <w:pPr>
        <w:pStyle w:val="ListParagraph"/>
        <w:numPr>
          <w:ilvl w:val="0"/>
          <w:numId w:val="2"/>
        </w:numPr>
        <w:spacing w:after="60" w:before="60"/>
      </w:pPr>
      <w:r>
        <w:rPr>
          <w:rFonts w:ascii="Work Sans" w:cs="Work Sans" w:eastAsia="Work Sans" w:hAnsi="Work Sans"/>
          <w:color w:val="333333"/>
          <w:sz w:val="20"/>
          <w:szCs w:val="20"/>
        </w:rPr>
        <w:t xml:space="preserve">Phone number</w:t>
      </w:r>
    </w:p>
    <w:p>
      <w:pPr>
        <w:pStyle w:val="ListParagraph"/>
        <w:numPr>
          <w:ilvl w:val="0"/>
          <w:numId w:val="2"/>
        </w:numPr>
        <w:spacing w:after="60" w:before="60"/>
      </w:pPr>
      <w:r>
        <w:rPr>
          <w:rFonts w:ascii="Work Sans" w:cs="Work Sans" w:eastAsia="Work Sans" w:hAnsi="Work Sans"/>
          <w:color w:val="333333"/>
          <w:sz w:val="20"/>
          <w:szCs w:val="20"/>
        </w:rPr>
        <w:t xml:space="preserve">Email address</w:t>
      </w:r>
    </w:p>
    <w:p>
      <w:pPr>
        <w:pStyle w:val="ListParagraph"/>
        <w:numPr>
          <w:ilvl w:val="0"/>
          <w:numId w:val="2"/>
        </w:numPr>
        <w:spacing w:after="60" w:before="60"/>
      </w:pPr>
      <w:r>
        <w:rPr>
          <w:rFonts w:ascii="Work Sans" w:cs="Work Sans" w:eastAsia="Work Sans" w:hAnsi="Work Sans"/>
          <w:color w:val="333333"/>
          <w:sz w:val="20"/>
          <w:szCs w:val="20"/>
        </w:rPr>
        <w:t xml:space="preserve">Preferred contact method  (SMS / Email / Phone call)</w:t>
      </w:r>
    </w:p>
    <w:p>
      <w:pPr>
        <w:pStyle w:val="ListParagraph"/>
        <w:numPr>
          <w:ilvl w:val="0"/>
          <w:numId w:val="2"/>
        </w:numPr>
        <w:spacing w:after="60" w:before="60"/>
      </w:pPr>
      <w:r>
        <w:rPr>
          <w:rFonts w:ascii="Work Sans" w:cs="Work Sans" w:eastAsia="Work Sans" w:hAnsi="Work Sans"/>
          <w:color w:val="333333"/>
          <w:sz w:val="20"/>
          <w:szCs w:val="20"/>
        </w:rPr>
        <w:t xml:space="preserve">Acquisition channel  (auto-populated where possible, otherwise selected)</w:t>
      </w:r>
    </w:p>
    <w:p>
      <w:pPr>
        <w:pStyle w:val="ListParagraph"/>
        <w:numPr>
          <w:ilvl w:val="0"/>
          <w:numId w:val="2"/>
        </w:numPr>
        <w:spacing w:after="60" w:before="60"/>
      </w:pPr>
      <w:r>
        <w:rPr>
          <w:rFonts w:ascii="Work Sans" w:cs="Work Sans" w:eastAsia="Work Sans" w:hAnsi="Work Sans"/>
          <w:color w:val="333333"/>
          <w:sz w:val="20"/>
          <w:szCs w:val="20"/>
        </w:rPr>
        <w:t xml:space="preserve">Referring partner or member  (if applicable)</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System requirement: The lead capture form should be embeddable on the HIVE website and shareable as a direct link by Supply Partners and members. Channel and referrer fields should auto-populate where the link source is known.</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1.3  Post-Capture Follow-Up</w:t>
      </w:r>
    </w:p>
    <w:p>
      <w:pPr>
        <w:spacing w:after="80" w:before="80"/>
      </w:pPr>
      <w:r>
        <w:rPr>
          <w:rFonts w:ascii="Work Sans" w:cs="Work Sans" w:eastAsia="Work Sans" w:hAnsi="Work Sans"/>
          <w:color w:val="333333"/>
          <w:sz w:val="20"/>
          <w:szCs w:val="20"/>
        </w:rPr>
        <w:t xml:space="preserve">Once a lead is captured, the immediate next step is to make contact via the lead's preferred channel and provide a clear explanation of the HIVE onboarding process before asking them to take any further action.</w:t>
      </w:r>
    </w:p>
    <w:p>
      <w:pPr>
        <w:spacing w:after="100" w:before="100"/>
      </w:pPr>
      <w:r>
        <w:t xml:space="preserve"/>
      </w:r>
    </w:p>
    <w:p>
      <w:pPr>
        <w:pStyle w:val="ListParagraph"/>
        <w:numPr>
          <w:ilvl w:val="0"/>
          <w:numId w:val="2"/>
        </w:numPr>
        <w:spacing w:after="60" w:before="60"/>
      </w:pPr>
      <w:r>
        <w:rPr>
          <w:rFonts w:ascii="Work Sans" w:cs="Work Sans" w:eastAsia="Work Sans" w:hAnsi="Work Sans"/>
          <w:color w:val="333333"/>
          <w:sz w:val="20"/>
          <w:szCs w:val="20"/>
        </w:rPr>
        <w:t xml:space="preserve">No commitment or forms are requested at this stage</w:t>
      </w:r>
    </w:p>
    <w:p>
      <w:pPr>
        <w:pStyle w:val="ListParagraph"/>
        <w:numPr>
          <w:ilvl w:val="0"/>
          <w:numId w:val="2"/>
        </w:numPr>
        <w:spacing w:after="60" w:before="60"/>
      </w:pPr>
      <w:r>
        <w:rPr>
          <w:rFonts w:ascii="Work Sans" w:cs="Work Sans" w:eastAsia="Work Sans" w:hAnsi="Work Sans"/>
          <w:color w:val="333333"/>
          <w:sz w:val="20"/>
          <w:szCs w:val="20"/>
        </w:rPr>
        <w:t xml:space="preserve">The purpose is to set expectations and build confidence in the process</w:t>
      </w:r>
    </w:p>
    <w:p>
      <w:pPr>
        <w:pStyle w:val="ListParagraph"/>
        <w:numPr>
          <w:ilvl w:val="0"/>
          <w:numId w:val="2"/>
        </w:numPr>
        <w:spacing w:after="60" w:before="60"/>
      </w:pPr>
      <w:r>
        <w:rPr>
          <w:rFonts w:ascii="Work Sans" w:cs="Work Sans" w:eastAsia="Work Sans" w:hAnsi="Work Sans"/>
          <w:color w:val="333333"/>
          <w:sz w:val="20"/>
          <w:szCs w:val="20"/>
        </w:rPr>
        <w:t xml:space="preserve">A summary of the onboarding steps should be provided in written form (email or SMS link)</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System requirement: Trigger an automated acknowledgement message to the lead immediately on form submission, via their preferred contact method. Queue the lead for manual or automated follow-up within one business day.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vAlign w:val="center"/>
          </w:tcPr>
          <w:p>
            <w:pPr>
              <w:jc w:val="center"/>
            </w:pPr>
            <w:r>
              <w:rPr>
                <w:rFonts w:ascii="Raleway" w:cs="Raleway" w:eastAsia="Raleway" w:hAnsi="Raleway"/>
                <w:b/>
                <w:bCs/>
                <w:color w:val="E6FF2B"/>
                <w:sz w:val="36"/>
                <w:szCs w:val="36"/>
              </w:rPr>
              <w:t xml:space="preserve">A</w:t>
            </w:r>
          </w:p>
        </w:tc>
        <w:tc>
          <w:tcPr>
            <w:tcW w:type="dxa" w:w="7920"/>
            <w:gridSpan w:val="3"/>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Raleway" w:cs="Raleway" w:eastAsia="Raleway" w:hAnsi="Raleway"/>
                <w:b/>
                <w:bCs/>
                <w:color w:val="FFFFFF"/>
                <w:sz w:val="24"/>
                <w:szCs w:val="24"/>
              </w:rPr>
              <w:t xml:space="preserve">MEMBER ACQUISITION</w:t>
            </w:r>
          </w:p>
        </w:tc>
      </w:tr>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INPUTS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OUTPUTS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DECISION POINT</w:t>
            </w:r>
          </w:p>
        </w:tc>
      </w:tr>
      <w:tr>
        <w:tc>
          <w:tcPr>
            <w:tcW w:type="dxa" w:w="14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Referral or marketing-generated enquiry</w:t>
            </w:r>
          </w:p>
          <w:p>
            <w:pPr>
              <w:spacing w:after="40" w:before="40"/>
            </w:pPr>
            <w:r>
              <w:rPr>
                <w:rFonts w:ascii="Work Sans" w:cs="Work Sans" w:eastAsia="Work Sans" w:hAnsi="Work Sans"/>
                <w:color w:val="333333"/>
                <w:sz w:val="18"/>
                <w:szCs w:val="18"/>
              </w:rPr>
              <w:t xml:space="preserve">Channel source (Partner / Member / Open Market)</w:t>
            </w:r>
          </w:p>
          <w:p>
            <w:pPr>
              <w:spacing w:after="40" w:before="40"/>
            </w:pPr>
            <w:r>
              <w:rPr>
                <w:rFonts w:ascii="Work Sans" w:cs="Work Sans" w:eastAsia="Work Sans" w:hAnsi="Work Sans"/>
                <w:color w:val="333333"/>
                <w:sz w:val="18"/>
                <w:szCs w:val="18"/>
              </w:rPr>
              <w:t xml:space="preserve">Referrer details if applicable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Lead record created with channel attribution</w:t>
            </w:r>
          </w:p>
          <w:p>
            <w:pPr>
              <w:spacing w:after="40" w:before="40"/>
            </w:pPr>
            <w:r>
              <w:rPr>
                <w:rFonts w:ascii="Work Sans" w:cs="Work Sans" w:eastAsia="Work Sans" w:hAnsi="Work Sans"/>
                <w:color w:val="333333"/>
                <w:sz w:val="18"/>
                <w:szCs w:val="18"/>
              </w:rPr>
              <w:t xml:space="preserve">Acknowledgement sent to lead</w:t>
            </w:r>
          </w:p>
          <w:p>
            <w:pPr>
              <w:spacing w:after="40" w:before="40"/>
            </w:pPr>
            <w:r>
              <w:rPr>
                <w:rFonts w:ascii="Work Sans" w:cs="Work Sans" w:eastAsia="Work Sans" w:hAnsi="Work Sans"/>
                <w:color w:val="333333"/>
                <w:sz w:val="18"/>
                <w:szCs w:val="18"/>
              </w:rPr>
              <w:t xml:space="preserve">Follow-up queued</w:t>
            </w:r>
          </w:p>
          <w:p>
            <w:pPr>
              <w:spacing w:after="40" w:before="40"/>
            </w:pPr>
            <w:r>
              <w:rPr>
                <w:rFonts w:ascii="Work Sans" w:cs="Work Sans" w:eastAsia="Work Sans" w:hAnsi="Work Sans"/>
                <w:color w:val="333333"/>
                <w:sz w:val="18"/>
                <w:szCs w:val="18"/>
              </w:rPr>
              <w:t xml:space="preserve">Onboarding overview provided</w:t>
            </w:r>
          </w:p>
        </w:tc>
        <w:tc>
          <w:tcPr>
            <w:tcW w:type="dxa" w:w="26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Is the lead contactable and responsive?</w:t>
            </w:r>
          </w:p>
          <w:p>
            <w:pPr>
              <w:spacing w:after="40" w:before="40"/>
            </w:pPr>
            <w:r>
              <w:rPr>
                <w:rFonts w:ascii="Work Sans" w:cs="Work Sans" w:eastAsia="Work Sans" w:hAnsi="Work Sans"/>
                <w:color w:val="333333"/>
                <w:sz w:val="18"/>
                <w:szCs w:val="18"/>
              </w:rPr>
              <w:t xml:space="preserve">Have they been given the onboarding overview?</w:t>
            </w:r>
          </w:p>
          <w:p>
            <w:pPr>
              <w:spacing w:after="40" w:before="40"/>
            </w:pPr>
            <w:r>
              <w:rPr>
                <w:rFonts w:ascii="Work Sans" w:cs="Work Sans" w:eastAsia="Work Sans" w:hAnsi="Work Sans"/>
                <w:color w:val="333333"/>
                <w:sz w:val="18"/>
                <w:szCs w:val="18"/>
              </w:rPr>
              <w:t xml:space="preserve">Are they willing to proceed to onboarding?</w:t>
            </w:r>
          </w:p>
        </w:tc>
      </w:tr>
    </w:tbl>
    <w:p>
      <w:pPr>
        <w:spacing w:after="100" w:before="100"/>
      </w:pPr>
      <w:r>
        <w:t xml:space="preserve"/>
      </w:r>
    </w:p>
    <w:p>
      <w:pPr>
        <w:pStyle w:val="Heading1"/>
        <w:pBdr>
          <w:bottom w:val="single" w:color="0B4550" w:sz="6" w:space="1"/>
        </w:pBdr>
        <w:spacing w:after="200" w:before="480"/>
      </w:pPr>
      <w:r>
        <w:rPr>
          <w:rFonts w:ascii="Raleway" w:cs="Raleway" w:eastAsia="Raleway" w:hAnsi="Raleway"/>
          <w:b/>
          <w:bCs/>
          <w:color w:val="0B4550"/>
          <w:sz w:val="32"/>
          <w:szCs w:val="32"/>
        </w:rPr>
        <w:t xml:space="preserve">SECTION 2: MEMBER ONBOARDING</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Overview</w:t>
      </w:r>
    </w:p>
    <w:p>
      <w:pPr>
        <w:spacing w:after="80" w:before="80"/>
      </w:pPr>
      <w:r>
        <w:rPr>
          <w:rFonts w:ascii="Work Sans" w:cs="Work Sans" w:eastAsia="Work Sans" w:hAnsi="Work Sans"/>
          <w:color w:val="333333"/>
          <w:sz w:val="20"/>
          <w:szCs w:val="20"/>
        </w:rPr>
        <w:t xml:space="preserve">Onboarding is structured as a staged intake process. The prospective member is not asked to complete everything at once. Work is distributed across the right people within their business, and the process is designed to be completed progressively over a short period.</w:t>
      </w:r>
    </w:p>
    <w:p>
      <w:pPr>
        <w:spacing w:after="100" w:before="100"/>
      </w:pPr>
      <w:r>
        <w:t xml:space="preserve"/>
      </w:r>
    </w:p>
    <w:p>
      <w:pPr>
        <w:spacing w:after="80" w:before="80"/>
      </w:pPr>
      <w:r>
        <w:rPr>
          <w:rFonts w:ascii="Work Sans" w:cs="Work Sans" w:eastAsia="Work Sans" w:hAnsi="Work Sans"/>
          <w:color w:val="333333"/>
          <w:sz w:val="20"/>
          <w:szCs w:val="20"/>
        </w:rPr>
        <w:t xml:space="preserve">Onboarding consists of the following stages in sequence:</w:t>
      </w:r>
    </w:p>
    <w:p>
      <w:pPr>
        <w:pStyle w:val="ListParagraph"/>
        <w:numPr>
          <w:ilvl w:val="0"/>
          <w:numId w:val="2"/>
        </w:numPr>
        <w:spacing w:after="60" w:before="60"/>
      </w:pPr>
      <w:r>
        <w:rPr>
          <w:rFonts w:ascii="Work Sans" w:cs="Work Sans" w:eastAsia="Work Sans" w:hAnsi="Work Sans"/>
          <w:color w:val="333333"/>
          <w:sz w:val="20"/>
          <w:szCs w:val="20"/>
        </w:rPr>
        <w:t xml:space="preserve">Stage 1  —  Supplier Selection</w:t>
      </w:r>
    </w:p>
    <w:p>
      <w:pPr>
        <w:pStyle w:val="ListParagraph"/>
        <w:numPr>
          <w:ilvl w:val="0"/>
          <w:numId w:val="2"/>
        </w:numPr>
        <w:spacing w:after="60" w:before="60"/>
      </w:pPr>
      <w:r>
        <w:rPr>
          <w:rFonts w:ascii="Work Sans" w:cs="Work Sans" w:eastAsia="Work Sans" w:hAnsi="Work Sans"/>
          <w:color w:val="333333"/>
          <w:sz w:val="20"/>
          <w:szCs w:val="20"/>
        </w:rPr>
        <w:t xml:space="preserve">Stage 2  —  Detailed Data Capture</w:t>
      </w:r>
    </w:p>
    <w:p>
      <w:pPr>
        <w:pStyle w:val="ListParagraph"/>
        <w:numPr>
          <w:ilvl w:val="0"/>
          <w:numId w:val="2"/>
        </w:numPr>
        <w:spacing w:after="60" w:before="60"/>
      </w:pPr>
      <w:r>
        <w:rPr>
          <w:rFonts w:ascii="Work Sans" w:cs="Work Sans" w:eastAsia="Work Sans" w:hAnsi="Work Sans"/>
          <w:color w:val="333333"/>
          <w:sz w:val="20"/>
          <w:szCs w:val="20"/>
        </w:rPr>
        <w:t xml:space="preserve">Stage 3  —  Financial Health Assessment (with Linda / Beyond Bookkeeping)</w:t>
      </w:r>
    </w:p>
    <w:p>
      <w:pPr>
        <w:pStyle w:val="ListParagraph"/>
        <w:numPr>
          <w:ilvl w:val="0"/>
          <w:numId w:val="2"/>
        </w:numPr>
        <w:spacing w:after="60" w:before="60"/>
      </w:pPr>
      <w:r>
        <w:rPr>
          <w:rFonts w:ascii="Work Sans" w:cs="Work Sans" w:eastAsia="Work Sans" w:hAnsi="Work Sans"/>
          <w:color w:val="333333"/>
          <w:sz w:val="20"/>
          <w:szCs w:val="20"/>
        </w:rPr>
        <w:t xml:space="preserve">Stage 4  —  Membership Review and Approval</w:t>
      </w:r>
    </w:p>
    <w:p>
      <w:pPr>
        <w:pStyle w:val="ListParagraph"/>
        <w:numPr>
          <w:ilvl w:val="0"/>
          <w:numId w:val="2"/>
        </w:numPr>
        <w:spacing w:after="60" w:before="60"/>
      </w:pPr>
      <w:r>
        <w:rPr>
          <w:rFonts w:ascii="Work Sans" w:cs="Work Sans" w:eastAsia="Work Sans" w:hAnsi="Work Sans"/>
          <w:color w:val="333333"/>
          <w:sz w:val="20"/>
          <w:szCs w:val="20"/>
        </w:rPr>
        <w:t xml:space="preserve">Stage 5  —  Supplier Account Setup and HIVE Pricing Activation</w:t>
      </w:r>
    </w:p>
    <w:p>
      <w:pPr>
        <w:pStyle w:val="ListParagraph"/>
        <w:numPr>
          <w:ilvl w:val="0"/>
          <w:numId w:val="2"/>
        </w:numPr>
        <w:spacing w:after="60" w:before="60"/>
      </w:pPr>
      <w:r>
        <w:rPr>
          <w:rFonts w:ascii="Work Sans" w:cs="Work Sans" w:eastAsia="Work Sans" w:hAnsi="Work Sans"/>
          <w:color w:val="333333"/>
          <w:sz w:val="20"/>
          <w:szCs w:val="20"/>
        </w:rPr>
        <w:t xml:space="preserve">Stage 6  —  Member Activation</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Stage 1  —  Supplier Selection</w:t>
      </w:r>
    </w:p>
    <w:p>
      <w:pPr>
        <w:spacing w:after="100" w:before="100"/>
      </w:pPr>
      <w:r>
        <w:t xml:space="preserve"/>
      </w:r>
    </w:p>
    <w:p>
      <w:pPr>
        <w:spacing w:after="80" w:before="80"/>
      </w:pPr>
      <w:r>
        <w:rPr>
          <w:rFonts w:ascii="Work Sans" w:cs="Work Sans" w:eastAsia="Work Sans" w:hAnsi="Work Sans"/>
          <w:color w:val="333333"/>
          <w:sz w:val="20"/>
          <w:szCs w:val="20"/>
        </w:rPr>
        <w:t xml:space="preserve">Before the detailed data capture form is issued, the prospective member selects which Supply Partners in their region they wish to connect with through HIVE.</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Process</w:t>
      </w:r>
    </w:p>
    <w:p>
      <w:pPr>
        <w:pStyle w:val="ListParagraph"/>
        <w:numPr>
          <w:ilvl w:val="0"/>
          <w:numId w:val="2"/>
        </w:numPr>
        <w:spacing w:after="60" w:before="60"/>
      </w:pPr>
      <w:r>
        <w:rPr>
          <w:rFonts w:ascii="Work Sans" w:cs="Work Sans" w:eastAsia="Work Sans" w:hAnsi="Work Sans"/>
          <w:color w:val="333333"/>
          <w:sz w:val="20"/>
          <w:szCs w:val="20"/>
        </w:rPr>
        <w:t xml:space="preserve">Present the prospective member with the list of active HIVE Supply Partners in their geographic region</w:t>
      </w:r>
    </w:p>
    <w:p>
      <w:pPr>
        <w:pStyle w:val="ListParagraph"/>
        <w:numPr>
          <w:ilvl w:val="0"/>
          <w:numId w:val="2"/>
        </w:numPr>
        <w:spacing w:after="60" w:before="60"/>
      </w:pPr>
      <w:r>
        <w:rPr>
          <w:rFonts w:ascii="Work Sans" w:cs="Work Sans" w:eastAsia="Work Sans" w:hAnsi="Work Sans"/>
          <w:color w:val="333333"/>
          <w:sz w:val="20"/>
          <w:szCs w:val="20"/>
        </w:rPr>
        <w:t xml:space="preserve">Member elects which suppliers they wish to connect with</w:t>
      </w:r>
    </w:p>
    <w:p>
      <w:pPr>
        <w:pStyle w:val="ListParagraph"/>
        <w:numPr>
          <w:ilvl w:val="0"/>
          <w:numId w:val="2"/>
        </w:numPr>
        <w:spacing w:after="60" w:before="60"/>
      </w:pPr>
      <w:r>
        <w:rPr>
          <w:rFonts w:ascii="Work Sans" w:cs="Work Sans" w:eastAsia="Work Sans" w:hAnsi="Work Sans"/>
          <w:color w:val="333333"/>
          <w:sz w:val="20"/>
          <w:szCs w:val="20"/>
        </w:rPr>
        <w:t xml:space="preserve">For each selected supplier, member indicates:</w:t>
      </w:r>
    </w:p>
    <w:p>
      <w:pPr>
        <w:pStyle w:val="ListParagraph"/>
        <w:numPr>
          <w:ilvl w:val="1"/>
          <w:numId w:val="2"/>
        </w:numPr>
        <w:spacing w:after="60" w:before="60"/>
      </w:pPr>
      <w:r>
        <w:rPr>
          <w:rFonts w:ascii="Work Sans" w:cs="Work Sans" w:eastAsia="Work Sans" w:hAnsi="Work Sans"/>
          <w:color w:val="333333"/>
          <w:sz w:val="20"/>
          <w:szCs w:val="20"/>
        </w:rPr>
        <w:t xml:space="preserve">Whether they hold an existing account with that supplier</w:t>
      </w:r>
    </w:p>
    <w:p>
      <w:pPr>
        <w:pStyle w:val="ListParagraph"/>
        <w:numPr>
          <w:ilvl w:val="1"/>
          <w:numId w:val="2"/>
        </w:numPr>
        <w:spacing w:after="60" w:before="60"/>
      </w:pPr>
      <w:r>
        <w:rPr>
          <w:rFonts w:ascii="Work Sans" w:cs="Work Sans" w:eastAsia="Work Sans" w:hAnsi="Work Sans"/>
          <w:color w:val="333333"/>
          <w:sz w:val="20"/>
          <w:szCs w:val="20"/>
        </w:rPr>
        <w:t xml:space="preserve">If an existing account is held, the supplier is contacted to confirm the current pricing tier</w:t>
      </w:r>
    </w:p>
    <w:p>
      <w:pPr>
        <w:pStyle w:val="ListParagraph"/>
        <w:numPr>
          <w:ilvl w:val="1"/>
          <w:numId w:val="2"/>
        </w:numPr>
        <w:spacing w:after="60" w:before="60"/>
      </w:pPr>
      <w:r>
        <w:rPr>
          <w:rFonts w:ascii="Work Sans" w:cs="Work Sans" w:eastAsia="Work Sans" w:hAnsi="Work Sans"/>
          <w:color w:val="333333"/>
          <w:sz w:val="20"/>
          <w:szCs w:val="20"/>
        </w:rPr>
        <w:t xml:space="preserve">HIVE prepares a before-and-after pricing comparison to show the member the value of HIVE pricing</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System requirement: Supplier selection should be presented as a region-filtered checklist. The system should trigger a supplier notification when an existing account is flagged, and record pricing tier data returned by the supplier against the member record.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vAlign w:val="center"/>
          </w:tcPr>
          <w:p>
            <w:pPr>
              <w:jc w:val="center"/>
            </w:pPr>
            <w:r>
              <w:rPr>
                <w:rFonts w:ascii="Raleway" w:cs="Raleway" w:eastAsia="Raleway" w:hAnsi="Raleway"/>
                <w:b/>
                <w:bCs/>
                <w:color w:val="E6FF2B"/>
                <w:sz w:val="36"/>
                <w:szCs w:val="36"/>
              </w:rPr>
              <w:t xml:space="preserve">1</w:t>
            </w:r>
          </w:p>
        </w:tc>
        <w:tc>
          <w:tcPr>
            <w:tcW w:type="dxa" w:w="7920"/>
            <w:gridSpan w:val="3"/>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Raleway" w:cs="Raleway" w:eastAsia="Raleway" w:hAnsi="Raleway"/>
                <w:b/>
                <w:bCs/>
                <w:color w:val="FFFFFF"/>
                <w:sz w:val="24"/>
                <w:szCs w:val="24"/>
              </w:rPr>
              <w:t xml:space="preserve">SUPPLIER SELECTION</w:t>
            </w:r>
          </w:p>
        </w:tc>
      </w:tr>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INPUTS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OUTPUTS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DECISION POINT</w:t>
            </w:r>
          </w:p>
        </w:tc>
      </w:tr>
      <w:tr>
        <w:tc>
          <w:tcPr>
            <w:tcW w:type="dxa" w:w="14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Prospective member record</w:t>
            </w:r>
          </w:p>
          <w:p>
            <w:pPr>
              <w:spacing w:after="40" w:before="40"/>
            </w:pPr>
            <w:r>
              <w:rPr>
                <w:rFonts w:ascii="Work Sans" w:cs="Work Sans" w:eastAsia="Work Sans" w:hAnsi="Work Sans"/>
                <w:color w:val="333333"/>
                <w:sz w:val="18"/>
                <w:szCs w:val="18"/>
              </w:rPr>
              <w:t xml:space="preserve">List of active Supply Partners by region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Supplier selections recorded per member</w:t>
            </w:r>
          </w:p>
          <w:p>
            <w:pPr>
              <w:spacing w:after="40" w:before="40"/>
            </w:pPr>
            <w:r>
              <w:rPr>
                <w:rFonts w:ascii="Work Sans" w:cs="Work Sans" w:eastAsia="Work Sans" w:hAnsi="Work Sans"/>
                <w:color w:val="333333"/>
                <w:sz w:val="18"/>
                <w:szCs w:val="18"/>
              </w:rPr>
              <w:t xml:space="preserve">Existing account flags recorded</w:t>
            </w:r>
          </w:p>
          <w:p>
            <w:pPr>
              <w:spacing w:after="40" w:before="40"/>
            </w:pPr>
            <w:r>
              <w:rPr>
                <w:rFonts w:ascii="Work Sans" w:cs="Work Sans" w:eastAsia="Work Sans" w:hAnsi="Work Sans"/>
                <w:color w:val="333333"/>
                <w:sz w:val="18"/>
                <w:szCs w:val="18"/>
              </w:rPr>
              <w:t xml:space="preserve">Current pricing tier data collected from suppliers</w:t>
            </w:r>
          </w:p>
          <w:p>
            <w:pPr>
              <w:spacing w:after="40" w:before="40"/>
            </w:pPr>
            <w:r>
              <w:rPr>
                <w:rFonts w:ascii="Work Sans" w:cs="Work Sans" w:eastAsia="Work Sans" w:hAnsi="Work Sans"/>
                <w:color w:val="333333"/>
                <w:sz w:val="18"/>
                <w:szCs w:val="18"/>
              </w:rPr>
              <w:t xml:space="preserve">Before-and-after pricing comparison prepared</w:t>
            </w:r>
          </w:p>
        </w:tc>
        <w:tc>
          <w:tcPr>
            <w:tcW w:type="dxa" w:w="26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Has the member selected at least one Supply Partner?</w:t>
            </w:r>
          </w:p>
          <w:p>
            <w:pPr>
              <w:spacing w:after="40" w:before="40"/>
            </w:pPr>
            <w:r>
              <w:rPr>
                <w:rFonts w:ascii="Work Sans" w:cs="Work Sans" w:eastAsia="Work Sans" w:hAnsi="Work Sans"/>
                <w:color w:val="333333"/>
                <w:sz w:val="18"/>
                <w:szCs w:val="18"/>
              </w:rPr>
              <w:t xml:space="preserve">Have existing account pricing tiers been confirmed?</w:t>
            </w:r>
          </w:p>
        </w:tc>
      </w:tr>
    </w:tbl>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Stage 2  —  Detailed Data Capture</w:t>
      </w:r>
    </w:p>
    <w:p>
      <w:pPr>
        <w:spacing w:after="100" w:before="100"/>
      </w:pPr>
      <w:r>
        <w:t xml:space="preserve"/>
      </w:r>
    </w:p>
    <w:p>
      <w:pPr>
        <w:spacing w:after="80" w:before="80"/>
      </w:pPr>
      <w:r>
        <w:rPr>
          <w:rFonts w:ascii="Work Sans" w:cs="Work Sans" w:eastAsia="Work Sans" w:hAnsi="Work Sans"/>
          <w:color w:val="333333"/>
          <w:sz w:val="20"/>
          <w:szCs w:val="20"/>
        </w:rPr>
        <w:t xml:space="preserve">Once supplier selections are made, the member completes a detailed intake form. This form is organised into subject sections, each of which can be delegated to the appropriate person within the business.</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Delegation Model</w:t>
      </w:r>
    </w:p>
    <w:p>
      <w:pPr>
        <w:pStyle w:val="ListParagraph"/>
        <w:numPr>
          <w:ilvl w:val="0"/>
          <w:numId w:val="2"/>
        </w:numPr>
        <w:spacing w:after="60" w:before="60"/>
      </w:pPr>
      <w:r>
        <w:rPr>
          <w:rFonts w:ascii="Work Sans" w:cs="Work Sans" w:eastAsia="Work Sans" w:hAnsi="Work Sans"/>
          <w:color w:val="333333"/>
          <w:sz w:val="20"/>
          <w:szCs w:val="20"/>
        </w:rPr>
        <w:t xml:space="preserve">The business owner reviews the full form and assigns each section to the relevant person</w:t>
      </w:r>
    </w:p>
    <w:p>
      <w:pPr>
        <w:pStyle w:val="ListParagraph"/>
        <w:numPr>
          <w:ilvl w:val="0"/>
          <w:numId w:val="2"/>
        </w:numPr>
        <w:spacing w:after="60" w:before="60"/>
      </w:pPr>
      <w:r>
        <w:rPr>
          <w:rFonts w:ascii="Work Sans" w:cs="Work Sans" w:eastAsia="Work Sans" w:hAnsi="Work Sans"/>
          <w:color w:val="333333"/>
          <w:sz w:val="20"/>
          <w:szCs w:val="20"/>
        </w:rPr>
        <w:t xml:space="preserve">Each assignee receives their section directly (via email or SMS link)</w:t>
      </w:r>
    </w:p>
    <w:p>
      <w:pPr>
        <w:pStyle w:val="ListParagraph"/>
        <w:numPr>
          <w:ilvl w:val="0"/>
          <w:numId w:val="2"/>
        </w:numPr>
        <w:spacing w:after="60" w:before="60"/>
      </w:pPr>
      <w:r>
        <w:rPr>
          <w:rFonts w:ascii="Work Sans" w:cs="Work Sans" w:eastAsia="Work Sans" w:hAnsi="Work Sans"/>
          <w:color w:val="333333"/>
          <w:sz w:val="20"/>
          <w:szCs w:val="20"/>
        </w:rPr>
        <w:t xml:space="preserve">If the owner elects to complete everything themselves, the full form is presented as a single comprehensive document</w:t>
      </w:r>
    </w:p>
    <w:p>
      <w:pPr>
        <w:pStyle w:val="ListParagraph"/>
        <w:numPr>
          <w:ilvl w:val="0"/>
          <w:numId w:val="2"/>
        </w:numPr>
        <w:spacing w:after="60" w:before="60"/>
      </w:pPr>
      <w:r>
        <w:rPr>
          <w:rFonts w:ascii="Work Sans" w:cs="Work Sans" w:eastAsia="Work Sans" w:hAnsi="Work Sans"/>
          <w:color w:val="333333"/>
          <w:sz w:val="20"/>
          <w:szCs w:val="20"/>
        </w:rPr>
        <w:t xml:space="preserve">Certain questions are owner-only and cannot be delegated — specifically those relating to business goals and vision</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Form Sections</w:t>
      </w:r>
    </w:p>
    <w:p>
      <w:pPr>
        <w:spacing w:after="80" w:before="80"/>
      </w:pPr>
      <w:r>
        <w:rPr>
          <w:rFonts w:ascii="Work Sans" w:cs="Work Sans" w:eastAsia="Work Sans" w:hAnsi="Work Sans"/>
          <w:color w:val="333333"/>
          <w:sz w:val="20"/>
          <w:szCs w:val="20"/>
        </w:rPr>
        <w:t xml:space="preserve">The following sections are included in the detailed intake form. This list will evolve as the program matures.</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Section A — Business Goals and Vision  (Owner Only)</w:t>
      </w:r>
    </w:p>
    <w:p>
      <w:pPr>
        <w:pStyle w:val="ListParagraph"/>
        <w:numPr>
          <w:ilvl w:val="0"/>
          <w:numId w:val="2"/>
        </w:numPr>
        <w:spacing w:after="60" w:before="60"/>
      </w:pPr>
      <w:r>
        <w:rPr>
          <w:rFonts w:ascii="Work Sans" w:cs="Work Sans" w:eastAsia="Work Sans" w:hAnsi="Work Sans"/>
          <w:color w:val="333333"/>
          <w:sz w:val="20"/>
          <w:szCs w:val="20"/>
        </w:rPr>
        <w:t xml:space="preserve">Short-term and long-term business goals</w:t>
      </w:r>
    </w:p>
    <w:p>
      <w:pPr>
        <w:pStyle w:val="ListParagraph"/>
        <w:numPr>
          <w:ilvl w:val="0"/>
          <w:numId w:val="2"/>
        </w:numPr>
        <w:spacing w:after="60" w:before="60"/>
      </w:pPr>
      <w:r>
        <w:rPr>
          <w:rFonts w:ascii="Work Sans" w:cs="Work Sans" w:eastAsia="Work Sans" w:hAnsi="Work Sans"/>
          <w:color w:val="333333"/>
          <w:sz w:val="20"/>
          <w:szCs w:val="20"/>
        </w:rPr>
        <w:t xml:space="preserve">Vision for where the business is heading</w:t>
      </w:r>
    </w:p>
    <w:p>
      <w:pPr>
        <w:pStyle w:val="ListParagraph"/>
        <w:numPr>
          <w:ilvl w:val="0"/>
          <w:numId w:val="2"/>
        </w:numPr>
        <w:spacing w:after="60" w:before="60"/>
      </w:pPr>
      <w:r>
        <w:rPr>
          <w:rFonts w:ascii="Work Sans" w:cs="Work Sans" w:eastAsia="Work Sans" w:hAnsi="Work Sans"/>
          <w:color w:val="333333"/>
          <w:sz w:val="20"/>
          <w:szCs w:val="20"/>
        </w:rPr>
        <w:t xml:space="preserve">Motivation for joining HIVE</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Section B — Financial Information</w:t>
      </w:r>
    </w:p>
    <w:p>
      <w:pPr>
        <w:pStyle w:val="ListParagraph"/>
        <w:numPr>
          <w:ilvl w:val="0"/>
          <w:numId w:val="2"/>
        </w:numPr>
        <w:spacing w:after="60" w:before="60"/>
      </w:pPr>
      <w:r>
        <w:rPr>
          <w:rFonts w:ascii="Work Sans" w:cs="Work Sans" w:eastAsia="Work Sans" w:hAnsi="Work Sans"/>
          <w:color w:val="333333"/>
          <w:sz w:val="20"/>
          <w:szCs w:val="20"/>
        </w:rPr>
        <w:t xml:space="preserve">Annual turnover (range)</w:t>
      </w:r>
    </w:p>
    <w:p>
      <w:pPr>
        <w:pStyle w:val="ListParagraph"/>
        <w:numPr>
          <w:ilvl w:val="0"/>
          <w:numId w:val="2"/>
        </w:numPr>
        <w:spacing w:after="60" w:before="60"/>
      </w:pPr>
      <w:r>
        <w:rPr>
          <w:rFonts w:ascii="Work Sans" w:cs="Work Sans" w:eastAsia="Work Sans" w:hAnsi="Work Sans"/>
          <w:color w:val="333333"/>
          <w:sz w:val="20"/>
          <w:szCs w:val="20"/>
        </w:rPr>
        <w:t xml:space="preserve">Number of jobs per month / year (range)</w:t>
      </w:r>
    </w:p>
    <w:p>
      <w:pPr>
        <w:pStyle w:val="ListParagraph"/>
        <w:numPr>
          <w:ilvl w:val="0"/>
          <w:numId w:val="2"/>
        </w:numPr>
        <w:spacing w:after="60" w:before="60"/>
      </w:pPr>
      <w:r>
        <w:rPr>
          <w:rFonts w:ascii="Work Sans" w:cs="Work Sans" w:eastAsia="Work Sans" w:hAnsi="Work Sans"/>
          <w:color w:val="333333"/>
          <w:sz w:val="20"/>
          <w:szCs w:val="20"/>
        </w:rPr>
        <w:t xml:space="preserve">Current payment terms with suppliers</w:t>
      </w:r>
    </w:p>
    <w:p>
      <w:pPr>
        <w:pStyle w:val="ListParagraph"/>
        <w:numPr>
          <w:ilvl w:val="0"/>
          <w:numId w:val="2"/>
        </w:numPr>
        <w:spacing w:after="60" w:before="60"/>
      </w:pPr>
      <w:r>
        <w:rPr>
          <w:rFonts w:ascii="Work Sans" w:cs="Work Sans" w:eastAsia="Work Sans" w:hAnsi="Work Sans"/>
          <w:color w:val="333333"/>
          <w:sz w:val="20"/>
          <w:szCs w:val="20"/>
        </w:rPr>
        <w:t xml:space="preserve">Cash flow patterns and any known constraints</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Section C — Staffing and Employment</w:t>
      </w:r>
    </w:p>
    <w:p>
      <w:pPr>
        <w:pStyle w:val="ListParagraph"/>
        <w:numPr>
          <w:ilvl w:val="0"/>
          <w:numId w:val="2"/>
        </w:numPr>
        <w:spacing w:after="60" w:before="60"/>
      </w:pPr>
      <w:r>
        <w:rPr>
          <w:rFonts w:ascii="Work Sans" w:cs="Work Sans" w:eastAsia="Work Sans" w:hAnsi="Work Sans"/>
          <w:color w:val="333333"/>
          <w:sz w:val="20"/>
          <w:szCs w:val="20"/>
        </w:rPr>
        <w:t xml:space="preserve">Number of employees (full-time, part-time, subcontractors)</w:t>
      </w:r>
    </w:p>
    <w:p>
      <w:pPr>
        <w:pStyle w:val="ListParagraph"/>
        <w:numPr>
          <w:ilvl w:val="0"/>
          <w:numId w:val="2"/>
        </w:numPr>
        <w:spacing w:after="60" w:before="60"/>
      </w:pPr>
      <w:r>
        <w:rPr>
          <w:rFonts w:ascii="Work Sans" w:cs="Work Sans" w:eastAsia="Work Sans" w:hAnsi="Work Sans"/>
          <w:color w:val="333333"/>
          <w:sz w:val="20"/>
          <w:szCs w:val="20"/>
        </w:rPr>
        <w:t xml:space="preserve">Key roles within the business</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Section D — Services and Geographic Specialisation</w:t>
      </w:r>
    </w:p>
    <w:p>
      <w:pPr>
        <w:pStyle w:val="ListParagraph"/>
        <w:numPr>
          <w:ilvl w:val="0"/>
          <w:numId w:val="2"/>
        </w:numPr>
        <w:spacing w:after="60" w:before="60"/>
      </w:pPr>
      <w:r>
        <w:rPr>
          <w:rFonts w:ascii="Work Sans" w:cs="Work Sans" w:eastAsia="Work Sans" w:hAnsi="Work Sans"/>
          <w:color w:val="333333"/>
          <w:sz w:val="20"/>
          <w:szCs w:val="20"/>
        </w:rPr>
        <w:t xml:space="preserve">Trade type(s) and service specialisations</w:t>
      </w:r>
    </w:p>
    <w:p>
      <w:pPr>
        <w:pStyle w:val="ListParagraph"/>
        <w:numPr>
          <w:ilvl w:val="0"/>
          <w:numId w:val="2"/>
        </w:numPr>
        <w:spacing w:after="60" w:before="60"/>
      </w:pPr>
      <w:r>
        <w:rPr>
          <w:rFonts w:ascii="Work Sans" w:cs="Work Sans" w:eastAsia="Work Sans" w:hAnsi="Work Sans"/>
          <w:color w:val="333333"/>
          <w:sz w:val="20"/>
          <w:szCs w:val="20"/>
        </w:rPr>
        <w:t xml:space="preserve">Geographic areas serviced</w:t>
      </w:r>
    </w:p>
    <w:p>
      <w:pPr>
        <w:pStyle w:val="ListParagraph"/>
        <w:numPr>
          <w:ilvl w:val="0"/>
          <w:numId w:val="2"/>
        </w:numPr>
        <w:spacing w:after="60" w:before="60"/>
      </w:pPr>
      <w:r>
        <w:rPr>
          <w:rFonts w:ascii="Work Sans" w:cs="Work Sans" w:eastAsia="Work Sans" w:hAnsi="Work Sans"/>
          <w:color w:val="333333"/>
          <w:sz w:val="20"/>
          <w:szCs w:val="20"/>
        </w:rPr>
        <w:t xml:space="preserve">Residential vs commercial vs government work mix</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Section E — Planning and Quoting</w:t>
      </w:r>
    </w:p>
    <w:p>
      <w:pPr>
        <w:pStyle w:val="ListParagraph"/>
        <w:numPr>
          <w:ilvl w:val="0"/>
          <w:numId w:val="2"/>
        </w:numPr>
        <w:spacing w:after="60" w:before="60"/>
      </w:pPr>
      <w:r>
        <w:rPr>
          <w:rFonts w:ascii="Work Sans" w:cs="Work Sans" w:eastAsia="Work Sans" w:hAnsi="Work Sans"/>
          <w:color w:val="333333"/>
          <w:sz w:val="20"/>
          <w:szCs w:val="20"/>
        </w:rPr>
        <w:t xml:space="preserve">How they currently quote and estimate jobs</w:t>
      </w:r>
    </w:p>
    <w:p>
      <w:pPr>
        <w:pStyle w:val="ListParagraph"/>
        <w:numPr>
          <w:ilvl w:val="0"/>
          <w:numId w:val="2"/>
        </w:numPr>
        <w:spacing w:after="60" w:before="60"/>
      </w:pPr>
      <w:r>
        <w:rPr>
          <w:rFonts w:ascii="Work Sans" w:cs="Work Sans" w:eastAsia="Work Sans" w:hAnsi="Work Sans"/>
          <w:color w:val="333333"/>
          <w:sz w:val="20"/>
          <w:szCs w:val="20"/>
        </w:rPr>
        <w:t xml:space="preserve">Quoting / estimation software in use (e.g. Buildxact, Databuild, manual)</w:t>
      </w:r>
    </w:p>
    <w:p>
      <w:pPr>
        <w:pStyle w:val="ListParagraph"/>
        <w:numPr>
          <w:ilvl w:val="0"/>
          <w:numId w:val="2"/>
        </w:numPr>
        <w:spacing w:after="60" w:before="60"/>
      </w:pPr>
      <w:r>
        <w:rPr>
          <w:rFonts w:ascii="Work Sans" w:cs="Work Sans" w:eastAsia="Work Sans" w:hAnsi="Work Sans"/>
          <w:color w:val="333333"/>
          <w:sz w:val="20"/>
          <w:szCs w:val="20"/>
        </w:rPr>
        <w:t xml:space="preserve">Project management tools in use</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Section F — Sourcing and Purchasing</w:t>
      </w:r>
    </w:p>
    <w:p>
      <w:pPr>
        <w:pStyle w:val="ListParagraph"/>
        <w:numPr>
          <w:ilvl w:val="0"/>
          <w:numId w:val="2"/>
        </w:numPr>
        <w:spacing w:after="60" w:before="60"/>
      </w:pPr>
      <w:r>
        <w:rPr>
          <w:rFonts w:ascii="Work Sans" w:cs="Work Sans" w:eastAsia="Work Sans" w:hAnsi="Work Sans"/>
          <w:color w:val="333333"/>
          <w:sz w:val="20"/>
          <w:szCs w:val="20"/>
        </w:rPr>
        <w:t xml:space="preserve">Where they currently purchase materials and supplies</w:t>
      </w:r>
    </w:p>
    <w:p>
      <w:pPr>
        <w:pStyle w:val="ListParagraph"/>
        <w:numPr>
          <w:ilvl w:val="0"/>
          <w:numId w:val="2"/>
        </w:numPr>
        <w:spacing w:after="60" w:before="60"/>
      </w:pPr>
      <w:r>
        <w:rPr>
          <w:rFonts w:ascii="Work Sans" w:cs="Work Sans" w:eastAsia="Work Sans" w:hAnsi="Work Sans"/>
          <w:color w:val="333333"/>
          <w:sz w:val="20"/>
          <w:szCs w:val="20"/>
        </w:rPr>
        <w:t xml:space="preserve">Types of goods regularly purchased</w:t>
      </w:r>
    </w:p>
    <w:p>
      <w:pPr>
        <w:pStyle w:val="ListParagraph"/>
        <w:numPr>
          <w:ilvl w:val="0"/>
          <w:numId w:val="2"/>
        </w:numPr>
        <w:spacing w:after="60" w:before="60"/>
      </w:pPr>
      <w:r>
        <w:rPr>
          <w:rFonts w:ascii="Work Sans" w:cs="Work Sans" w:eastAsia="Work Sans" w:hAnsi="Work Sans"/>
          <w:color w:val="333333"/>
          <w:sz w:val="20"/>
          <w:szCs w:val="20"/>
        </w:rPr>
        <w:t xml:space="preserve">Average monthly materials spend (range)</w:t>
      </w:r>
    </w:p>
    <w:p>
      <w:pPr>
        <w:pStyle w:val="ListParagraph"/>
        <w:numPr>
          <w:ilvl w:val="0"/>
          <w:numId w:val="2"/>
        </w:numPr>
        <w:spacing w:after="60" w:before="60"/>
      </w:pPr>
      <w:r>
        <w:rPr>
          <w:rFonts w:ascii="Work Sans" w:cs="Work Sans" w:eastAsia="Work Sans" w:hAnsi="Work Sans"/>
          <w:color w:val="333333"/>
          <w:sz w:val="20"/>
          <w:szCs w:val="20"/>
        </w:rPr>
        <w:t xml:space="preserve">Current account types (trade account, cash, credit card)</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Section G — Software and Systems</w:t>
      </w:r>
    </w:p>
    <w:p>
      <w:pPr>
        <w:pStyle w:val="ListParagraph"/>
        <w:numPr>
          <w:ilvl w:val="0"/>
          <w:numId w:val="2"/>
        </w:numPr>
        <w:spacing w:after="60" w:before="60"/>
      </w:pPr>
      <w:r>
        <w:rPr>
          <w:rFonts w:ascii="Work Sans" w:cs="Work Sans" w:eastAsia="Work Sans" w:hAnsi="Work Sans"/>
          <w:color w:val="333333"/>
          <w:sz w:val="20"/>
          <w:szCs w:val="20"/>
        </w:rPr>
        <w:t xml:space="preserve">Accounting software in use (Xero / QuickBooks / MYOB / other)</w:t>
      </w:r>
    </w:p>
    <w:p>
      <w:pPr>
        <w:pStyle w:val="ListParagraph"/>
        <w:numPr>
          <w:ilvl w:val="0"/>
          <w:numId w:val="2"/>
        </w:numPr>
        <w:spacing w:after="60" w:before="60"/>
      </w:pPr>
      <w:r>
        <w:rPr>
          <w:rFonts w:ascii="Work Sans" w:cs="Work Sans" w:eastAsia="Work Sans" w:hAnsi="Work Sans"/>
          <w:color w:val="333333"/>
          <w:sz w:val="20"/>
          <w:szCs w:val="20"/>
        </w:rPr>
        <w:t xml:space="preserve">Other business software in use</w:t>
      </w:r>
    </w:p>
    <w:p>
      <w:pPr>
        <w:pStyle w:val="ListParagraph"/>
        <w:numPr>
          <w:ilvl w:val="0"/>
          <w:numId w:val="2"/>
        </w:numPr>
        <w:spacing w:after="60" w:before="60"/>
      </w:pPr>
      <w:r>
        <w:rPr>
          <w:rFonts w:ascii="Work Sans" w:cs="Work Sans" w:eastAsia="Work Sans" w:hAnsi="Work Sans"/>
          <w:color w:val="333333"/>
          <w:sz w:val="20"/>
          <w:szCs w:val="20"/>
        </w:rPr>
        <w:t xml:space="preserve">Current integrations between systems</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System requirement: The intake form must support section-level delegation by email or SMS link. Owner-only sections must not be delegatable. The system should track completion status per section and per assignee, and notify the HIVE team when all sections are complete.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vAlign w:val="center"/>
          </w:tcPr>
          <w:p>
            <w:pPr>
              <w:jc w:val="center"/>
            </w:pPr>
            <w:r>
              <w:rPr>
                <w:rFonts w:ascii="Raleway" w:cs="Raleway" w:eastAsia="Raleway" w:hAnsi="Raleway"/>
                <w:b/>
                <w:bCs/>
                <w:color w:val="E6FF2B"/>
                <w:sz w:val="36"/>
                <w:szCs w:val="36"/>
              </w:rPr>
              <w:t xml:space="preserve">2</w:t>
            </w:r>
          </w:p>
        </w:tc>
        <w:tc>
          <w:tcPr>
            <w:tcW w:type="dxa" w:w="7920"/>
            <w:gridSpan w:val="3"/>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Raleway" w:cs="Raleway" w:eastAsia="Raleway" w:hAnsi="Raleway"/>
                <w:b/>
                <w:bCs/>
                <w:color w:val="FFFFFF"/>
                <w:sz w:val="24"/>
                <w:szCs w:val="24"/>
              </w:rPr>
              <w:t xml:space="preserve">DETAILED DATA CAPTURE</w:t>
            </w:r>
          </w:p>
        </w:tc>
      </w:tr>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INPUTS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OUTPUTS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DECISION POINT</w:t>
            </w:r>
          </w:p>
        </w:tc>
      </w:tr>
      <w:tr>
        <w:tc>
          <w:tcPr>
            <w:tcW w:type="dxa" w:w="14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Supplier selections from Stage 1</w:t>
            </w:r>
          </w:p>
          <w:p>
            <w:pPr>
              <w:spacing w:after="40" w:before="40"/>
            </w:pPr>
            <w:r>
              <w:rPr>
                <w:rFonts w:ascii="Work Sans" w:cs="Work Sans" w:eastAsia="Work Sans" w:hAnsi="Work Sans"/>
                <w:color w:val="333333"/>
                <w:sz w:val="18"/>
                <w:szCs w:val="18"/>
              </w:rPr>
              <w:t xml:space="preserve">Contact details for business owner and relevant team members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Completed intake form across all sections</w:t>
            </w:r>
          </w:p>
          <w:p>
            <w:pPr>
              <w:spacing w:after="40" w:before="40"/>
            </w:pPr>
            <w:r>
              <w:rPr>
                <w:rFonts w:ascii="Work Sans" w:cs="Work Sans" w:eastAsia="Work Sans" w:hAnsi="Work Sans"/>
                <w:color w:val="333333"/>
                <w:sz w:val="18"/>
                <w:szCs w:val="18"/>
              </w:rPr>
              <w:t xml:space="preserve">All section assignees have responded</w:t>
            </w:r>
          </w:p>
          <w:p>
            <w:pPr>
              <w:spacing w:after="40" w:before="40"/>
            </w:pPr>
            <w:r>
              <w:rPr>
                <w:rFonts w:ascii="Work Sans" w:cs="Work Sans" w:eastAsia="Work Sans" w:hAnsi="Work Sans"/>
                <w:color w:val="333333"/>
                <w:sz w:val="18"/>
                <w:szCs w:val="18"/>
              </w:rPr>
              <w:t xml:space="preserve">Data stored against member record</w:t>
            </w:r>
          </w:p>
        </w:tc>
        <w:tc>
          <w:tcPr>
            <w:tcW w:type="dxa" w:w="26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Are all sections complete?</w:t>
            </w:r>
          </w:p>
          <w:p>
            <w:pPr>
              <w:spacing w:after="40" w:before="40"/>
            </w:pPr>
            <w:r>
              <w:rPr>
                <w:rFonts w:ascii="Work Sans" w:cs="Work Sans" w:eastAsia="Work Sans" w:hAnsi="Work Sans"/>
                <w:color w:val="333333"/>
                <w:sz w:val="18"/>
                <w:szCs w:val="18"/>
              </w:rPr>
              <w:t xml:space="preserve">Are owner-only sections confirmed as completed by the owner?</w:t>
            </w:r>
          </w:p>
          <w:p>
            <w:pPr>
              <w:spacing w:after="40" w:before="40"/>
            </w:pPr>
            <w:r>
              <w:rPr>
                <w:rFonts w:ascii="Work Sans" w:cs="Work Sans" w:eastAsia="Work Sans" w:hAnsi="Work Sans"/>
                <w:color w:val="333333"/>
                <w:sz w:val="18"/>
                <w:szCs w:val="18"/>
              </w:rPr>
              <w:t xml:space="preserve">Is the data sufficient for Linda's financial health assessment?</w:t>
            </w:r>
          </w:p>
        </w:tc>
      </w:tr>
    </w:tbl>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Stage 3  —  Financial Health Assessment</w:t>
      </w:r>
    </w:p>
    <w:p>
      <w:pPr>
        <w:spacing w:after="100" w:before="100"/>
      </w:pPr>
      <w:r>
        <w:t xml:space="preserve"/>
      </w:r>
    </w:p>
    <w:p>
      <w:pPr>
        <w:spacing w:after="80" w:before="80"/>
      </w:pPr>
      <w:r>
        <w:rPr>
          <w:rFonts w:ascii="Work Sans" w:cs="Work Sans" w:eastAsia="Work Sans" w:hAnsi="Work Sans"/>
          <w:color w:val="333333"/>
          <w:sz w:val="20"/>
          <w:szCs w:val="20"/>
        </w:rPr>
        <w:t xml:space="preserve">The Financial Health Assessment is conducted by Linda from Beyond Bookkeeping, a HIVE Supply Partner. It consists of two components delivered in sequence.</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Component 1 — Financial Performance and Health Review</w:t>
      </w:r>
    </w:p>
    <w:p>
      <w:pPr>
        <w:pStyle w:val="ListParagraph"/>
        <w:numPr>
          <w:ilvl w:val="0"/>
          <w:numId w:val="2"/>
        </w:numPr>
        <w:spacing w:after="60" w:before="60"/>
      </w:pPr>
      <w:r>
        <w:rPr>
          <w:rFonts w:ascii="Work Sans" w:cs="Work Sans" w:eastAsia="Work Sans" w:hAnsi="Work Sans"/>
          <w:color w:val="333333"/>
          <w:sz w:val="20"/>
          <w:szCs w:val="20"/>
        </w:rPr>
        <w:t xml:space="preserve">Assessment of the business's current financial performance</w:t>
      </w:r>
    </w:p>
    <w:p>
      <w:pPr>
        <w:pStyle w:val="ListParagraph"/>
        <w:numPr>
          <w:ilvl w:val="0"/>
          <w:numId w:val="2"/>
        </w:numPr>
        <w:spacing w:after="60" w:before="60"/>
      </w:pPr>
      <w:r>
        <w:rPr>
          <w:rFonts w:ascii="Work Sans" w:cs="Work Sans" w:eastAsia="Work Sans" w:hAnsi="Work Sans"/>
          <w:color w:val="333333"/>
          <w:sz w:val="20"/>
          <w:szCs w:val="20"/>
        </w:rPr>
        <w:t xml:space="preserve">Benchmarked against IBISWorld industry data (licence required — pending)</w:t>
      </w:r>
    </w:p>
    <w:p>
      <w:pPr>
        <w:pStyle w:val="ListParagraph"/>
        <w:numPr>
          <w:ilvl w:val="0"/>
          <w:numId w:val="2"/>
        </w:numPr>
        <w:spacing w:after="60" w:before="60"/>
      </w:pPr>
      <w:r>
        <w:rPr>
          <w:rFonts w:ascii="Work Sans" w:cs="Work Sans" w:eastAsia="Work Sans" w:hAnsi="Work Sans"/>
          <w:color w:val="333333"/>
          <w:sz w:val="20"/>
          <w:szCs w:val="20"/>
        </w:rPr>
        <w:t xml:space="preserve">Identifies risk areas: cash flow, debtor days, profitability, payment history</w:t>
      </w:r>
    </w:p>
    <w:p>
      <w:pPr>
        <w:pStyle w:val="ListParagraph"/>
        <w:numPr>
          <w:ilvl w:val="0"/>
          <w:numId w:val="2"/>
        </w:numPr>
        <w:spacing w:after="60" w:before="60"/>
      </w:pPr>
      <w:r>
        <w:rPr>
          <w:rFonts w:ascii="Work Sans" w:cs="Work Sans" w:eastAsia="Work Sans" w:hAnsi="Work Sans"/>
          <w:color w:val="333333"/>
          <w:sz w:val="20"/>
          <w:szCs w:val="20"/>
        </w:rPr>
        <w:t xml:space="preserve">Output: Financial Health Report issued to the member</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Component 2 — Systems and Integration Health Check</w:t>
      </w:r>
    </w:p>
    <w:p>
      <w:pPr>
        <w:pStyle w:val="ListParagraph"/>
        <w:numPr>
          <w:ilvl w:val="0"/>
          <w:numId w:val="2"/>
        </w:numPr>
        <w:spacing w:after="60" w:before="60"/>
      </w:pPr>
      <w:r>
        <w:rPr>
          <w:rFonts w:ascii="Work Sans" w:cs="Work Sans" w:eastAsia="Work Sans" w:hAnsi="Work Sans"/>
          <w:color w:val="333333"/>
          <w:sz w:val="20"/>
          <w:szCs w:val="20"/>
        </w:rPr>
        <w:t xml:space="preserve">Review of accounting software setup (Xero, QuickBooks, or MYOB)</w:t>
      </w:r>
    </w:p>
    <w:p>
      <w:pPr>
        <w:pStyle w:val="ListParagraph"/>
        <w:numPr>
          <w:ilvl w:val="0"/>
          <w:numId w:val="2"/>
        </w:numPr>
        <w:spacing w:after="60" w:before="60"/>
      </w:pPr>
      <w:r>
        <w:rPr>
          <w:rFonts w:ascii="Work Sans" w:cs="Work Sans" w:eastAsia="Work Sans" w:hAnsi="Work Sans"/>
          <w:color w:val="333333"/>
          <w:sz w:val="20"/>
          <w:szCs w:val="20"/>
        </w:rPr>
        <w:t xml:space="preserve">Verification that accounting software is integrated with the selected HIVE Supply Partners</w:t>
      </w:r>
    </w:p>
    <w:p>
      <w:pPr>
        <w:pStyle w:val="ListParagraph"/>
        <w:numPr>
          <w:ilvl w:val="0"/>
          <w:numId w:val="2"/>
        </w:numPr>
        <w:spacing w:after="60" w:before="60"/>
      </w:pPr>
      <w:r>
        <w:rPr>
          <w:rFonts w:ascii="Work Sans" w:cs="Work Sans" w:eastAsia="Work Sans" w:hAnsi="Work Sans"/>
          <w:color w:val="333333"/>
          <w:sz w:val="20"/>
          <w:szCs w:val="20"/>
        </w:rPr>
        <w:t xml:space="preserve">Check that construction management software (e.g. Buildxact) is set up and integrated with accounting software</w:t>
      </w:r>
    </w:p>
    <w:p>
      <w:pPr>
        <w:pStyle w:val="ListParagraph"/>
        <w:numPr>
          <w:ilvl w:val="0"/>
          <w:numId w:val="2"/>
        </w:numPr>
        <w:spacing w:after="60" w:before="60"/>
      </w:pPr>
      <w:r>
        <w:rPr>
          <w:rFonts w:ascii="Work Sans" w:cs="Work Sans" w:eastAsia="Work Sans" w:hAnsi="Work Sans"/>
          <w:color w:val="333333"/>
          <w:sz w:val="20"/>
          <w:szCs w:val="20"/>
        </w:rPr>
        <w:t xml:space="preserve">Verification that HIVE pricing files are accessible within their planning system</w:t>
      </w:r>
    </w:p>
    <w:p>
      <w:pPr>
        <w:pStyle w:val="ListParagraph"/>
        <w:numPr>
          <w:ilvl w:val="0"/>
          <w:numId w:val="2"/>
        </w:numPr>
        <w:spacing w:after="60" w:before="60"/>
      </w:pPr>
      <w:r>
        <w:rPr>
          <w:rFonts w:ascii="Work Sans" w:cs="Work Sans" w:eastAsia="Work Sans" w:hAnsi="Work Sans"/>
          <w:color w:val="333333"/>
          <w:sz w:val="20"/>
          <w:szCs w:val="20"/>
        </w:rPr>
        <w:t xml:space="preserve">Traffic light checklist output (Red / Amber / Green per item)</w:t>
      </w:r>
    </w:p>
    <w:p>
      <w:pPr>
        <w:pStyle w:val="ListParagraph"/>
        <w:numPr>
          <w:ilvl w:val="0"/>
          <w:numId w:val="2"/>
        </w:numPr>
        <w:spacing w:after="60" w:before="60"/>
      </w:pPr>
      <w:r>
        <w:rPr>
          <w:rFonts w:ascii="Work Sans" w:cs="Work Sans" w:eastAsia="Work Sans" w:hAnsi="Work Sans"/>
          <w:color w:val="333333"/>
          <w:sz w:val="20"/>
          <w:szCs w:val="20"/>
        </w:rPr>
        <w:t xml:space="preserve">Output: Systems Health Report issued to the member</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Optional Offer from Linda</w:t>
      </w:r>
    </w:p>
    <w:p>
      <w:pPr>
        <w:pStyle w:val="ListParagraph"/>
        <w:numPr>
          <w:ilvl w:val="0"/>
          <w:numId w:val="2"/>
        </w:numPr>
        <w:spacing w:after="60" w:before="60"/>
      </w:pPr>
      <w:r>
        <w:rPr>
          <w:rFonts w:ascii="Work Sans" w:cs="Work Sans" w:eastAsia="Work Sans" w:hAnsi="Work Sans"/>
          <w:color w:val="333333"/>
          <w:sz w:val="20"/>
          <w:szCs w:val="20"/>
        </w:rPr>
        <w:t xml:space="preserve">One-off remediation of identified issues (fixed price)</w:t>
      </w:r>
    </w:p>
    <w:p>
      <w:pPr>
        <w:pStyle w:val="ListParagraph"/>
        <w:numPr>
          <w:ilvl w:val="0"/>
          <w:numId w:val="2"/>
        </w:numPr>
        <w:spacing w:after="60" w:before="60"/>
      </w:pPr>
      <w:r>
        <w:rPr>
          <w:rFonts w:ascii="Work Sans" w:cs="Work Sans" w:eastAsia="Work Sans" w:hAnsi="Work Sans"/>
          <w:color w:val="333333"/>
          <w:sz w:val="20"/>
          <w:szCs w:val="20"/>
        </w:rPr>
        <w:t xml:space="preserve">Training (optional)</w:t>
      </w:r>
    </w:p>
    <w:p>
      <w:pPr>
        <w:pStyle w:val="ListParagraph"/>
        <w:numPr>
          <w:ilvl w:val="0"/>
          <w:numId w:val="2"/>
        </w:numPr>
        <w:spacing w:after="60" w:before="60"/>
      </w:pPr>
      <w:r>
        <w:rPr>
          <w:rFonts w:ascii="Work Sans" w:cs="Work Sans" w:eastAsia="Work Sans" w:hAnsi="Work Sans"/>
          <w:color w:val="333333"/>
          <w:sz w:val="20"/>
          <w:szCs w:val="20"/>
        </w:rPr>
        <w:t xml:space="preserve">Ongoing bookkeeping services (standardised package — Xero and Buildxact mandatory)</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Important: Linda does not load HIVE pricing into the member's systems until HIVE has formally approved membership. If Linda identifies concerns during the assessment, these are flagged to HIVE prior to the membership review in Stage 4.</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vAlign w:val="center"/>
          </w:tcPr>
          <w:p>
            <w:pPr>
              <w:jc w:val="center"/>
            </w:pPr>
            <w:r>
              <w:rPr>
                <w:rFonts w:ascii="Raleway" w:cs="Raleway" w:eastAsia="Raleway" w:hAnsi="Raleway"/>
                <w:b/>
                <w:bCs/>
                <w:color w:val="E6FF2B"/>
                <w:sz w:val="36"/>
                <w:szCs w:val="36"/>
              </w:rPr>
              <w:t xml:space="preserve">3</w:t>
            </w:r>
          </w:p>
        </w:tc>
        <w:tc>
          <w:tcPr>
            <w:tcW w:type="dxa" w:w="7920"/>
            <w:gridSpan w:val="3"/>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Raleway" w:cs="Raleway" w:eastAsia="Raleway" w:hAnsi="Raleway"/>
                <w:b/>
                <w:bCs/>
                <w:color w:val="FFFFFF"/>
                <w:sz w:val="24"/>
                <w:szCs w:val="24"/>
              </w:rPr>
              <w:t xml:space="preserve">FINANCIAL HEALTH ASSESSMENT</w:t>
            </w:r>
          </w:p>
        </w:tc>
      </w:tr>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INPUTS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OUTPUTS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DECISION POINT</w:t>
            </w:r>
          </w:p>
        </w:tc>
      </w:tr>
      <w:tr>
        <w:tc>
          <w:tcPr>
            <w:tcW w:type="dxa" w:w="14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Completed intake form data from Stage 2</w:t>
            </w:r>
          </w:p>
          <w:p>
            <w:pPr>
              <w:spacing w:after="40" w:before="40"/>
            </w:pPr>
            <w:r>
              <w:rPr>
                <w:rFonts w:ascii="Work Sans" w:cs="Work Sans" w:eastAsia="Work Sans" w:hAnsi="Work Sans"/>
                <w:color w:val="333333"/>
                <w:sz w:val="18"/>
                <w:szCs w:val="18"/>
              </w:rPr>
              <w:t xml:space="preserve">Supplier selections from Stage 1</w:t>
            </w:r>
          </w:p>
          <w:p>
            <w:pPr>
              <w:spacing w:after="40" w:before="40"/>
            </w:pPr>
            <w:r>
              <w:rPr>
                <w:rFonts w:ascii="Work Sans" w:cs="Work Sans" w:eastAsia="Work Sans" w:hAnsi="Work Sans"/>
                <w:color w:val="333333"/>
                <w:sz w:val="18"/>
                <w:szCs w:val="18"/>
              </w:rPr>
              <w:t xml:space="preserve">Access to member's accounting and planning software (where required)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Financial Health Report</w:t>
            </w:r>
          </w:p>
          <w:p>
            <w:pPr>
              <w:spacing w:after="40" w:before="40"/>
            </w:pPr>
            <w:r>
              <w:rPr>
                <w:rFonts w:ascii="Work Sans" w:cs="Work Sans" w:eastAsia="Work Sans" w:hAnsi="Work Sans"/>
                <w:color w:val="333333"/>
                <w:sz w:val="18"/>
                <w:szCs w:val="18"/>
              </w:rPr>
              <w:t xml:space="preserve">Systems Health Report</w:t>
            </w:r>
          </w:p>
          <w:p>
            <w:pPr>
              <w:spacing w:after="40" w:before="40"/>
            </w:pPr>
            <w:r>
              <w:rPr>
                <w:rFonts w:ascii="Work Sans" w:cs="Work Sans" w:eastAsia="Work Sans" w:hAnsi="Work Sans"/>
                <w:color w:val="333333"/>
                <w:sz w:val="18"/>
                <w:szCs w:val="18"/>
              </w:rPr>
              <w:t xml:space="preserve">Any concerns or flags raised to HIVE</w:t>
            </w:r>
          </w:p>
          <w:p>
            <w:pPr>
              <w:spacing w:after="40" w:before="40"/>
            </w:pPr>
            <w:r>
              <w:rPr>
                <w:rFonts w:ascii="Work Sans" w:cs="Work Sans" w:eastAsia="Work Sans" w:hAnsi="Work Sans"/>
                <w:color w:val="333333"/>
                <w:sz w:val="18"/>
                <w:szCs w:val="18"/>
              </w:rPr>
              <w:t xml:space="preserve">Optional service offer made to member</w:t>
            </w:r>
          </w:p>
        </w:tc>
        <w:tc>
          <w:tcPr>
            <w:tcW w:type="dxa" w:w="26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Has Linda raised any concerns about membership suitability?</w:t>
            </w:r>
          </w:p>
          <w:p>
            <w:pPr>
              <w:spacing w:after="40" w:before="40"/>
            </w:pPr>
            <w:r>
              <w:rPr>
                <w:rFonts w:ascii="Work Sans" w:cs="Work Sans" w:eastAsia="Work Sans" w:hAnsi="Work Sans"/>
                <w:color w:val="333333"/>
                <w:sz w:val="18"/>
                <w:szCs w:val="18"/>
              </w:rPr>
              <w:t xml:space="preserve">Are there cash flow issues that indicate risk of payment failure?</w:t>
            </w:r>
          </w:p>
          <w:p>
            <w:pPr>
              <w:spacing w:after="40" w:before="40"/>
            </w:pPr>
            <w:r>
              <w:rPr>
                <w:rFonts w:ascii="Work Sans" w:cs="Work Sans" w:eastAsia="Work Sans" w:hAnsi="Work Sans"/>
                <w:color w:val="333333"/>
                <w:sz w:val="18"/>
                <w:szCs w:val="18"/>
              </w:rPr>
              <w:t xml:space="preserve">Are the member's systems in a condition that can support HIVE integration?</w:t>
            </w:r>
          </w:p>
        </w:tc>
      </w:tr>
    </w:tbl>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Stage 4  —  Membership Review and Approval</w:t>
      </w:r>
    </w:p>
    <w:p>
      <w:pPr>
        <w:spacing w:after="100" w:before="100"/>
      </w:pPr>
      <w:r>
        <w:t xml:space="preserve"/>
      </w:r>
    </w:p>
    <w:p>
      <w:pPr>
        <w:spacing w:after="80" w:before="80"/>
      </w:pPr>
      <w:r>
        <w:rPr>
          <w:rFonts w:ascii="Work Sans" w:cs="Work Sans" w:eastAsia="Work Sans" w:hAnsi="Work Sans"/>
          <w:color w:val="333333"/>
          <w:sz w:val="20"/>
          <w:szCs w:val="20"/>
        </w:rPr>
        <w:t xml:space="preserve">Following Linda's assessment, HIVE reviews the prospective member's overall suitability for membership. This is a gate in the process — only members who pass this review proceed to supplier account setup.</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Review Criteria</w:t>
      </w:r>
    </w:p>
    <w:p>
      <w:pPr>
        <w:pStyle w:val="ListParagraph"/>
        <w:numPr>
          <w:ilvl w:val="0"/>
          <w:numId w:val="2"/>
        </w:numPr>
        <w:spacing w:after="60" w:before="60"/>
      </w:pPr>
      <w:r>
        <w:rPr>
          <w:rFonts w:ascii="Work Sans" w:cs="Work Sans" w:eastAsia="Work Sans" w:hAnsi="Work Sans"/>
          <w:color w:val="333333"/>
          <w:sz w:val="20"/>
          <w:szCs w:val="20"/>
        </w:rPr>
        <w:t xml:space="preserve">Financial health — can they pay on time? Are there cash flow constraints that put them at risk?</w:t>
      </w:r>
    </w:p>
    <w:p>
      <w:pPr>
        <w:pStyle w:val="ListParagraph"/>
        <w:numPr>
          <w:ilvl w:val="0"/>
          <w:numId w:val="2"/>
        </w:numPr>
        <w:spacing w:after="60" w:before="60"/>
      </w:pPr>
      <w:r>
        <w:rPr>
          <w:rFonts w:ascii="Work Sans" w:cs="Work Sans" w:eastAsia="Work Sans" w:hAnsi="Work Sans"/>
          <w:color w:val="333333"/>
          <w:sz w:val="20"/>
          <w:szCs w:val="20"/>
        </w:rPr>
        <w:t xml:space="preserve">Code of conduct compliance readiness — do they meet HIVE's standards, or is remediation required first?</w:t>
      </w:r>
    </w:p>
    <w:p>
      <w:pPr>
        <w:pStyle w:val="ListParagraph"/>
        <w:numPr>
          <w:ilvl w:val="0"/>
          <w:numId w:val="2"/>
        </w:numPr>
        <w:spacing w:after="60" w:before="60"/>
      </w:pPr>
      <w:r>
        <w:rPr>
          <w:rFonts w:ascii="Work Sans" w:cs="Work Sans" w:eastAsia="Work Sans" w:hAnsi="Work Sans"/>
          <w:color w:val="333333"/>
          <w:sz w:val="20"/>
          <w:szCs w:val="20"/>
        </w:rPr>
        <w:t xml:space="preserve">Systems readiness — are their systems in a condition that supports the HIVE model?</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Outcomes</w:t>
      </w:r>
    </w:p>
    <w:p>
      <w:pPr>
        <w:pStyle w:val="ListParagraph"/>
        <w:numPr>
          <w:ilvl w:val="0"/>
          <w:numId w:val="2"/>
        </w:numPr>
        <w:spacing w:after="60" w:before="60"/>
      </w:pPr>
      <w:r>
        <w:rPr>
          <w:rFonts w:ascii="Work Sans" w:cs="Work Sans" w:eastAsia="Work Sans" w:hAnsi="Work Sans"/>
          <w:color w:val="333333"/>
          <w:sz w:val="20"/>
          <w:szCs w:val="20"/>
        </w:rPr>
        <w:t xml:space="preserve">Approved — proceed to Stage 5</w:t>
      </w:r>
    </w:p>
    <w:p>
      <w:pPr>
        <w:pStyle w:val="ListParagraph"/>
        <w:numPr>
          <w:ilvl w:val="0"/>
          <w:numId w:val="2"/>
        </w:numPr>
        <w:spacing w:after="60" w:before="60"/>
      </w:pPr>
      <w:r>
        <w:rPr>
          <w:rFonts w:ascii="Work Sans" w:cs="Work Sans" w:eastAsia="Work Sans" w:hAnsi="Work Sans"/>
          <w:color w:val="333333"/>
          <w:sz w:val="20"/>
          <w:szCs w:val="20"/>
        </w:rPr>
        <w:t xml:space="preserve">Approved with conditions — proceed once specific remediation steps are completed</w:t>
      </w:r>
    </w:p>
    <w:p>
      <w:pPr>
        <w:pStyle w:val="ListParagraph"/>
        <w:numPr>
          <w:ilvl w:val="0"/>
          <w:numId w:val="2"/>
        </w:numPr>
        <w:spacing w:after="60" w:before="60"/>
      </w:pPr>
      <w:r>
        <w:rPr>
          <w:rFonts w:ascii="Work Sans" w:cs="Work Sans" w:eastAsia="Work Sans" w:hAnsi="Work Sans"/>
          <w:color w:val="333333"/>
          <w:sz w:val="20"/>
          <w:szCs w:val="20"/>
        </w:rPr>
        <w:t xml:space="preserve">Deferred — member is not ready; provide guidance and invite them to reapply</w:t>
      </w:r>
    </w:p>
    <w:p>
      <w:pPr>
        <w:pStyle w:val="ListParagraph"/>
        <w:numPr>
          <w:ilvl w:val="0"/>
          <w:numId w:val="2"/>
        </w:numPr>
        <w:spacing w:after="60" w:before="60"/>
      </w:pPr>
      <w:r>
        <w:rPr>
          <w:rFonts w:ascii="Work Sans" w:cs="Work Sans" w:eastAsia="Work Sans" w:hAnsi="Work Sans"/>
          <w:color w:val="333333"/>
          <w:sz w:val="20"/>
          <w:szCs w:val="20"/>
        </w:rPr>
        <w:t xml:space="preserve">Declined — membership is not appropriate at this time</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Risk rationale: Accepting members with cash flow constraints sets them up to fail. Late or missed supplier payments trigger suspension from the HIVE network, which harms the member, the supplier relationship, and HIVE's reputation. The approval gate protects all parties.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vAlign w:val="center"/>
          </w:tcPr>
          <w:p>
            <w:pPr>
              <w:jc w:val="center"/>
            </w:pPr>
            <w:r>
              <w:rPr>
                <w:rFonts w:ascii="Raleway" w:cs="Raleway" w:eastAsia="Raleway" w:hAnsi="Raleway"/>
                <w:b/>
                <w:bCs/>
                <w:color w:val="E6FF2B"/>
                <w:sz w:val="36"/>
                <w:szCs w:val="36"/>
              </w:rPr>
              <w:t xml:space="preserve">4</w:t>
            </w:r>
          </w:p>
        </w:tc>
        <w:tc>
          <w:tcPr>
            <w:tcW w:type="dxa" w:w="7920"/>
            <w:gridSpan w:val="3"/>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Raleway" w:cs="Raleway" w:eastAsia="Raleway" w:hAnsi="Raleway"/>
                <w:b/>
                <w:bCs/>
                <w:color w:val="FFFFFF"/>
                <w:sz w:val="24"/>
                <w:szCs w:val="24"/>
              </w:rPr>
              <w:t xml:space="preserve">MEMBERSHIP REVIEW &amp; APPROVAL</w:t>
            </w:r>
          </w:p>
        </w:tc>
      </w:tr>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INPUTS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OUTPUTS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DECISION POINT</w:t>
            </w:r>
          </w:p>
        </w:tc>
      </w:tr>
      <w:tr>
        <w:tc>
          <w:tcPr>
            <w:tcW w:type="dxa" w:w="14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Financial Health Report</w:t>
            </w:r>
          </w:p>
          <w:p>
            <w:pPr>
              <w:spacing w:after="40" w:before="40"/>
            </w:pPr>
            <w:r>
              <w:rPr>
                <w:rFonts w:ascii="Work Sans" w:cs="Work Sans" w:eastAsia="Work Sans" w:hAnsi="Work Sans"/>
                <w:color w:val="333333"/>
                <w:sz w:val="18"/>
                <w:szCs w:val="18"/>
              </w:rPr>
              <w:t xml:space="preserve">Systems Health Report</w:t>
            </w:r>
          </w:p>
          <w:p>
            <w:pPr>
              <w:spacing w:after="40" w:before="40"/>
            </w:pPr>
            <w:r>
              <w:rPr>
                <w:rFonts w:ascii="Work Sans" w:cs="Work Sans" w:eastAsia="Work Sans" w:hAnsi="Work Sans"/>
                <w:color w:val="333333"/>
                <w:sz w:val="18"/>
                <w:szCs w:val="18"/>
              </w:rPr>
              <w:t xml:space="preserve">Any flags from Linda</w:t>
            </w:r>
          </w:p>
          <w:p>
            <w:pPr>
              <w:spacing w:after="40" w:before="40"/>
            </w:pPr>
            <w:r>
              <w:rPr>
                <w:rFonts w:ascii="Work Sans" w:cs="Work Sans" w:eastAsia="Work Sans" w:hAnsi="Work Sans"/>
                <w:color w:val="333333"/>
                <w:sz w:val="18"/>
                <w:szCs w:val="18"/>
              </w:rPr>
              <w:t xml:space="preserve">HIVE code of conduct criteria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Formal membership decision (Approved / Conditional / Deferred / Declined)</w:t>
            </w:r>
          </w:p>
          <w:p>
            <w:pPr>
              <w:spacing w:after="40" w:before="40"/>
            </w:pPr>
            <w:r>
              <w:rPr>
                <w:rFonts w:ascii="Work Sans" w:cs="Work Sans" w:eastAsia="Work Sans" w:hAnsi="Work Sans"/>
                <w:color w:val="333333"/>
                <w:sz w:val="18"/>
                <w:szCs w:val="18"/>
              </w:rPr>
              <w:t xml:space="preserve">Decision communicated to prospective member</w:t>
            </w:r>
          </w:p>
          <w:p>
            <w:pPr>
              <w:spacing w:after="40" w:before="40"/>
            </w:pPr>
            <w:r>
              <w:rPr>
                <w:rFonts w:ascii="Work Sans" w:cs="Work Sans" w:eastAsia="Work Sans" w:hAnsi="Work Sans"/>
                <w:color w:val="333333"/>
                <w:sz w:val="18"/>
                <w:szCs w:val="18"/>
              </w:rPr>
              <w:t xml:space="preserve">Reason documented in member record</w:t>
            </w:r>
          </w:p>
        </w:tc>
        <w:tc>
          <w:tcPr>
            <w:tcW w:type="dxa" w:w="26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Does the member meet financial health thresholds?</w:t>
            </w:r>
          </w:p>
          <w:p>
            <w:pPr>
              <w:spacing w:after="40" w:before="40"/>
            </w:pPr>
            <w:r>
              <w:rPr>
                <w:rFonts w:ascii="Work Sans" w:cs="Work Sans" w:eastAsia="Work Sans" w:hAnsi="Work Sans"/>
                <w:color w:val="333333"/>
                <w:sz w:val="18"/>
                <w:szCs w:val="18"/>
              </w:rPr>
              <w:t xml:space="preserve">Are they compliant with (or able to comply with) the code of conduct?</w:t>
            </w:r>
          </w:p>
          <w:p>
            <w:pPr>
              <w:spacing w:after="40" w:before="40"/>
            </w:pPr>
            <w:r>
              <w:rPr>
                <w:rFonts w:ascii="Work Sans" w:cs="Work Sans" w:eastAsia="Work Sans" w:hAnsi="Work Sans"/>
                <w:color w:val="333333"/>
                <w:sz w:val="18"/>
                <w:szCs w:val="18"/>
              </w:rPr>
              <w:t xml:space="preserve">Are their systems ready to support HIVE integration?</w:t>
            </w:r>
          </w:p>
        </w:tc>
      </w:tr>
    </w:tbl>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Stage 5  —  Supplier Account Setup and HIVE Pricing Activation</w:t>
      </w:r>
    </w:p>
    <w:p>
      <w:pPr>
        <w:spacing w:after="100" w:before="100"/>
      </w:pPr>
      <w:r>
        <w:t xml:space="preserve"/>
      </w:r>
    </w:p>
    <w:p>
      <w:pPr>
        <w:spacing w:after="80" w:before="80"/>
      </w:pPr>
      <w:r>
        <w:rPr>
          <w:rFonts w:ascii="Work Sans" w:cs="Work Sans" w:eastAsia="Work Sans" w:hAnsi="Work Sans"/>
          <w:color w:val="333333"/>
          <w:sz w:val="20"/>
          <w:szCs w:val="20"/>
        </w:rPr>
        <w:t xml:space="preserve">Once membership is approved, HIVE facilitates the formal connection between the new member and their selected Supply Partners.</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New Account Applications</w:t>
      </w:r>
    </w:p>
    <w:p>
      <w:pPr>
        <w:pStyle w:val="ListParagraph"/>
        <w:numPr>
          <w:ilvl w:val="0"/>
          <w:numId w:val="2"/>
        </w:numPr>
        <w:spacing w:after="60" w:before="60"/>
      </w:pPr>
      <w:r>
        <w:rPr>
          <w:rFonts w:ascii="Work Sans" w:cs="Work Sans" w:eastAsia="Work Sans" w:hAnsi="Work Sans"/>
          <w:color w:val="333333"/>
          <w:sz w:val="20"/>
          <w:szCs w:val="20"/>
        </w:rPr>
        <w:t xml:space="preserve">HIVE uses data collected in the intake form to pre-populate supplier account application forms</w:t>
      </w:r>
    </w:p>
    <w:p>
      <w:pPr>
        <w:pStyle w:val="ListParagraph"/>
        <w:numPr>
          <w:ilvl w:val="0"/>
          <w:numId w:val="2"/>
        </w:numPr>
        <w:spacing w:after="60" w:before="60"/>
      </w:pPr>
      <w:r>
        <w:rPr>
          <w:rFonts w:ascii="Work Sans" w:cs="Work Sans" w:eastAsia="Work Sans" w:hAnsi="Work Sans"/>
          <w:color w:val="333333"/>
          <w:sz w:val="20"/>
          <w:szCs w:val="20"/>
        </w:rPr>
        <w:t xml:space="preserve">Forms are translated into each supplier's required format</w:t>
      </w:r>
    </w:p>
    <w:p>
      <w:pPr>
        <w:pStyle w:val="ListParagraph"/>
        <w:numPr>
          <w:ilvl w:val="0"/>
          <w:numId w:val="2"/>
        </w:numPr>
        <w:spacing w:after="60" w:before="60"/>
      </w:pPr>
      <w:r>
        <w:rPr>
          <w:rFonts w:ascii="Work Sans" w:cs="Work Sans" w:eastAsia="Work Sans" w:hAnsi="Work Sans"/>
          <w:color w:val="333333"/>
          <w:sz w:val="20"/>
          <w:szCs w:val="20"/>
        </w:rPr>
        <w:t xml:space="preserve">Member reviews and signs their application form for each supplier</w:t>
      </w:r>
    </w:p>
    <w:p>
      <w:pPr>
        <w:pStyle w:val="ListParagraph"/>
        <w:numPr>
          <w:ilvl w:val="0"/>
          <w:numId w:val="2"/>
        </w:numPr>
        <w:spacing w:after="60" w:before="60"/>
      </w:pPr>
      <w:r>
        <w:rPr>
          <w:rFonts w:ascii="Work Sans" w:cs="Work Sans" w:eastAsia="Work Sans" w:hAnsi="Work Sans"/>
          <w:color w:val="333333"/>
          <w:sz w:val="20"/>
          <w:szCs w:val="20"/>
        </w:rPr>
        <w:t xml:space="preserve">HIVE submits the signed application to the supplier</w:t>
      </w:r>
    </w:p>
    <w:p>
      <w:pPr>
        <w:pStyle w:val="ListParagraph"/>
        <w:numPr>
          <w:ilvl w:val="0"/>
          <w:numId w:val="2"/>
        </w:numPr>
        <w:spacing w:after="60" w:before="60"/>
      </w:pPr>
      <w:r>
        <w:rPr>
          <w:rFonts w:ascii="Work Sans" w:cs="Work Sans" w:eastAsia="Work Sans" w:hAnsi="Work Sans"/>
          <w:color w:val="333333"/>
          <w:sz w:val="20"/>
          <w:szCs w:val="20"/>
        </w:rPr>
        <w:t xml:space="preserve">Supplier runs their own due diligence and decides whether to approve the account and extend credit</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Existing Account Migration</w:t>
      </w:r>
    </w:p>
    <w:p>
      <w:pPr>
        <w:pStyle w:val="ListParagraph"/>
        <w:numPr>
          <w:ilvl w:val="0"/>
          <w:numId w:val="2"/>
        </w:numPr>
        <w:spacing w:after="60" w:before="60"/>
      </w:pPr>
      <w:r>
        <w:rPr>
          <w:rFonts w:ascii="Work Sans" w:cs="Work Sans" w:eastAsia="Work Sans" w:hAnsi="Work Sans"/>
          <w:color w:val="333333"/>
          <w:sz w:val="20"/>
          <w:szCs w:val="20"/>
        </w:rPr>
        <w:t xml:space="preserve">For members with existing accounts, HIVE notifies the supplier to assign HIVE pricing to the existing account</w:t>
      </w:r>
    </w:p>
    <w:p>
      <w:pPr>
        <w:pStyle w:val="ListParagraph"/>
        <w:numPr>
          <w:ilvl w:val="0"/>
          <w:numId w:val="2"/>
        </w:numPr>
        <w:spacing w:after="60" w:before="60"/>
      </w:pPr>
      <w:r>
        <w:rPr>
          <w:rFonts w:ascii="Work Sans" w:cs="Work Sans" w:eastAsia="Work Sans" w:hAnsi="Work Sans"/>
          <w:color w:val="333333"/>
          <w:sz w:val="20"/>
          <w:szCs w:val="20"/>
        </w:rPr>
        <w:t xml:space="preserve">No new account application is required</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HIVE Invoice Email Assignment</w:t>
      </w:r>
    </w:p>
    <w:p>
      <w:pPr>
        <w:pStyle w:val="ListParagraph"/>
        <w:numPr>
          <w:ilvl w:val="0"/>
          <w:numId w:val="2"/>
        </w:numPr>
        <w:spacing w:after="60" w:before="60"/>
      </w:pPr>
      <w:r>
        <w:rPr>
          <w:rFonts w:ascii="Work Sans" w:cs="Work Sans" w:eastAsia="Work Sans" w:hAnsi="Work Sans"/>
          <w:color w:val="333333"/>
          <w:sz w:val="20"/>
          <w:szCs w:val="20"/>
        </w:rPr>
        <w:t xml:space="preserve">For all accounts (new and existing), the supplier must assign the standard HIVE invoice and statement email address to the member's account</w:t>
      </w:r>
    </w:p>
    <w:p>
      <w:pPr>
        <w:pStyle w:val="ListParagraph"/>
        <w:numPr>
          <w:ilvl w:val="0"/>
          <w:numId w:val="2"/>
        </w:numPr>
        <w:spacing w:after="60" w:before="60"/>
      </w:pPr>
      <w:r>
        <w:rPr>
          <w:rFonts w:ascii="Work Sans" w:cs="Work Sans" w:eastAsia="Work Sans" w:hAnsi="Work Sans"/>
          <w:color w:val="333333"/>
          <w:sz w:val="20"/>
          <w:szCs w:val="20"/>
        </w:rPr>
        <w:t xml:space="preserve">This is a single, non-unique HIVE email address that all suppliers are required to use for all HIVE members</w:t>
      </w:r>
    </w:p>
    <w:p>
      <w:pPr>
        <w:pStyle w:val="ListParagraph"/>
        <w:numPr>
          <w:ilvl w:val="0"/>
          <w:numId w:val="2"/>
        </w:numPr>
        <w:spacing w:after="60" w:before="60"/>
      </w:pPr>
      <w:r>
        <w:rPr>
          <w:rFonts w:ascii="Work Sans" w:cs="Work Sans" w:eastAsia="Work Sans" w:hAnsi="Work Sans"/>
          <w:color w:val="333333"/>
          <w:sz w:val="20"/>
          <w:szCs w:val="20"/>
        </w:rPr>
        <w:t xml:space="preserve">This ensures HIVE receives copies of all invoices and statements for transaction monitoring and fee verification</w:t>
      </w:r>
    </w:p>
    <w:p>
      <w:pPr>
        <w:spacing w:after="100" w:before="100"/>
      </w:pPr>
      <w:r>
        <w:t xml:space="preserve"/>
      </w:r>
    </w:p>
    <w:p>
      <w:pPr>
        <w:pStyle w:val="Heading3"/>
        <w:spacing w:after="120" w:before="240"/>
      </w:pPr>
      <w:r>
        <w:rPr>
          <w:rFonts w:ascii="Work Sans" w:cs="Work Sans" w:eastAsia="Work Sans" w:hAnsi="Work Sans"/>
          <w:b/>
          <w:bCs/>
          <w:color w:val="333333"/>
          <w:sz w:val="22"/>
          <w:szCs w:val="22"/>
        </w:rPr>
        <w:t xml:space="preserve">HIVE Pricing Activation</w:t>
      </w:r>
    </w:p>
    <w:p>
      <w:pPr>
        <w:pStyle w:val="ListParagraph"/>
        <w:numPr>
          <w:ilvl w:val="0"/>
          <w:numId w:val="2"/>
        </w:numPr>
        <w:spacing w:after="60" w:before="60"/>
      </w:pPr>
      <w:r>
        <w:rPr>
          <w:rFonts w:ascii="Work Sans" w:cs="Work Sans" w:eastAsia="Work Sans" w:hAnsi="Work Sans"/>
          <w:color w:val="333333"/>
          <w:sz w:val="20"/>
          <w:szCs w:val="20"/>
        </w:rPr>
        <w:t xml:space="preserve">Once the account is set up or confirmed, the supplier assigns the HIVE pricing offer to the account</w:t>
      </w:r>
    </w:p>
    <w:p>
      <w:pPr>
        <w:pStyle w:val="ListParagraph"/>
        <w:numPr>
          <w:ilvl w:val="0"/>
          <w:numId w:val="2"/>
        </w:numPr>
        <w:spacing w:after="60" w:before="60"/>
      </w:pPr>
      <w:r>
        <w:rPr>
          <w:rFonts w:ascii="Work Sans" w:cs="Work Sans" w:eastAsia="Work Sans" w:hAnsi="Work Sans"/>
          <w:color w:val="333333"/>
          <w:sz w:val="20"/>
          <w:szCs w:val="20"/>
        </w:rPr>
        <w:t xml:space="preserve">Linda loads the HIVE pricing files into the member's planning and accounting systems</w:t>
      </w:r>
    </w:p>
    <w:p>
      <w:pPr>
        <w:pStyle w:val="ListParagraph"/>
        <w:numPr>
          <w:ilvl w:val="0"/>
          <w:numId w:val="2"/>
        </w:numPr>
        <w:spacing w:after="60" w:before="60"/>
      </w:pPr>
      <w:r>
        <w:rPr>
          <w:rFonts w:ascii="Work Sans" w:cs="Work Sans" w:eastAsia="Work Sans" w:hAnsi="Work Sans"/>
          <w:color w:val="333333"/>
          <w:sz w:val="20"/>
          <w:szCs w:val="20"/>
        </w:rPr>
        <w:t xml:space="preserve">Member is notified of their activated pricing and shown the before-and-after pricing comparison prepared in Stage 1</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System requirement: HIVE needs a workflow to track account setup status per member per supplier — application sent, supplier decision received, pricing assigned, HIVE email confirmed. Each step should be trackable and auditable.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vAlign w:val="center"/>
          </w:tcPr>
          <w:p>
            <w:pPr>
              <w:jc w:val="center"/>
            </w:pPr>
            <w:r>
              <w:rPr>
                <w:rFonts w:ascii="Raleway" w:cs="Raleway" w:eastAsia="Raleway" w:hAnsi="Raleway"/>
                <w:b/>
                <w:bCs/>
                <w:color w:val="E6FF2B"/>
                <w:sz w:val="36"/>
                <w:szCs w:val="36"/>
              </w:rPr>
              <w:t xml:space="preserve">5</w:t>
            </w:r>
          </w:p>
        </w:tc>
        <w:tc>
          <w:tcPr>
            <w:tcW w:type="dxa" w:w="7920"/>
            <w:gridSpan w:val="3"/>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Raleway" w:cs="Raleway" w:eastAsia="Raleway" w:hAnsi="Raleway"/>
                <w:b/>
                <w:bCs/>
                <w:color w:val="FFFFFF"/>
                <w:sz w:val="24"/>
                <w:szCs w:val="24"/>
              </w:rPr>
              <w:t xml:space="preserve">SUPPLIER ACCOUNT SETUP &amp; PRICING ACTIVATION</w:t>
            </w:r>
          </w:p>
        </w:tc>
      </w:tr>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INPUTS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OUTPUTS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DECISION POINT</w:t>
            </w:r>
          </w:p>
        </w:tc>
      </w:tr>
      <w:tr>
        <w:tc>
          <w:tcPr>
            <w:tcW w:type="dxa" w:w="14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Approved member record</w:t>
            </w:r>
          </w:p>
          <w:p>
            <w:pPr>
              <w:spacing w:after="40" w:before="40"/>
            </w:pPr>
            <w:r>
              <w:rPr>
                <w:rFonts w:ascii="Work Sans" w:cs="Work Sans" w:eastAsia="Work Sans" w:hAnsi="Work Sans"/>
                <w:color w:val="333333"/>
                <w:sz w:val="18"/>
                <w:szCs w:val="18"/>
              </w:rPr>
              <w:t xml:space="preserve">Supplier selections and existing account flags from Stage 1</w:t>
            </w:r>
          </w:p>
          <w:p>
            <w:pPr>
              <w:spacing w:after="40" w:before="40"/>
            </w:pPr>
            <w:r>
              <w:rPr>
                <w:rFonts w:ascii="Work Sans" w:cs="Work Sans" w:eastAsia="Work Sans" w:hAnsi="Work Sans"/>
                <w:color w:val="333333"/>
                <w:sz w:val="18"/>
                <w:szCs w:val="18"/>
              </w:rPr>
              <w:t xml:space="preserve">Pre-populated account application forms</w:t>
            </w:r>
          </w:p>
          <w:p>
            <w:pPr>
              <w:spacing w:after="40" w:before="40"/>
            </w:pPr>
            <w:r>
              <w:rPr>
                <w:rFonts w:ascii="Work Sans" w:cs="Work Sans" w:eastAsia="Work Sans" w:hAnsi="Work Sans"/>
                <w:color w:val="333333"/>
                <w:sz w:val="18"/>
                <w:szCs w:val="18"/>
              </w:rPr>
              <w:t xml:space="preserve">Current vs HIVE pricing comparison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Account applications submitted and approved per supplier</w:t>
            </w:r>
          </w:p>
          <w:p>
            <w:pPr>
              <w:spacing w:after="40" w:before="40"/>
            </w:pPr>
            <w:r>
              <w:rPr>
                <w:rFonts w:ascii="Work Sans" w:cs="Work Sans" w:eastAsia="Work Sans" w:hAnsi="Work Sans"/>
                <w:color w:val="333333"/>
                <w:sz w:val="18"/>
                <w:szCs w:val="18"/>
              </w:rPr>
              <w:t xml:space="preserve">HIVE invoice email address assigned on all accounts</w:t>
            </w:r>
          </w:p>
          <w:p>
            <w:pPr>
              <w:spacing w:after="40" w:before="40"/>
            </w:pPr>
            <w:r>
              <w:rPr>
                <w:rFonts w:ascii="Work Sans" w:cs="Work Sans" w:eastAsia="Work Sans" w:hAnsi="Work Sans"/>
                <w:color w:val="333333"/>
                <w:sz w:val="18"/>
                <w:szCs w:val="18"/>
              </w:rPr>
              <w:t xml:space="preserve">HIVE pricing activated on all accounts</w:t>
            </w:r>
          </w:p>
          <w:p>
            <w:pPr>
              <w:spacing w:after="40" w:before="40"/>
            </w:pPr>
            <w:r>
              <w:rPr>
                <w:rFonts w:ascii="Work Sans" w:cs="Work Sans" w:eastAsia="Work Sans" w:hAnsi="Work Sans"/>
                <w:color w:val="333333"/>
                <w:sz w:val="18"/>
                <w:szCs w:val="18"/>
              </w:rPr>
              <w:t xml:space="preserve">Pricing loaded into member's planning and accounting systems</w:t>
            </w:r>
          </w:p>
          <w:p>
            <w:pPr>
              <w:spacing w:after="40" w:before="40"/>
            </w:pPr>
            <w:r>
              <w:rPr>
                <w:rFonts w:ascii="Work Sans" w:cs="Work Sans" w:eastAsia="Work Sans" w:hAnsi="Work Sans"/>
                <w:color w:val="333333"/>
                <w:sz w:val="18"/>
                <w:szCs w:val="18"/>
              </w:rPr>
              <w:t xml:space="preserve">Member notified of activated pricing</w:t>
            </w:r>
          </w:p>
        </w:tc>
        <w:tc>
          <w:tcPr>
            <w:tcW w:type="dxa" w:w="26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Has each selected supplier approved the account (new) or confirmed HIVE pricing assignment (existing)?</w:t>
            </w:r>
          </w:p>
          <w:p>
            <w:pPr>
              <w:spacing w:after="40" w:before="40"/>
            </w:pPr>
            <w:r>
              <w:rPr>
                <w:rFonts w:ascii="Work Sans" w:cs="Work Sans" w:eastAsia="Work Sans" w:hAnsi="Work Sans"/>
                <w:color w:val="333333"/>
                <w:sz w:val="18"/>
                <w:szCs w:val="18"/>
              </w:rPr>
              <w:t xml:space="preserve">Is the HIVE email address confirmed on all accounts?</w:t>
            </w:r>
          </w:p>
          <w:p>
            <w:pPr>
              <w:spacing w:after="40" w:before="40"/>
            </w:pPr>
            <w:r>
              <w:rPr>
                <w:rFonts w:ascii="Work Sans" w:cs="Work Sans" w:eastAsia="Work Sans" w:hAnsi="Work Sans"/>
                <w:color w:val="333333"/>
                <w:sz w:val="18"/>
                <w:szCs w:val="18"/>
              </w:rPr>
              <w:t xml:space="preserve">Has Linda confirmed pricing is loaded in the member's systems?</w:t>
            </w:r>
          </w:p>
        </w:tc>
      </w:tr>
    </w:tbl>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Stage 6  —  Member Activation</w:t>
      </w:r>
    </w:p>
    <w:p>
      <w:pPr>
        <w:spacing w:after="100" w:before="100"/>
      </w:pPr>
      <w:r>
        <w:t xml:space="preserve"/>
      </w:r>
    </w:p>
    <w:p>
      <w:pPr>
        <w:spacing w:after="80" w:before="80"/>
      </w:pPr>
      <w:r>
        <w:rPr>
          <w:rFonts w:ascii="Work Sans" w:cs="Work Sans" w:eastAsia="Work Sans" w:hAnsi="Work Sans"/>
          <w:color w:val="333333"/>
          <w:sz w:val="20"/>
          <w:szCs w:val="20"/>
        </w:rPr>
        <w:t xml:space="preserve">Once all supplier accounts are active and HIVE pricing is confirmed, the member is formally activated in the HIVE network.</w:t>
      </w:r>
    </w:p>
    <w:p>
      <w:pPr>
        <w:spacing w:after="100" w:before="100"/>
      </w:pPr>
      <w:r>
        <w:t xml:space="preserve"/>
      </w:r>
    </w:p>
    <w:p>
      <w:pPr>
        <w:pStyle w:val="ListParagraph"/>
        <w:numPr>
          <w:ilvl w:val="0"/>
          <w:numId w:val="2"/>
        </w:numPr>
        <w:spacing w:after="60" w:before="60"/>
      </w:pPr>
      <w:r>
        <w:rPr>
          <w:rFonts w:ascii="Work Sans" w:cs="Work Sans" w:eastAsia="Work Sans" w:hAnsi="Work Sans"/>
          <w:color w:val="333333"/>
          <w:sz w:val="20"/>
          <w:szCs w:val="20"/>
        </w:rPr>
        <w:t xml:space="preserve">Member record is updated to Active status in the HIVE system</w:t>
      </w:r>
    </w:p>
    <w:p>
      <w:pPr>
        <w:pStyle w:val="ListParagraph"/>
        <w:numPr>
          <w:ilvl w:val="0"/>
          <w:numId w:val="2"/>
        </w:numPr>
        <w:spacing w:after="60" w:before="60"/>
      </w:pPr>
      <w:r>
        <w:rPr>
          <w:rFonts w:ascii="Work Sans" w:cs="Work Sans" w:eastAsia="Work Sans" w:hAnsi="Work Sans"/>
          <w:color w:val="333333"/>
          <w:sz w:val="20"/>
          <w:szCs w:val="20"/>
        </w:rPr>
        <w:t xml:space="preserve">Member receives a welcome communication confirming their active membership</w:t>
      </w:r>
    </w:p>
    <w:p>
      <w:pPr>
        <w:pStyle w:val="ListParagraph"/>
        <w:numPr>
          <w:ilvl w:val="0"/>
          <w:numId w:val="2"/>
        </w:numPr>
        <w:spacing w:after="60" w:before="60"/>
      </w:pPr>
      <w:r>
        <w:rPr>
          <w:rFonts w:ascii="Work Sans" w:cs="Work Sans" w:eastAsia="Work Sans" w:hAnsi="Work Sans"/>
          <w:color w:val="333333"/>
          <w:sz w:val="20"/>
          <w:szCs w:val="20"/>
        </w:rPr>
        <w:t xml:space="preserve">Member is issued with any HIVE membership materials (digital or physical)</w:t>
      </w:r>
    </w:p>
    <w:p>
      <w:pPr>
        <w:pStyle w:val="ListParagraph"/>
        <w:numPr>
          <w:ilvl w:val="0"/>
          <w:numId w:val="2"/>
        </w:numPr>
        <w:spacing w:after="60" w:before="60"/>
      </w:pPr>
      <w:r>
        <w:rPr>
          <w:rFonts w:ascii="Work Sans" w:cs="Work Sans" w:eastAsia="Work Sans" w:hAnsi="Work Sans"/>
          <w:color w:val="333333"/>
          <w:sz w:val="20"/>
          <w:szCs w:val="20"/>
        </w:rPr>
        <w:t xml:space="preserve">Member is introduced to the HIVE member communications channel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40"/>
        </w:tblCellMar>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vAlign w:val="center"/>
          </w:tcPr>
          <w:p>
            <w:pPr>
              <w:jc w:val="center"/>
            </w:pPr>
            <w:r>
              <w:rPr>
                <w:rFonts w:ascii="Raleway" w:cs="Raleway" w:eastAsia="Raleway" w:hAnsi="Raleway"/>
                <w:b/>
                <w:bCs/>
                <w:color w:val="E6FF2B"/>
                <w:sz w:val="36"/>
                <w:szCs w:val="36"/>
              </w:rPr>
              <w:t xml:space="preserve">6</w:t>
            </w:r>
          </w:p>
        </w:tc>
        <w:tc>
          <w:tcPr>
            <w:tcW w:type="dxa" w:w="7920"/>
            <w:gridSpan w:val="3"/>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Raleway" w:cs="Raleway" w:eastAsia="Raleway" w:hAnsi="Raleway"/>
                <w:b/>
                <w:bCs/>
                <w:color w:val="FFFFFF"/>
                <w:sz w:val="24"/>
                <w:szCs w:val="24"/>
              </w:rPr>
              <w:t xml:space="preserve">MEMBER ACTIVATION</w:t>
            </w:r>
          </w:p>
        </w:tc>
      </w:tr>
      <w:tr>
        <w:tc>
          <w:tcPr>
            <w:tcW w:type="dxa" w:w="14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INPUTS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OUTPUTS</w:t>
            </w:r>
          </w:p>
        </w:tc>
        <w:tc>
          <w:tcPr>
            <w:tcW w:type="dxa" w:w="2640"/>
            <w:tcBorders>
              <w:top w:val="single" w:color="CCCCCC" w:sz="1"/>
              <w:left w:val="single" w:color="CCCCCC" w:sz="1"/>
              <w:bottom w:val="single" w:color="CCCCCC" w:sz="1"/>
              <w:right w:val="single" w:color="CCCCCC" w:sz="1"/>
            </w:tcBorders>
            <w:shd w:fill="0B4550" w:val="clear"/>
            <w:tcMar>
              <w:top w:type="dxa" w:w="80"/>
              <w:left w:type="dxa" w:w="120"/>
              <w:bottom w:type="dxa" w:w="80"/>
              <w:right w:type="dxa" w:w="120"/>
            </w:tcMar>
          </w:tcPr>
          <w:p>
            <w:r>
              <w:rPr>
                <w:rFonts w:ascii="Work Sans" w:cs="Work Sans" w:eastAsia="Work Sans" w:hAnsi="Work Sans"/>
                <w:b/>
                <w:bCs/>
                <w:color w:val="FFFFFF"/>
                <w:sz w:val="18"/>
                <w:szCs w:val="18"/>
              </w:rPr>
              <w:t xml:space="preserve">DECISION POINT</w:t>
            </w:r>
          </w:p>
        </w:tc>
      </w:tr>
      <w:tr>
        <w:tc>
          <w:tcPr>
            <w:tcW w:type="dxa" w:w="14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Confirmed supplier account setup across all selected suppliers</w:t>
            </w:r>
          </w:p>
          <w:p>
            <w:pPr>
              <w:spacing w:after="40" w:before="40"/>
            </w:pPr>
            <w:r>
              <w:rPr>
                <w:rFonts w:ascii="Work Sans" w:cs="Work Sans" w:eastAsia="Work Sans" w:hAnsi="Work Sans"/>
                <w:color w:val="333333"/>
                <w:sz w:val="18"/>
                <w:szCs w:val="18"/>
              </w:rPr>
              <w:t xml:space="preserve">Confirmed HIVE pricing activation</w:t>
            </w:r>
          </w:p>
          <w:p>
            <w:pPr>
              <w:spacing w:after="40" w:before="40"/>
            </w:pPr>
            <w:r>
              <w:rPr>
                <w:rFonts w:ascii="Work Sans" w:cs="Work Sans" w:eastAsia="Work Sans" w:hAnsi="Work Sans"/>
                <w:color w:val="333333"/>
                <w:sz w:val="18"/>
                <w:szCs w:val="18"/>
              </w:rPr>
              <w:t xml:space="preserve">Confirmed HIVE invoice email assignment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Member status set to Active</w:t>
            </w:r>
          </w:p>
          <w:p>
            <w:pPr>
              <w:spacing w:after="40" w:before="40"/>
            </w:pPr>
            <w:r>
              <w:rPr>
                <w:rFonts w:ascii="Work Sans" w:cs="Work Sans" w:eastAsia="Work Sans" w:hAnsi="Work Sans"/>
                <w:color w:val="333333"/>
                <w:sz w:val="18"/>
                <w:szCs w:val="18"/>
              </w:rPr>
              <w:t xml:space="preserve">Welcome communication sent</w:t>
            </w:r>
          </w:p>
          <w:p>
            <w:pPr>
              <w:spacing w:after="40" w:before="40"/>
            </w:pPr>
            <w:r>
              <w:rPr>
                <w:rFonts w:ascii="Work Sans" w:cs="Work Sans" w:eastAsia="Work Sans" w:hAnsi="Work Sans"/>
                <w:color w:val="333333"/>
                <w:sz w:val="18"/>
                <w:szCs w:val="18"/>
              </w:rPr>
              <w:t xml:space="preserve">Member added to HIVE communications channels</w:t>
            </w:r>
          </w:p>
        </w:tc>
        <w:tc>
          <w:tcPr>
            <w:tcW w:type="dxa" w:w="264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pPr>
              <w:spacing w:after="40" w:before="40"/>
            </w:pPr>
            <w:r>
              <w:rPr>
                <w:rFonts w:ascii="Work Sans" w:cs="Work Sans" w:eastAsia="Work Sans" w:hAnsi="Work Sans"/>
                <w:color w:val="333333"/>
                <w:sz w:val="18"/>
                <w:szCs w:val="18"/>
              </w:rPr>
              <w:t xml:space="preserve">Are all selected suppliers fully set up with HIVE pricing and invoice email?</w:t>
            </w:r>
          </w:p>
          <w:p>
            <w:pPr>
              <w:spacing w:after="40" w:before="40"/>
            </w:pPr>
            <w:r>
              <w:rPr>
                <w:rFonts w:ascii="Work Sans" w:cs="Work Sans" w:eastAsia="Work Sans" w:hAnsi="Work Sans"/>
                <w:color w:val="333333"/>
                <w:sz w:val="18"/>
                <w:szCs w:val="18"/>
              </w:rPr>
              <w:t xml:space="preserve">Has Linda confirmed systems integration is complete?</w:t>
            </w:r>
          </w:p>
        </w:tc>
      </w:tr>
    </w:tbl>
    <w:p>
      <w:pPr>
        <w:spacing w:after="100" w:before="100"/>
      </w:pPr>
      <w:r>
        <w:t xml:space="preserve"/>
      </w:r>
    </w:p>
    <w:p>
      <w:pPr>
        <w:pStyle w:val="Heading1"/>
        <w:pBdr>
          <w:bottom w:val="single" w:color="0B4550" w:sz="6" w:space="1"/>
        </w:pBdr>
        <w:spacing w:after="200" w:before="480"/>
      </w:pPr>
      <w:r>
        <w:rPr>
          <w:rFonts w:ascii="Raleway" w:cs="Raleway" w:eastAsia="Raleway" w:hAnsi="Raleway"/>
          <w:b/>
          <w:bCs/>
          <w:color w:val="0B4550"/>
          <w:sz w:val="32"/>
          <w:szCs w:val="32"/>
        </w:rPr>
        <w:t xml:space="preserve">SECTION 3: ONGOING MEMBER MONITORING</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Overview</w:t>
      </w:r>
    </w:p>
    <w:p>
      <w:pPr>
        <w:spacing w:after="80" w:before="80"/>
      </w:pPr>
      <w:r>
        <w:rPr>
          <w:rFonts w:ascii="Work Sans" w:cs="Work Sans" w:eastAsia="Work Sans" w:hAnsi="Work Sans"/>
          <w:color w:val="333333"/>
          <w:sz w:val="20"/>
          <w:szCs w:val="20"/>
        </w:rPr>
        <w:t xml:space="preserve">Once a member is active, HIVE maintains ongoing visibility into their purchasing activity and payment behaviour. The monitoring model is built around the invoice and statement data received through the HIVE invoice email address assigned to each member's supplier accounts.</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Status: This section reflects the intended model as of v0.1. Supplier data capability has not yet been confirmed. Monitoring processes will be refined during the Central Coast pilot.</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3.1  Transaction Monitoring</w:t>
      </w:r>
    </w:p>
    <w:p>
      <w:pPr>
        <w:pStyle w:val="ListParagraph"/>
        <w:numPr>
          <w:ilvl w:val="0"/>
          <w:numId w:val="2"/>
        </w:numPr>
        <w:spacing w:after="60" w:before="60"/>
      </w:pPr>
      <w:r>
        <w:rPr>
          <w:rFonts w:ascii="Work Sans" w:cs="Work Sans" w:eastAsia="Work Sans" w:hAnsi="Work Sans"/>
          <w:color w:val="333333"/>
          <w:sz w:val="20"/>
          <w:szCs w:val="20"/>
        </w:rPr>
        <w:t xml:space="preserve">HIVE receives copies of all invoices and statements issued by suppliers to HIVE members</w:t>
      </w:r>
    </w:p>
    <w:p>
      <w:pPr>
        <w:pStyle w:val="ListParagraph"/>
        <w:numPr>
          <w:ilvl w:val="0"/>
          <w:numId w:val="2"/>
        </w:numPr>
        <w:spacing w:after="60" w:before="60"/>
      </w:pPr>
      <w:r>
        <w:rPr>
          <w:rFonts w:ascii="Work Sans" w:cs="Work Sans" w:eastAsia="Work Sans" w:hAnsi="Work Sans"/>
          <w:color w:val="333333"/>
          <w:sz w:val="20"/>
          <w:szCs w:val="20"/>
        </w:rPr>
        <w:t xml:space="preserve">Invoice data is used to track: purchasing activity, invoice amounts, due dates, and payment status</w:t>
      </w:r>
    </w:p>
    <w:p>
      <w:pPr>
        <w:pStyle w:val="ListParagraph"/>
        <w:numPr>
          <w:ilvl w:val="0"/>
          <w:numId w:val="2"/>
        </w:numPr>
        <w:spacing w:after="60" w:before="60"/>
      </w:pPr>
      <w:r>
        <w:rPr>
          <w:rFonts w:ascii="Work Sans" w:cs="Work Sans" w:eastAsia="Work Sans" w:hAnsi="Work Sans"/>
          <w:color w:val="333333"/>
          <w:sz w:val="20"/>
          <w:szCs w:val="20"/>
        </w:rPr>
        <w:t xml:space="preserve">This data also underpins the 2% service fee calculation on verified member sales</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3.2  Payment Reminders</w:t>
      </w:r>
    </w:p>
    <w:p>
      <w:pPr>
        <w:pStyle w:val="ListParagraph"/>
        <w:numPr>
          <w:ilvl w:val="0"/>
          <w:numId w:val="2"/>
        </w:numPr>
        <w:spacing w:after="60" w:before="60"/>
      </w:pPr>
      <w:r>
        <w:rPr>
          <w:rFonts w:ascii="Work Sans" w:cs="Work Sans" w:eastAsia="Work Sans" w:hAnsi="Work Sans"/>
          <w:color w:val="333333"/>
          <w:sz w:val="20"/>
          <w:szCs w:val="20"/>
        </w:rPr>
        <w:t xml:space="preserve">HIVE issues proactive SMS reminders to members ahead of supplier payment due dates</w:t>
      </w:r>
    </w:p>
    <w:p>
      <w:pPr>
        <w:pStyle w:val="ListParagraph"/>
        <w:numPr>
          <w:ilvl w:val="0"/>
          <w:numId w:val="2"/>
        </w:numPr>
        <w:spacing w:after="60" w:before="60"/>
      </w:pPr>
      <w:r>
        <w:rPr>
          <w:rFonts w:ascii="Work Sans" w:cs="Work Sans" w:eastAsia="Work Sans" w:hAnsi="Work Sans"/>
          <w:color w:val="333333"/>
          <w:sz w:val="20"/>
          <w:szCs w:val="20"/>
        </w:rPr>
        <w:t xml:space="preserve">Where a member has multiple payments due within the same timeframe, reminders are consolidated into a single SMS</w:t>
      </w:r>
    </w:p>
    <w:p>
      <w:pPr>
        <w:pStyle w:val="ListParagraph"/>
        <w:numPr>
          <w:ilvl w:val="0"/>
          <w:numId w:val="2"/>
        </w:numPr>
        <w:spacing w:after="60" w:before="60"/>
      </w:pPr>
      <w:r>
        <w:rPr>
          <w:rFonts w:ascii="Work Sans" w:cs="Work Sans" w:eastAsia="Work Sans" w:hAnsi="Work Sans"/>
          <w:color w:val="333333"/>
          <w:sz w:val="20"/>
          <w:szCs w:val="20"/>
        </w:rPr>
        <w:t xml:space="preserve">Reminder tone is supportive — protecting the member's discount access and supplier relationship</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System requirement: The SMS reminder system must aggregate payment due dates across multiple suppliers per member and send a single consolidated message. Reminders should be automated based on invoice due dates captured from incoming supplier data.</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3.3  Overdue Payment Management</w:t>
      </w:r>
    </w:p>
    <w:p>
      <w:pPr>
        <w:pStyle w:val="ListParagraph"/>
        <w:numPr>
          <w:ilvl w:val="0"/>
          <w:numId w:val="2"/>
        </w:numPr>
        <w:spacing w:after="60" w:before="60"/>
      </w:pPr>
      <w:r>
        <w:rPr>
          <w:rFonts w:ascii="Work Sans" w:cs="Work Sans" w:eastAsia="Work Sans" w:hAnsi="Work Sans"/>
          <w:color w:val="333333"/>
          <w:sz w:val="20"/>
          <w:szCs w:val="20"/>
        </w:rPr>
        <w:t xml:space="preserve">Supplier notifies HIVE if a member account falls into arrears</w:t>
      </w:r>
    </w:p>
    <w:p>
      <w:pPr>
        <w:pStyle w:val="ListParagraph"/>
        <w:numPr>
          <w:ilvl w:val="0"/>
          <w:numId w:val="2"/>
        </w:numPr>
        <w:spacing w:after="60" w:before="60"/>
      </w:pPr>
      <w:r>
        <w:rPr>
          <w:rFonts w:ascii="Work Sans" w:cs="Work Sans" w:eastAsia="Work Sans" w:hAnsi="Work Sans"/>
          <w:color w:val="333333"/>
          <w:sz w:val="20"/>
          <w:szCs w:val="20"/>
        </w:rPr>
        <w:t xml:space="preserve">HIVE may also identify overdue status through absence of remittance advice or supplier statement data</w:t>
      </w:r>
    </w:p>
    <w:p>
      <w:pPr>
        <w:pStyle w:val="ListParagraph"/>
        <w:numPr>
          <w:ilvl w:val="0"/>
          <w:numId w:val="2"/>
        </w:numPr>
        <w:spacing w:after="60" w:before="60"/>
      </w:pPr>
      <w:r>
        <w:rPr>
          <w:rFonts w:ascii="Work Sans" w:cs="Work Sans" w:eastAsia="Work Sans" w:hAnsi="Work Sans"/>
          <w:color w:val="333333"/>
          <w:sz w:val="20"/>
          <w:szCs w:val="20"/>
        </w:rPr>
        <w:t xml:space="preserve">HIVE contacts the member to support resolution</w:t>
      </w:r>
    </w:p>
    <w:p>
      <w:pPr>
        <w:pStyle w:val="ListParagraph"/>
        <w:numPr>
          <w:ilvl w:val="0"/>
          <w:numId w:val="2"/>
        </w:numPr>
        <w:spacing w:after="60" w:before="60"/>
      </w:pPr>
      <w:r>
        <w:rPr>
          <w:rFonts w:ascii="Work Sans" w:cs="Work Sans" w:eastAsia="Work Sans" w:hAnsi="Work Sans"/>
          <w:color w:val="333333"/>
          <w:sz w:val="20"/>
          <w:szCs w:val="20"/>
        </w:rPr>
        <w:t xml:space="preserve">Persistent or unresolved arrears may result in suspension from the HIVE network in accordance with the Code of Conduct</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3.4  Supplier Reporting</w:t>
      </w:r>
    </w:p>
    <w:p>
      <w:pPr>
        <w:spacing w:after="80" w:before="80"/>
      </w:pPr>
      <w:r>
        <w:rPr>
          <w:rFonts w:ascii="Work Sans" w:cs="Work Sans" w:eastAsia="Work Sans" w:hAnsi="Work Sans"/>
          <w:color w:val="333333"/>
          <w:sz w:val="20"/>
          <w:szCs w:val="20"/>
        </w:rPr>
        <w:t xml:space="preserve">HIVE is exploring the following data inputs from suppliers — capability will be confirmed supplier by supplier during the pilot:</w:t>
      </w:r>
    </w:p>
    <w:p>
      <w:pPr>
        <w:pStyle w:val="ListParagraph"/>
        <w:numPr>
          <w:ilvl w:val="0"/>
          <w:numId w:val="2"/>
        </w:numPr>
        <w:spacing w:after="60" w:before="60"/>
      </w:pPr>
      <w:r>
        <w:rPr>
          <w:rFonts w:ascii="Work Sans" w:cs="Work Sans" w:eastAsia="Work Sans" w:hAnsi="Work Sans"/>
          <w:color w:val="333333"/>
          <w:sz w:val="20"/>
          <w:szCs w:val="20"/>
        </w:rPr>
        <w:t xml:space="preserve">Remittance advice (confirms payment has been made)</w:t>
      </w:r>
    </w:p>
    <w:p>
      <w:pPr>
        <w:pStyle w:val="ListParagraph"/>
        <w:numPr>
          <w:ilvl w:val="0"/>
          <w:numId w:val="2"/>
        </w:numPr>
        <w:spacing w:after="60" w:before="60"/>
      </w:pPr>
      <w:r>
        <w:rPr>
          <w:rFonts w:ascii="Work Sans" w:cs="Work Sans" w:eastAsia="Work Sans" w:hAnsi="Work Sans"/>
          <w:color w:val="333333"/>
          <w:sz w:val="20"/>
          <w:szCs w:val="20"/>
        </w:rPr>
        <w:t xml:space="preserve">Daily or weekly member account data reports (confirms account status and outstanding balances)</w:t>
      </w:r>
    </w:p>
    <w:p>
      <w:pPr>
        <w:pStyle w:val="ListParagraph"/>
        <w:numPr>
          <w:ilvl w:val="0"/>
          <w:numId w:val="2"/>
        </w:numPr>
        <w:spacing w:after="60" w:before="60"/>
      </w:pPr>
      <w:r>
        <w:rPr>
          <w:rFonts w:ascii="Work Sans" w:cs="Work Sans" w:eastAsia="Work Sans" w:hAnsi="Work Sans"/>
          <w:color w:val="333333"/>
          <w:sz w:val="20"/>
          <w:szCs w:val="20"/>
        </w:rPr>
        <w:t xml:space="preserve">Overdue account notifications</w:t>
      </w:r>
    </w:p>
    <w:p>
      <w:pPr>
        <w:spacing w:after="100" w:before="100"/>
      </w:pPr>
      <w:r>
        <w:t xml:space="preserve"/>
      </w:r>
    </w:p>
    <w:p>
      <w:pPr>
        <w:pStyle w:val="Heading1"/>
        <w:pBdr>
          <w:bottom w:val="single" w:color="0B4550" w:sz="6" w:space="1"/>
        </w:pBdr>
        <w:spacing w:after="200" w:before="480"/>
      </w:pPr>
      <w:r>
        <w:rPr>
          <w:rFonts w:ascii="Raleway" w:cs="Raleway" w:eastAsia="Raleway" w:hAnsi="Raleway"/>
          <w:b/>
          <w:bCs/>
          <w:color w:val="0B4550"/>
          <w:sz w:val="32"/>
          <w:szCs w:val="32"/>
        </w:rPr>
        <w:t xml:space="preserve">SECTION 4: SYSTEM REQUIREMENTS SUMMARY</w:t>
      </w:r>
    </w:p>
    <w:p>
      <w:pPr>
        <w:spacing w:after="100" w:before="100"/>
      </w:pPr>
      <w:r>
        <w:t xml:space="preserve"/>
      </w:r>
    </w:p>
    <w:p>
      <w:pPr>
        <w:spacing w:after="80" w:before="80"/>
      </w:pPr>
      <w:r>
        <w:rPr>
          <w:rFonts w:ascii="Work Sans" w:cs="Work Sans" w:eastAsia="Work Sans" w:hAnsi="Work Sans"/>
          <w:color w:val="333333"/>
          <w:sz w:val="20"/>
          <w:szCs w:val="20"/>
        </w:rPr>
        <w:t xml:space="preserve">The following is a consolidated list of system and automation requirements derived from this process framework. This serves as the initial brief for infrastructure and software design using Claude Code.</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4.1  Lead Management</w:t>
      </w:r>
    </w:p>
    <w:p>
      <w:pPr>
        <w:pStyle w:val="ListParagraph"/>
        <w:numPr>
          <w:ilvl w:val="0"/>
          <w:numId w:val="2"/>
        </w:numPr>
        <w:spacing w:after="60" w:before="60"/>
      </w:pPr>
      <w:r>
        <w:rPr>
          <w:rFonts w:ascii="Work Sans" w:cs="Work Sans" w:eastAsia="Work Sans" w:hAnsi="Work Sans"/>
          <w:color w:val="333333"/>
          <w:sz w:val="20"/>
          <w:szCs w:val="20"/>
        </w:rPr>
        <w:t xml:space="preserve">Lead capture form — lightweight, embeddable, shareable via direct link</w:t>
      </w:r>
    </w:p>
    <w:p>
      <w:pPr>
        <w:pStyle w:val="ListParagraph"/>
        <w:numPr>
          <w:ilvl w:val="0"/>
          <w:numId w:val="2"/>
        </w:numPr>
        <w:spacing w:after="60" w:before="60"/>
      </w:pPr>
      <w:r>
        <w:rPr>
          <w:rFonts w:ascii="Work Sans" w:cs="Work Sans" w:eastAsia="Work Sans" w:hAnsi="Work Sans"/>
          <w:color w:val="333333"/>
          <w:sz w:val="20"/>
          <w:szCs w:val="20"/>
        </w:rPr>
        <w:t xml:space="preserve">Auto-populated channel and referrer fields where link source is known</w:t>
      </w:r>
    </w:p>
    <w:p>
      <w:pPr>
        <w:pStyle w:val="ListParagraph"/>
        <w:numPr>
          <w:ilvl w:val="0"/>
          <w:numId w:val="2"/>
        </w:numPr>
        <w:spacing w:after="60" w:before="60"/>
      </w:pPr>
      <w:r>
        <w:rPr>
          <w:rFonts w:ascii="Work Sans" w:cs="Work Sans" w:eastAsia="Work Sans" w:hAnsi="Work Sans"/>
          <w:color w:val="333333"/>
          <w:sz w:val="20"/>
          <w:szCs w:val="20"/>
        </w:rPr>
        <w:t xml:space="preserve">Automated acknowledgement on form submission via preferred contact method</w:t>
      </w:r>
    </w:p>
    <w:p>
      <w:pPr>
        <w:pStyle w:val="ListParagraph"/>
        <w:numPr>
          <w:ilvl w:val="0"/>
          <w:numId w:val="2"/>
        </w:numPr>
        <w:spacing w:after="60" w:before="60"/>
      </w:pPr>
      <w:r>
        <w:rPr>
          <w:rFonts w:ascii="Work Sans" w:cs="Work Sans" w:eastAsia="Work Sans" w:hAnsi="Work Sans"/>
          <w:color w:val="333333"/>
          <w:sz w:val="20"/>
          <w:szCs w:val="20"/>
        </w:rPr>
        <w:t xml:space="preserve">Lead queue management with follow-up tracking</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4.2  Onboarding Workflow</w:t>
      </w:r>
    </w:p>
    <w:p>
      <w:pPr>
        <w:pStyle w:val="ListParagraph"/>
        <w:numPr>
          <w:ilvl w:val="0"/>
          <w:numId w:val="2"/>
        </w:numPr>
        <w:spacing w:after="60" w:before="60"/>
      </w:pPr>
      <w:r>
        <w:rPr>
          <w:rFonts w:ascii="Work Sans" w:cs="Work Sans" w:eastAsia="Work Sans" w:hAnsi="Work Sans"/>
          <w:color w:val="333333"/>
          <w:sz w:val="20"/>
          <w:szCs w:val="20"/>
        </w:rPr>
        <w:t xml:space="preserve">Supplier selection interface — region-filtered, with existing account flagging</w:t>
      </w:r>
    </w:p>
    <w:p>
      <w:pPr>
        <w:pStyle w:val="ListParagraph"/>
        <w:numPr>
          <w:ilvl w:val="0"/>
          <w:numId w:val="2"/>
        </w:numPr>
        <w:spacing w:after="60" w:before="60"/>
      </w:pPr>
      <w:r>
        <w:rPr>
          <w:rFonts w:ascii="Work Sans" w:cs="Work Sans" w:eastAsia="Work Sans" w:hAnsi="Work Sans"/>
          <w:color w:val="333333"/>
          <w:sz w:val="20"/>
          <w:szCs w:val="20"/>
        </w:rPr>
        <w:t xml:space="preserve">Supplier pricing tier data capture and before-and-after comparison generation</w:t>
      </w:r>
    </w:p>
    <w:p>
      <w:pPr>
        <w:pStyle w:val="ListParagraph"/>
        <w:numPr>
          <w:ilvl w:val="0"/>
          <w:numId w:val="2"/>
        </w:numPr>
        <w:spacing w:after="60" w:before="60"/>
      </w:pPr>
      <w:r>
        <w:rPr>
          <w:rFonts w:ascii="Work Sans" w:cs="Work Sans" w:eastAsia="Work Sans" w:hAnsi="Work Sans"/>
          <w:color w:val="333333"/>
          <w:sz w:val="20"/>
          <w:szCs w:val="20"/>
        </w:rPr>
        <w:t xml:space="preserve">Delegatable intake form with section-level assignment by email or SMS link</w:t>
      </w:r>
    </w:p>
    <w:p>
      <w:pPr>
        <w:pStyle w:val="ListParagraph"/>
        <w:numPr>
          <w:ilvl w:val="0"/>
          <w:numId w:val="2"/>
        </w:numPr>
        <w:spacing w:after="60" w:before="60"/>
      </w:pPr>
      <w:r>
        <w:rPr>
          <w:rFonts w:ascii="Work Sans" w:cs="Work Sans" w:eastAsia="Work Sans" w:hAnsi="Work Sans"/>
          <w:color w:val="333333"/>
          <w:sz w:val="20"/>
          <w:szCs w:val="20"/>
        </w:rPr>
        <w:t xml:space="preserve">Owner-only section enforcement</w:t>
      </w:r>
    </w:p>
    <w:p>
      <w:pPr>
        <w:pStyle w:val="ListParagraph"/>
        <w:numPr>
          <w:ilvl w:val="0"/>
          <w:numId w:val="2"/>
        </w:numPr>
        <w:spacing w:after="60" w:before="60"/>
      </w:pPr>
      <w:r>
        <w:rPr>
          <w:rFonts w:ascii="Work Sans" w:cs="Work Sans" w:eastAsia="Work Sans" w:hAnsi="Work Sans"/>
          <w:color w:val="333333"/>
          <w:sz w:val="20"/>
          <w:szCs w:val="20"/>
        </w:rPr>
        <w:t xml:space="preserve">Section completion tracking and HIVE team notification on full completion</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4.3  Assessment and Approval</w:t>
      </w:r>
    </w:p>
    <w:p>
      <w:pPr>
        <w:pStyle w:val="ListParagraph"/>
        <w:numPr>
          <w:ilvl w:val="0"/>
          <w:numId w:val="2"/>
        </w:numPr>
        <w:spacing w:after="60" w:before="60"/>
      </w:pPr>
      <w:r>
        <w:rPr>
          <w:rFonts w:ascii="Work Sans" w:cs="Work Sans" w:eastAsia="Work Sans" w:hAnsi="Work Sans"/>
          <w:color w:val="333333"/>
          <w:sz w:val="20"/>
          <w:szCs w:val="20"/>
        </w:rPr>
        <w:t xml:space="preserve">Integration with Linda's financial health assessment workflow (TBD — to be designed with Linda)</w:t>
      </w:r>
    </w:p>
    <w:p>
      <w:pPr>
        <w:pStyle w:val="ListParagraph"/>
        <w:numPr>
          <w:ilvl w:val="0"/>
          <w:numId w:val="2"/>
        </w:numPr>
        <w:spacing w:after="60" w:before="60"/>
      </w:pPr>
      <w:r>
        <w:rPr>
          <w:rFonts w:ascii="Work Sans" w:cs="Work Sans" w:eastAsia="Work Sans" w:hAnsi="Work Sans"/>
          <w:color w:val="333333"/>
          <w:sz w:val="20"/>
          <w:szCs w:val="20"/>
        </w:rPr>
        <w:t xml:space="preserve">Membership review dashboard for HIVE approval decisions</w:t>
      </w:r>
    </w:p>
    <w:p>
      <w:pPr>
        <w:pStyle w:val="ListParagraph"/>
        <w:numPr>
          <w:ilvl w:val="0"/>
          <w:numId w:val="2"/>
        </w:numPr>
        <w:spacing w:after="60" w:before="60"/>
      </w:pPr>
      <w:r>
        <w:rPr>
          <w:rFonts w:ascii="Work Sans" w:cs="Work Sans" w:eastAsia="Work Sans" w:hAnsi="Work Sans"/>
          <w:color w:val="333333"/>
          <w:sz w:val="20"/>
          <w:szCs w:val="20"/>
        </w:rPr>
        <w:t xml:space="preserve">Decision logging and communication triggers</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4.4  Supplier Account Management</w:t>
      </w:r>
    </w:p>
    <w:p>
      <w:pPr>
        <w:pStyle w:val="ListParagraph"/>
        <w:numPr>
          <w:ilvl w:val="0"/>
          <w:numId w:val="2"/>
        </w:numPr>
        <w:spacing w:after="60" w:before="60"/>
      </w:pPr>
      <w:r>
        <w:rPr>
          <w:rFonts w:ascii="Work Sans" w:cs="Work Sans" w:eastAsia="Work Sans" w:hAnsi="Work Sans"/>
          <w:color w:val="333333"/>
          <w:sz w:val="20"/>
          <w:szCs w:val="20"/>
        </w:rPr>
        <w:t xml:space="preserve">Account application workflow — pre-population, member signature, submission tracking</w:t>
      </w:r>
    </w:p>
    <w:p>
      <w:pPr>
        <w:pStyle w:val="ListParagraph"/>
        <w:numPr>
          <w:ilvl w:val="0"/>
          <w:numId w:val="2"/>
        </w:numPr>
        <w:spacing w:after="60" w:before="60"/>
      </w:pPr>
      <w:r>
        <w:rPr>
          <w:rFonts w:ascii="Work Sans" w:cs="Work Sans" w:eastAsia="Work Sans" w:hAnsi="Work Sans"/>
          <w:color w:val="333333"/>
          <w:sz w:val="20"/>
          <w:szCs w:val="20"/>
        </w:rPr>
        <w:t xml:space="preserve">Per-member, per-supplier status tracking (application sent / approved / pricing activated / email confirmed)</w:t>
      </w:r>
    </w:p>
    <w:p>
      <w:pPr>
        <w:pStyle w:val="ListParagraph"/>
        <w:numPr>
          <w:ilvl w:val="0"/>
          <w:numId w:val="2"/>
        </w:numPr>
        <w:spacing w:after="60" w:before="60"/>
      </w:pPr>
      <w:r>
        <w:rPr>
          <w:rFonts w:ascii="Work Sans" w:cs="Work Sans" w:eastAsia="Work Sans" w:hAnsi="Work Sans"/>
          <w:color w:val="333333"/>
          <w:sz w:val="20"/>
          <w:szCs w:val="20"/>
        </w:rPr>
        <w:t xml:space="preserve">HIVE invoice email assignment confirmation tracking</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4.5  Transaction and Payment Monitoring</w:t>
      </w:r>
    </w:p>
    <w:p>
      <w:pPr>
        <w:pStyle w:val="ListParagraph"/>
        <w:numPr>
          <w:ilvl w:val="0"/>
          <w:numId w:val="2"/>
        </w:numPr>
        <w:spacing w:after="60" w:before="60"/>
      </w:pPr>
      <w:r>
        <w:rPr>
          <w:rFonts w:ascii="Work Sans" w:cs="Work Sans" w:eastAsia="Work Sans" w:hAnsi="Work Sans"/>
          <w:color w:val="333333"/>
          <w:sz w:val="20"/>
          <w:szCs w:val="20"/>
        </w:rPr>
        <w:t xml:space="preserve">Centralised HIVE invoice inbox processing</w:t>
      </w:r>
    </w:p>
    <w:p>
      <w:pPr>
        <w:pStyle w:val="ListParagraph"/>
        <w:numPr>
          <w:ilvl w:val="0"/>
          <w:numId w:val="2"/>
        </w:numPr>
        <w:spacing w:after="60" w:before="60"/>
      </w:pPr>
      <w:r>
        <w:rPr>
          <w:rFonts w:ascii="Work Sans" w:cs="Work Sans" w:eastAsia="Work Sans" w:hAnsi="Work Sans"/>
          <w:color w:val="333333"/>
          <w:sz w:val="20"/>
          <w:szCs w:val="20"/>
        </w:rPr>
        <w:t xml:space="preserve">Invoice data extraction and storage against member and supplier records</w:t>
      </w:r>
    </w:p>
    <w:p>
      <w:pPr>
        <w:pStyle w:val="ListParagraph"/>
        <w:numPr>
          <w:ilvl w:val="0"/>
          <w:numId w:val="2"/>
        </w:numPr>
        <w:spacing w:after="60" w:before="60"/>
      </w:pPr>
      <w:r>
        <w:rPr>
          <w:rFonts w:ascii="Work Sans" w:cs="Work Sans" w:eastAsia="Work Sans" w:hAnsi="Work Sans"/>
          <w:color w:val="333333"/>
          <w:sz w:val="20"/>
          <w:szCs w:val="20"/>
        </w:rPr>
        <w:t xml:space="preserve">Payment due date tracking per member across suppliers</w:t>
      </w:r>
    </w:p>
    <w:p>
      <w:pPr>
        <w:pStyle w:val="ListParagraph"/>
        <w:numPr>
          <w:ilvl w:val="0"/>
          <w:numId w:val="2"/>
        </w:numPr>
        <w:spacing w:after="60" w:before="60"/>
      </w:pPr>
      <w:r>
        <w:rPr>
          <w:rFonts w:ascii="Work Sans" w:cs="Work Sans" w:eastAsia="Work Sans" w:hAnsi="Work Sans"/>
          <w:color w:val="333333"/>
          <w:sz w:val="20"/>
          <w:szCs w:val="20"/>
        </w:rPr>
        <w:t xml:space="preserve">Consolidated SMS reminder engine</w:t>
      </w:r>
    </w:p>
    <w:p>
      <w:pPr>
        <w:pStyle w:val="ListParagraph"/>
        <w:numPr>
          <w:ilvl w:val="0"/>
          <w:numId w:val="2"/>
        </w:numPr>
        <w:spacing w:after="60" w:before="60"/>
      </w:pPr>
      <w:r>
        <w:rPr>
          <w:rFonts w:ascii="Work Sans" w:cs="Work Sans" w:eastAsia="Work Sans" w:hAnsi="Work Sans"/>
          <w:color w:val="333333"/>
          <w:sz w:val="20"/>
          <w:szCs w:val="20"/>
        </w:rPr>
        <w:t xml:space="preserve">Overdue alert and case management workflow</w:t>
      </w:r>
    </w:p>
    <w:p>
      <w:pPr>
        <w:spacing w:after="100" w:before="100"/>
      </w:pPr>
      <w:r>
        <w:t xml:space="preserve"/>
      </w:r>
    </w:p>
    <w:p>
      <w:pPr>
        <w:pStyle w:val="Heading2"/>
        <w:spacing w:after="160" w:before="360"/>
      </w:pPr>
      <w:r>
        <w:rPr>
          <w:rFonts w:ascii="Raleway" w:cs="Raleway" w:eastAsia="Raleway" w:hAnsi="Raleway"/>
          <w:b/>
          <w:bCs/>
          <w:color w:val="0B4550"/>
          <w:sz w:val="26"/>
          <w:szCs w:val="26"/>
        </w:rPr>
        <w:t xml:space="preserve">4.6  Data Sovereignty</w:t>
      </w:r>
    </w:p>
    <w:p>
      <w:pPr>
        <w:pStyle w:val="ListParagraph"/>
        <w:numPr>
          <w:ilvl w:val="0"/>
          <w:numId w:val="2"/>
        </w:numPr>
        <w:spacing w:after="60" w:before="60"/>
      </w:pPr>
      <w:r>
        <w:rPr>
          <w:rFonts w:ascii="Work Sans" w:cs="Work Sans" w:eastAsia="Work Sans" w:hAnsi="Work Sans"/>
          <w:color w:val="333333"/>
          <w:sz w:val="20"/>
          <w:szCs w:val="20"/>
        </w:rPr>
        <w:t xml:space="preserve">All member data must be housed on HIVE-controlled infrastructure</w:t>
      </w:r>
    </w:p>
    <w:p>
      <w:pPr>
        <w:pStyle w:val="ListParagraph"/>
        <w:numPr>
          <w:ilvl w:val="0"/>
          <w:numId w:val="2"/>
        </w:numPr>
        <w:spacing w:after="60" w:before="60"/>
      </w:pPr>
      <w:r>
        <w:rPr>
          <w:rFonts w:ascii="Work Sans" w:cs="Work Sans" w:eastAsia="Work Sans" w:hAnsi="Work Sans"/>
          <w:color w:val="333333"/>
          <w:sz w:val="20"/>
          <w:szCs w:val="20"/>
        </w:rPr>
        <w:t xml:space="preserve">No reliance on third-party cloud storage for sensitive member or transaction data</w:t>
      </w:r>
    </w:p>
    <w:p>
      <w:pPr>
        <w:pStyle w:val="ListParagraph"/>
        <w:numPr>
          <w:ilvl w:val="0"/>
          <w:numId w:val="2"/>
        </w:numPr>
        <w:spacing w:after="60" w:before="60"/>
      </w:pPr>
      <w:r>
        <w:rPr>
          <w:rFonts w:ascii="Work Sans" w:cs="Work Sans" w:eastAsia="Work Sans" w:hAnsi="Work Sans"/>
          <w:color w:val="333333"/>
          <w:sz w:val="20"/>
          <w:szCs w:val="20"/>
        </w:rPr>
        <w:t xml:space="preserve">System architecture to be compatible with Synology NAS and on-premises deployment</w:t>
      </w:r>
    </w:p>
    <w:p>
      <w:pPr>
        <w:spacing w:after="100" w:before="100"/>
      </w:pPr>
      <w:r>
        <w:t xml:space="preserve"/>
      </w:r>
    </w:p>
    <w:p>
      <w:pPr>
        <w:pBdr>
          <w:left w:val="single" w:color="0B4550" w:sz="12" w:space="6"/>
        </w:pBdr>
        <w:spacing w:after="120" w:before="120"/>
        <w:ind w:left="400"/>
      </w:pPr>
      <w:r>
        <w:rPr>
          <w:rFonts w:ascii="Work Sans" w:cs="Work Sans" w:eastAsia="Work Sans" w:hAnsi="Work Sans"/>
          <w:i/>
          <w:iCs/>
          <w:color w:val="898A80"/>
          <w:sz w:val="18"/>
          <w:szCs w:val="18"/>
        </w:rPr>
        <w:t xml:space="preserve">This document is a living process framework. Sections will be updated as the Central Coast pilot progresses, supplier capabilities are confirmed, and Linda's program design is finalised. Version history to be maintained.</w:t>
      </w:r>
    </w:p>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4550" w:sz="6" w:space="4"/>
      </w:pBdr>
      <w:spacing w:before="200"/>
      <w:jc w:val="center"/>
    </w:pPr>
    <w:r>
      <w:rPr>
        <w:rFonts w:ascii="Work Sans" w:cs="Work Sans" w:eastAsia="Work Sans" w:hAnsi="Work Sans"/>
        <w:color w:val="898A80"/>
        <w:sz w:val="16"/>
        <w:szCs w:val="16"/>
      </w:rPr>
      <w:t xml:space="preserve">HIVE Trade Network Pty Ltd  |  ABN 21 683 196 018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4550" w:sz="6" w:space="4"/>
      </w:pBdr>
      <w:spacing w:after="200"/>
    </w:pPr>
    <w:r>
      <w:rPr>
        <w:rFonts w:ascii="Raleway" w:cs="Raleway" w:eastAsia="Raleway" w:hAnsi="Raleway"/>
        <w:b/>
        <w:bCs/>
        <w:color w:val="0B4550"/>
        <w:sz w:val="20"/>
        <w:szCs w:val="20"/>
      </w:rPr>
      <w:t xml:space="preserve">HIVE Trade Network  </w:t>
    </w:r>
    <w:r>
      <w:rPr>
        <w:rFonts w:ascii="Work Sans" w:cs="Work Sans" w:eastAsia="Work Sans" w:hAnsi="Work Sans"/>
        <w:color w:val="898A80"/>
        <w:sz w:val="20"/>
        <w:szCs w:val="20"/>
      </w:rPr>
      <w:t xml:space="preserve">|  Member Acquisition &amp; Onboarding Process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Raleway" w:cs="Raleway" w:eastAsia="Raleway" w:hAnsi="Raleway"/>
      <w:b/>
      <w:bCs/>
      <w:color w:val="0B4550"/>
      <w:sz w:val="32"/>
      <w:szCs w:val="32"/>
    </w:rPr>
  </w:style>
  <w:style w:type="paragraph" w:styleId="Heading2">
    <w:name w:val="Heading 2"/>
    <w:basedOn w:val="Normal"/>
    <w:next w:val="Normal"/>
    <w:qFormat/>
    <w:pPr>
      <w:spacing w:after="160" w:before="360"/>
      <w:outlineLvl w:val="1"/>
    </w:pPr>
    <w:rPr>
      <w:rFonts w:ascii="Raleway" w:cs="Raleway" w:eastAsia="Raleway" w:hAnsi="Raleway"/>
      <w:b/>
      <w:bCs/>
      <w:color w:val="0B4550"/>
      <w:sz w:val="26"/>
      <w:szCs w:val="26"/>
    </w:rPr>
  </w:style>
  <w:style w:type="paragraph" w:styleId="Heading3">
    <w:name w:val="Heading 3"/>
    <w:basedOn w:val="Normal"/>
    <w:next w:val="Normal"/>
    <w:qFormat/>
    <w:pPr>
      <w:spacing w:after="120" w:before="240"/>
      <w:outlineLvl w:val="2"/>
    </w:pPr>
    <w:rPr>
      <w:rFonts w:ascii="Work Sans" w:cs="Work Sans" w:eastAsia="Work Sans" w:hAnsi="Work Sans"/>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2026-04-06T10:36:06.873Z</dcterms:created>
  <dcterms:modified xsi:type="dcterms:W3CDTF">2026-04-06T10:36:06.874Z</dcterms:modified>
</cp:coreProperties>
</file>

<file path=docProps/custom.xml><?xml version="1.0" encoding="utf-8"?>
<Properties xmlns="http://schemas.openxmlformats.org/officeDocument/2006/custom-properties" xmlns:vt="http://schemas.openxmlformats.org/officeDocument/2006/docPropsVTypes"/>
</file>