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pPr>
        <w:spacing w:after="120"/>
      </w:pPr>
      <w:r>
        <w:rPr>
          <w:rFonts w:ascii="Arial" w:eastAsia="Arial" w:hAnsi="Arial" w:cs="Arial"/>
        </w:rPr>
        <w:t xml:space="preserve">The comprehensive risk report highlights the potential risks associated with the supply chain of LV Switchgear. The report identifies trade tariffs, export bans, and geopolitical tensions between the US and other countries as significant risks that could impact the supply chain. The likelihood of these risks is moderate to high, and they could have a significant impact on the supply chain.</w:t>
      </w:r>
    </w:p>
    <w:sectPr>
      <w:pgSz w:w="11907" w:h="16839"/>
      <w:pgMar w:top="1440" w:right="1440" w:bottom="1440" w:left="1440" w:header="720" w:footer="720" w:gutter="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val="0"/>
  <w:bordersDoNotSurroundHeader w:val="0"/>
  <w:doNotTrackMoves/>
  <w:defaultTabStop w:val="720"/>
  <w:characterSpacingControl w:val="doNotCompress"/>
  <w:compat>
    <w:doNotLeaveBackslashAlone/>
    <w:doNotExpandShiftReturn/>
    <w:adjustLineHeightInTable/>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 w:uri="http://schemas.microsoft.com/office/word" w:val="1"/>
  </w:compat>
  <w:rsids>
    <w:rsidRoot w:val="00000000"/>
  </w:rsid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4"/>
      <w:szCs w:val="24"/>
      <w:lang w:val="en-US" w:eastAsia="uk-UA" w:bidi="ar-SA"/>
    </w:rPr>
  </w:style>
  <w:style w:type="character" w:default="1" w:styleId="DefaultParagraphFont">
    <w:name w:val="Default Paragraph Font"/>
    <w:uiPriority w:val="1"/>
    <w:semiHidden/>
    <w:unhideWhenUsed/>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styles" Target="styles.xml" /><Relationship Id="rId4"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Spire.Doc</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2026-02-21T05:25:39Z</dcterms:created>
  <dcterms:modified xsi:type="dcterms:W3CDTF">2026-02-21T05:25:39Z</dcterms:modified>
</cp:coreProperties>
</file>