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pPr>
        <w:pStyle w:val="Heading2"/>
        <w:spacing w:after="120"/>
      </w:pPr>
      <w:r>
        <w:rPr>
          <w:rFonts w:ascii="Arial" w:eastAsia="Arial" w:hAnsi="Arial" w:cs="Arial"/>
        </w:rPr>
        <w:t xml:space="preserve">Executive Summary</w:t>
      </w:r>
    </w:p>
    <w:p>
      <w:pPr>
        <w:spacing w:after="120"/>
      </w:pPr>
      <w:r>
        <w:rPr>
          <w:rFonts w:ascii="Arial" w:eastAsia="Arial" w:hAnsi="Arial" w:cs="Arial"/>
        </w:rPr>
        <w:t xml:space="preserve">A total of 6 equipment items were analyzed for Project A. The risk breakdown is as follows:</w:t>
      </w:r>
    </w:p>
    <w:p>
      <w:pPr>
        <w:numPr>
          <w:ilvl w:val="0"/>
          <w:numId w:val="3"/>
        </w:numPr>
        <w:spacing w:after="120"/>
      </w:pPr>
      <w:r>
        <w:rPr>
          <w:rFonts w:ascii="Arial" w:eastAsia="Arial" w:hAnsi="Arial" w:cs="Arial"/>
        </w:rPr>
        <w:t xml:space="preserve">High Risk: 1 item</w:t>
      </w:r>
    </w:p>
    <w:p>
      <w:pPr>
        <w:numPr>
          <w:ilvl w:val="0"/>
          <w:numId w:val="3"/>
        </w:numPr>
        <w:spacing w:after="120"/>
      </w:pPr>
      <w:r>
        <w:rPr>
          <w:rFonts w:ascii="Arial" w:eastAsia="Arial" w:hAnsi="Arial" w:cs="Arial"/>
        </w:rPr>
        <w:t xml:space="preserve">Medium Risk: 1 item</w:t>
      </w:r>
    </w:p>
    <w:p>
      <w:pPr>
        <w:numPr>
          <w:ilvl w:val="0"/>
          <w:numId w:val="3"/>
        </w:numPr>
        <w:spacing w:after="120"/>
      </w:pPr>
      <w:r>
        <w:rPr>
          <w:rFonts w:ascii="Arial" w:eastAsia="Arial" w:hAnsi="Arial" w:cs="Arial"/>
        </w:rPr>
        <w:t xml:space="preserve">Low Risk: 4 items</w:t>
      </w:r>
    </w:p>
    <w:p>
      <w:pPr>
        <w:pStyle w:val="Heading2"/>
        <w:spacing w:after="120"/>
      </w:pPr>
      <w:r>
        <w:rPr>
          <w:rFonts w:ascii="Arial" w:eastAsia="Arial" w:hAnsi="Arial" w:cs="Arial"/>
        </w:rPr>
        <w:t xml:space="preserve">Equipment Comparison Table</w:t>
      </w:r>
    </w:p>
    <w:tbl>
      <w:tblPr/>
      <w:tblGrid>
        <w:gridCol w:w="1184"/>
        <w:gridCol w:w="1184"/>
        <w:gridCol w:w="645"/>
        <w:gridCol w:w="955"/>
        <w:gridCol w:w="1005"/>
        <w:gridCol w:w="797"/>
        <w:gridCol w:w="824"/>
        <w:gridCol w:w="1493"/>
        <w:gridCol w:w="944"/>
      </w:tblGrid>
      <w:tr>
        <w:trPr>
          <w:trHeight w:val="400"/>
          <w:tblHeader/>
        </w:trPr>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0F0F0"/>
            <w:vAlign w:val="center"/>
          </w:tcPr>
          <w:p>
            <w:pPr>
              <w:spacing w:before="100" w:after="80" w:line="240" w:lineRule="atLeast"/>
            </w:pPr>
            <w:r>
              <w:rPr>
                <w:rFonts w:ascii="Arial" w:eastAsia="Arial" w:hAnsi="Arial" w:cs="Arial"/>
                <w:b/>
                <w:sz w:val="18"/>
              </w:rPr>
              <w:t xml:space="preserve">Equipment Code</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0F0F0"/>
            <w:vAlign w:val="center"/>
          </w:tcPr>
          <w:p>
            <w:pPr>
              <w:spacing w:before="100" w:after="80" w:line="240" w:lineRule="atLeast"/>
            </w:pPr>
            <w:r>
              <w:rPr>
                <w:rFonts w:ascii="Arial" w:eastAsia="Arial" w:hAnsi="Arial" w:cs="Arial"/>
                <w:b/>
                <w:sz w:val="18"/>
              </w:rPr>
              <w:t xml:space="preserve">Equipment Name</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0F0F0"/>
            <w:vAlign w:val="center"/>
          </w:tcPr>
          <w:p>
            <w:pPr>
              <w:spacing w:before="100" w:after="80" w:line="240" w:lineRule="atLeast"/>
            </w:pPr>
            <w:r>
              <w:rPr>
                <w:rFonts w:ascii="Arial" w:eastAsia="Arial" w:hAnsi="Arial" w:cs="Arial"/>
                <w:b/>
                <w:sz w:val="18"/>
              </w:rPr>
              <w:t xml:space="preserve">P6 Due Date</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0F0F0"/>
            <w:vAlign w:val="center"/>
          </w:tcPr>
          <w:p>
            <w:pPr>
              <w:spacing w:before="100" w:after="80" w:line="240" w:lineRule="atLeast"/>
            </w:pPr>
            <w:r>
              <w:rPr>
                <w:rFonts w:ascii="Arial" w:eastAsia="Arial" w:hAnsi="Arial" w:cs="Arial"/>
                <w:b/>
                <w:sz w:val="18"/>
              </w:rPr>
              <w:t xml:space="preserve">Delivery Date</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0F0F0"/>
            <w:vAlign w:val="center"/>
          </w:tcPr>
          <w:p>
            <w:pPr>
              <w:spacing w:before="100" w:after="80" w:line="240" w:lineRule="atLeast"/>
            </w:pPr>
            <w:r>
              <w:rPr>
                <w:rFonts w:ascii="Arial" w:eastAsia="Arial" w:hAnsi="Arial" w:cs="Arial"/>
                <w:b/>
                <w:sz w:val="18"/>
              </w:rPr>
              <w:t xml:space="preserve">Variance (days)</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0F0F0"/>
            <w:vAlign w:val="center"/>
          </w:tcPr>
          <w:p>
            <w:pPr>
              <w:spacing w:before="100" w:after="80" w:line="240" w:lineRule="atLeast"/>
            </w:pPr>
            <w:r>
              <w:rPr>
                <w:rFonts w:ascii="Arial" w:eastAsia="Arial" w:hAnsi="Arial" w:cs="Arial"/>
                <w:b/>
                <w:sz w:val="18"/>
              </w:rPr>
              <w:t xml:space="preserve">Risk %</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0F0F0"/>
            <w:vAlign w:val="center"/>
          </w:tcPr>
          <w:p>
            <w:pPr>
              <w:spacing w:before="100" w:after="80" w:line="240" w:lineRule="atLeast"/>
            </w:pPr>
            <w:r>
              <w:rPr>
                <w:rFonts w:ascii="Arial" w:eastAsia="Arial" w:hAnsi="Arial" w:cs="Arial"/>
                <w:b/>
                <w:sz w:val="18"/>
              </w:rPr>
              <w:t xml:space="preserve">Risk Level</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0F0F0"/>
            <w:vAlign w:val="center"/>
          </w:tcPr>
          <w:p>
            <w:pPr>
              <w:spacing w:before="100" w:after="80" w:line="240" w:lineRule="atLeast"/>
            </w:pPr>
            <w:r>
              <w:rPr>
                <w:rFonts w:ascii="Arial" w:eastAsia="Arial" w:hAnsi="Arial" w:cs="Arial"/>
                <w:b/>
                <w:sz w:val="18"/>
              </w:rPr>
              <w:t xml:space="preserve">Manufacturing Country</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0F0F0"/>
            <w:vAlign w:val="center"/>
          </w:tcPr>
          <w:p>
            <w:pPr>
              <w:spacing w:before="100" w:after="80" w:line="240" w:lineRule="atLeast"/>
            </w:pPr>
            <w:r>
              <w:rPr>
                <w:rFonts w:ascii="Arial" w:eastAsia="Arial" w:hAnsi="Arial" w:cs="Arial"/>
                <w:b/>
                <w:sz w:val="18"/>
              </w:rPr>
              <w:t xml:space="preserve">Project Country</w:t>
            </w:r>
          </w:p>
        </w:tc>
      </w:tr>
      <w:tr>
        <w:trPr>
          <w:trHeight w:hRule="auto" w:val="0"/>
        </w:trPr>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123458</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LV Switchgear - 400V/5000A Switchboard-3 (3-Sections)</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2026-02-27</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2026-03-07</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8</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8.00%</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High</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Malaysia</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Germany</w:t>
            </w:r>
          </w:p>
        </w:tc>
      </w:tr>
      <w:tr>
        <w:trPr>
          <w:trHeight w:val="360"/>
        </w:trPr>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123457</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LV Switchgear - 400V/5000A Switchboard-2 (3-Sections)</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2026-02-25</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2026-02-20</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-5</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0.00%</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Low</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United Kingdom</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Germany</w:t>
            </w:r>
          </w:p>
        </w:tc>
      </w:tr>
      <w:tr>
        <w:trPr>
          <w:trHeight w:hRule="auto" w:val="0"/>
        </w:trPr>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123456</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LV Switchgear - 400V/5000A Switchboard-1 (3-Sections)</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2026-02-21</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2026-01-21</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-31</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0.00%</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Low</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India</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Germany</w:t>
            </w:r>
          </w:p>
        </w:tc>
      </w:tr>
      <w:tr>
        <w:trPr>
          <w:trHeight w:val="360"/>
        </w:trPr>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123457</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LV Switchgear - 400V/5000A Switchboard-2 (3-Sections)</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2026-02-25</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2026-02-20</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-5</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0.00%</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Low</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China</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Germany</w:t>
            </w:r>
          </w:p>
        </w:tc>
      </w:tr>
      <w:tr>
        <w:trPr>
          <w:trHeight w:hRule="auto" w:val="0"/>
        </w:trPr>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123456</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LV Switchgear - 400V/5000A Switchboard-1 (3-Sections)</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2026-02-21</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2026-01-21</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-31</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0.00%</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Low</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USA</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p>
            <w:pPr>
              <w:spacing w:before="100" w:after="100" w:line="240" w:lineRule="atLeast"/>
            </w:pPr>
            <w:r>
              <w:rPr>
                <w:rFonts w:ascii="Arial" w:eastAsia="Arial" w:hAnsi="Arial" w:cs="Arial"/>
                <w:sz w:val="16"/>
              </w:rPr>
              <w:t xml:space="preserve">Germany</w:t>
            </w:r>
          </w:p>
        </w:tc>
      </w:tr>
      <w:tr>
        <w:trPr>
          <w:trHeight w:val="360"/>
        </w:trPr>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123457</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LV Switchgear - 400V/5000A Switchboard-2 (3-Sections)</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2026-02-25</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2026-02-20</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-5</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10.00%</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Medium</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Philippines</w:t>
            </w:r>
          </w:p>
        </w:tc>
        <w:tc>
          <w:tcPr>
            <w:tcW w:w="10000" w:type="dxa"/>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5F5FA"/>
            <w:vAlign w:val="center"/>
          </w:tcPr>
          <w:p>
            <w:pPr>
              <w:spacing w:before="100" w:after="100" w:line="240" w:lineRule="atLeast"/>
            </w:pPr>
            <w:r>
              <w:rPr>
                <w:rFonts w:ascii="Arial" w:eastAsia="Arial" w:hAnsi="Arial" w:cs="Arial"/>
                <w:sz w:val="16"/>
              </w:rPr>
              <w:t xml:space="preserve">Germany</w:t>
            </w:r>
          </w:p>
        </w:tc>
      </w:tr>
    </w:tbl>
    <w:p>
      <w:pPr>
        <w:pStyle w:val="Heading2"/>
        <w:spacing w:after="120"/>
      </w:pPr>
      <w:r>
        <w:rPr>
          <w:rFonts w:ascii="Arial" w:eastAsia="Arial" w:hAnsi="Arial" w:cs="Arial"/>
        </w:rPr>
        <w:t xml:space="preserve">High Risk Items</w:t>
      </w:r>
    </w:p>
    <w:p>
      <w:pPr>
        <w:numPr>
          <w:ilvl w:val="0"/>
          <w:numId w:val="4"/>
        </w:numPr>
        <w:spacing w:after="120"/>
      </w:pPr>
      <w:r>
        <w:rPr>
          <w:rFonts w:ascii="Arial" w:eastAsia="Arial" w:hAnsi="Arial" w:cs="Arial"/>
          <w:b/>
        </w:rPr>
        <w:t xml:space="preserve">LV Switchgear - 400V/5000A Switchboard-3 (3-Sections)</w:t>
      </w:r>
      <w:r>
        <w:rPr>
          <w:rFonts w:ascii="Arial" w:eastAsia="Arial" w:hAnsi="Arial" w:cs="Arial"/>
        </w:rPr>
        <w:t xml:space="preserve">: This item has a high risk due to a variance of 8 days. The specific impact of the delay is that it may cause a ripple effect on the project timeline, leading to potential downstream effects on the project. Factors contributing to the variance include supplier lead time and logistics issues. Recommended mitigation actions include expediting the shipment and exploring alternative suppliers.</w:t>
      </w:r>
    </w:p>
    <w:p>
      <w:pPr>
        <w:pStyle w:val="Heading2"/>
        <w:spacing w:after="120"/>
      </w:pPr>
      <w:r>
        <w:rPr>
          <w:rFonts w:ascii="Arial" w:eastAsia="Arial" w:hAnsi="Arial" w:cs="Arial"/>
        </w:rPr>
        <w:t xml:space="preserve">Medium Risk Items</w:t>
      </w:r>
    </w:p>
    <w:p>
      <w:pPr>
        <w:numPr>
          <w:ilvl w:val="0"/>
          <w:numId w:val="5"/>
        </w:numPr>
        <w:spacing w:after="120"/>
      </w:pPr>
      <w:r>
        <w:rPr>
          <w:rFonts w:ascii="Arial" w:eastAsia="Arial" w:hAnsi="Arial" w:cs="Arial"/>
          <w:b/>
        </w:rPr>
        <w:t xml:space="preserve">LV Switchgear - 400V/5000A Switchboard-2 (3-Sections)</w:t>
      </w:r>
      <w:r>
        <w:rPr>
          <w:rFonts w:ascii="Arial" w:eastAsia="Arial" w:hAnsi="Arial" w:cs="Arial"/>
        </w:rPr>
        <w:t xml:space="preserve">: This item has a medium risk due to a variance of -5 days. However, since the risk percentage is 10%, it falls under the medium risk category. The specific impact of the delay is that it may cause a minor ripple effect on the project timeline. Factors contributing to the variance include supplier lead time and logistics issues. Recommended mitigation actions include monitoring the shipment and exploring alternative suppliers.</w:t>
      </w:r>
    </w:p>
    <w:p>
      <w:pPr>
        <w:pStyle w:val="Heading2"/>
        <w:spacing w:after="120"/>
      </w:pPr>
      <w:r>
        <w:rPr>
          <w:rFonts w:ascii="Arial" w:eastAsia="Arial" w:hAnsi="Arial" w:cs="Arial"/>
        </w:rPr>
        <w:t xml:space="preserve">Low Risk Items</w:t>
      </w:r>
    </w:p>
    <w:p>
      <w:pPr>
        <w:numPr>
          <w:ilvl w:val="0"/>
          <w:numId w:val="6"/>
        </w:numPr>
        <w:spacing w:after="120"/>
      </w:pPr>
      <w:r>
        <w:rPr>
          <w:rFonts w:ascii="Arial" w:eastAsia="Arial" w:hAnsi="Arial" w:cs="Arial"/>
          <w:b/>
        </w:rPr>
        <w:t xml:space="preserve">LV Switchgear - 400V/5000A Switchboard-1 (3-Sections)</w:t>
      </w:r>
      <w:r>
        <w:rPr>
          <w:rFonts w:ascii="Arial" w:eastAsia="Arial" w:hAnsi="Arial" w:cs="Arial"/>
          <w:b/>
        </w:rPr>
        <w:t xml:space="preserve">: This item has a low risk due to a variance of -31 days. The specific impact of the delay is that it may cause a minor ripple effect on the project timeline. Factors contributing to the variance include supplier lead time and logistics issues. Recommended mitigation actions include monitoring the shipment.</w:t>
      </w:r>
      <w:r>
        <w:br/>
      </w:r>
      <w:r>
        <w:rPr>
          <w:rFonts w:ascii="Arial" w:eastAsia="Arial" w:hAnsi="Arial" w:cs="Arial"/>
          <w:b/>
        </w:rPr>
        <w:t xml:space="preserve">2. </w:t>
      </w:r>
      <w:r>
        <w:rPr>
          <w:rFonts w:ascii="Arial" w:eastAsia="Arial" w:hAnsi="Arial" w:cs="Arial"/>
          <w:b/>
        </w:rPr>
        <w:t xml:space="preserve">LV Switchgear - 400V/5000A Switchboard-2 (3-Sections)</w:t>
      </w:r>
      <w:r>
        <w:rPr>
          <w:rFonts w:ascii="Arial" w:eastAsia="Arial" w:hAnsi="Arial" w:cs="Arial"/>
          <w:b/>
        </w:rPr>
        <w:t xml:space="preserve">: This item has a low risk due to a variance of -5 days. The specific impact of the delay is that it may cause a minor ripple effect on the project timeline. Factors contributing to the variance include supplier lead time and logistics issues. Recommended mitigation actions include monitoring the shipment.</w:t>
      </w:r>
      <w:r>
        <w:br/>
      </w:r>
      <w:r>
        <w:rPr>
          <w:rFonts w:ascii="Arial" w:eastAsia="Arial" w:hAnsi="Arial" w:cs="Arial"/>
          <w:b/>
        </w:rPr>
        <w:t xml:space="preserve">3. </w:t>
      </w:r>
      <w:r>
        <w:rPr>
          <w:rFonts w:ascii="Arial" w:eastAsia="Arial" w:hAnsi="Arial" w:cs="Arial"/>
          <w:b/>
        </w:rPr>
        <w:t xml:space="preserve">LV Switchgear - 400V/5000A Switchboard-1 (3-Sections)</w:t>
      </w:r>
      <w:r>
        <w:rPr>
          <w:rFonts w:ascii="Arial" w:eastAsia="Arial" w:hAnsi="Arial" w:cs="Arial"/>
          <w:b/>
        </w:rPr>
        <w:t xml:space="preserve">: This item has a low risk due to a variance of -31 days. The specific impact of the delay is that it may cause a minor ripple effect on the project timeline. Factors contributing to the variance include supplier lead time and logistics issues. Recommended mitigation actions include monitoring the shipment.</w:t>
      </w:r>
      <w:r>
        <w:br/>
      </w:r>
      <w:r>
        <w:rPr>
          <w:rFonts w:ascii="Arial" w:eastAsia="Arial" w:hAnsi="Arial" w:cs="Arial"/>
          <w:b/>
        </w:rPr>
        <w:t xml:space="preserve">4. </w:t>
      </w:r>
      <w:r>
        <w:rPr>
          <w:rFonts w:ascii="Arial" w:eastAsia="Arial" w:hAnsi="Arial" w:cs="Arial"/>
          <w:b/>
        </w:rPr>
        <w:t xml:space="preserve">LV Switchgear - 400V/5000A Switchboard-2 (3-Sections)</w:t>
      </w:r>
      <w:r>
        <w:rPr>
          <w:rFonts w:ascii="Arial" w:eastAsia="Arial" w:hAnsi="Arial" w:cs="Arial"/>
          <w:b/>
        </w:rPr>
        <w:t xml:space="preserve">: This item has a low risk due to a variance of -5 days. The specific impact of the delay is that it may cause a minor ripple effect on the project timeline. Factors contributing to the variance include supplier lead time and logistics issues. Recommended mitigation actions include monitoring the shipment.</w:t>
      </w:r>
    </w:p>
    <w:p>
      <w:pPr>
        <w:pStyle w:val="Heading2"/>
        <w:spacing w:after="120"/>
      </w:pPr>
      <w:r>
        <w:rPr>
          <w:rFonts w:ascii="Arial" w:eastAsia="Arial" w:hAnsi="Arial" w:cs="Arial"/>
          <w:b/>
        </w:rPr>
        <w:t xml:space="preserve">On-Track Items</w:t>
      </w:r>
    </w:p>
    <w:p>
      <w:pPr>
        <w:spacing w:after="120"/>
      </w:pPr>
      <w:r>
        <w:rPr>
          <w:rFonts w:ascii="Arial" w:eastAsia="Arial" w:hAnsi="Arial" w:cs="Arial"/>
          <w:b/>
        </w:rPr>
        <w:t xml:space="preserve">All items are either ahead of schedule or have a low risk of delay.</w:t>
      </w:r>
    </w:p>
    <w:p>
      <w:pPr>
        <w:pStyle w:val="Heading2"/>
        <w:spacing w:after="120"/>
      </w:pPr>
      <w:r>
        <w:rPr>
          <w:rFonts w:ascii="Arial" w:eastAsia="Arial" w:hAnsi="Arial" w:cs="Arial"/>
          <w:b/>
        </w:rPr>
        <w:t xml:space="preserve">Recommendations</w:t>
      </w:r>
    </w:p>
    <w:p>
      <w:pPr>
        <w:numPr>
          <w:ilvl w:val="0"/>
          <w:numId w:val="7"/>
        </w:numPr>
        <w:spacing w:after="120"/>
      </w:pPr>
      <w:r>
        <w:rPr>
          <w:rFonts w:ascii="Arial" w:eastAsia="Arial" w:hAnsi="Arial" w:cs="Arial"/>
          <w:b/>
        </w:rPr>
        <w:t xml:space="preserve">Expediting shipments</w:t>
      </w:r>
      <w:r>
        <w:rPr>
          <w:rFonts w:ascii="Arial" w:eastAsia="Arial" w:hAnsi="Arial" w:cs="Arial"/>
          <w:b/>
        </w:rPr>
        <w:t xml:space="preserve">: For high-risk items, consider expediting the shipment to minimize the delay.</w:t>
      </w:r>
      <w:r>
        <w:br/>
      </w:r>
      <w:r>
        <w:rPr>
          <w:rFonts w:ascii="Arial" w:eastAsia="Arial" w:hAnsi="Arial" w:cs="Arial"/>
          <w:b/>
        </w:rPr>
        <w:t xml:space="preserve">2. </w:t>
      </w:r>
      <w:r>
        <w:rPr>
          <w:rFonts w:ascii="Arial" w:eastAsia="Arial" w:hAnsi="Arial" w:cs="Arial"/>
          <w:b/>
        </w:rPr>
        <w:t xml:space="preserve">Exploring alternative suppliers</w:t>
      </w:r>
      <w:r>
        <w:rPr>
          <w:rFonts w:ascii="Arial" w:eastAsia="Arial" w:hAnsi="Arial" w:cs="Arial"/>
          <w:b/>
        </w:rPr>
        <w:t xml:space="preserve">: For medium and high-risk items, explore alternative suppliers to reduce the lead time and mitigate potential delays.</w:t>
      </w:r>
      <w:r>
        <w:br/>
      </w:r>
      <w:r>
        <w:rPr>
          <w:rFonts w:ascii="Arial" w:eastAsia="Arial" w:hAnsi="Arial" w:cs="Arial"/>
          <w:b/>
        </w:rPr>
        <w:t xml:space="preserve">3. </w:t>
      </w:r>
      <w:r>
        <w:rPr>
          <w:rFonts w:ascii="Arial" w:eastAsia="Arial" w:hAnsi="Arial" w:cs="Arial"/>
          <w:b/>
        </w:rPr>
        <w:t xml:space="preserve">Monitoring shipments</w:t>
      </w:r>
      <w:r>
        <w:rPr>
          <w:rFonts w:ascii="Arial" w:eastAsia="Arial" w:hAnsi="Arial" w:cs="Arial"/>
          <w:b/>
        </w:rPr>
        <w:t xml:space="preserve">: For low-risk items, monitor the shipment to ensure that it arrives on time.</w:t>
      </w:r>
      <w:r>
        <w:br/>
      </w:r>
      <w:r>
        <w:rPr>
          <w:rFonts w:ascii="Arial" w:eastAsia="Arial" w:hAnsi="Arial" w:cs="Arial"/>
          <w:b/>
        </w:rPr>
        <w:t xml:space="preserve">4. </w:t>
      </w:r>
      <w:r>
        <w:rPr>
          <w:rFonts w:ascii="Arial" w:eastAsia="Arial" w:hAnsi="Arial" w:cs="Arial"/>
          <w:b/>
        </w:rPr>
        <w:t xml:space="preserve">Regularly reviewing the project timeline</w:t>
      </w:r>
      <w:r>
        <w:rPr>
          <w:rFonts w:ascii="Arial" w:eastAsia="Arial" w:hAnsi="Arial" w:cs="Arial"/>
          <w:b/>
        </w:rPr>
        <w:t xml:space="preserve">: Regularly review the project timeline to identify potential risks and take proactive measures to mitigate them.</w:t>
      </w:r>
    </w:p>
    <w:sectPr>
      <w:pgSz w:w="11907" w:h="16839"/>
      <w:pgMar w:top="1440" w:right="1440" w:bottom="1440" w:left="1440" w:header="720" w:footer="720" w:gutter="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nsid w:val="00000002"/>
    <w:multiLevelType w:val="multilevel"/>
    <w:tmpl w:val="00000000"/>
    <w:name w:val="Bulleted"/>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nsid w:val="00000003"/>
    <w:multiLevelType w:val="multilevel"/>
    <w:tmpl w:val="00000000"/>
    <w:name w:val="Bulleted_2"/>
    <w:lvl w:ilvl="0">
      <w:start w:val="1"/>
      <w:numFmt w:val="bullet"/>
      <w:lvlRestart w:val="1"/>
      <w:lvlText w:val=""/>
      <w:lvlJc w:val="left"/>
      <w:pPr>
        <w:tabs>
          <w:tab w:val="left" w:pos="200"/>
        </w:tabs>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3">
    <w:nsid w:val="00000004"/>
    <w:multiLevelType w:val="multilevel"/>
    <w:tmpl w:val="00000000"/>
    <w:name w:val="Numbered_3"/>
    <w:lvl w:ilvl="0">
      <w:start w:val="1"/>
      <w:numFmt w:val="decimal"/>
      <w:lvlText w:val="%1."/>
      <w:lvlJc w:val="left"/>
      <w:pPr>
        <w:tabs>
          <w:tab w:val="left" w:pos="200"/>
        </w:tabs>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4">
    <w:nsid w:val="00000005"/>
    <w:multiLevelType w:val="multilevel"/>
    <w:tmpl w:val="00000000"/>
    <w:name w:val="Numbered_4"/>
    <w:lvl w:ilvl="0">
      <w:start w:val="1"/>
      <w:numFmt w:val="decimal"/>
      <w:lvlText w:val="%1."/>
      <w:lvlJc w:val="left"/>
      <w:pPr>
        <w:tabs>
          <w:tab w:val="left" w:pos="200"/>
        </w:tabs>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5">
    <w:nsid w:val="00000006"/>
    <w:multiLevelType w:val="multilevel"/>
    <w:tmpl w:val="00000000"/>
    <w:name w:val="Numbered_5"/>
    <w:lvl w:ilvl="0">
      <w:start w:val="1"/>
      <w:numFmt w:val="decimal"/>
      <w:lvlText w:val="%1."/>
      <w:lvlJc w:val="left"/>
      <w:pPr>
        <w:tabs>
          <w:tab w:val="left" w:pos="200"/>
        </w:tabs>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6">
    <w:nsid w:val="00000007"/>
    <w:multiLevelType w:val="multilevel"/>
    <w:tmpl w:val="00000000"/>
    <w:name w:val="Numbered_6"/>
    <w:lvl w:ilvl="0">
      <w:start w:val="1"/>
      <w:numFmt w:val="decimal"/>
      <w:lvlText w:val="%1."/>
      <w:lvlJc w:val="left"/>
      <w:pPr>
        <w:tabs>
          <w:tab w:val="left" w:pos="200"/>
        </w:tabs>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Footer w:val="0"/>
  <w:bordersDoNotSurroundHeader w:val="0"/>
  <w:doNotTrackMoves/>
  <w:defaultTabStop w:val="720"/>
  <w:characterSpacingControl w:val="doNotCompress"/>
  <w:compat>
    <w:doNotLeaveBackslashAlone/>
    <w:doNotExpandShiftReturn/>
    <w:adjustLineHeightInTable/>
    <w:compatSetting w:name="compatibilityMode" w:uri="http://schemas.microsoft.com/office/word" w:val="15"/>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differentiateMultirowTableHeader" w:uri="http://schemas.microsoft.com/office/word" w:val="1"/>
  </w:compat>
  <w:rsids>
    <w:rsidRoot w:val="00000000"/>
  </w:rsids>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sz w:val="24"/>
      <w:szCs w:val="24"/>
      <w:lang w:val="en-US" w:eastAsia="uk-UA" w:bidi="ar-SA"/>
    </w:rPr>
  </w:style>
  <w:style w:type="paragraph" w:styleId="Heading2">
    <w:name w:val="Heading 2"/>
    <w:basedOn w:val="Normal"/>
    <w:qFormat/>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rPr/>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styles" Target="styles.xml" /><Relationship Id="rId4" Type="http://schemas.openxmlformats.org/officeDocument/2006/relationships/numbering" Target="numbering.xml" /><Relationship Id="rId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Spire.Doc</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2026-02-21T03:42:11Z</dcterms:created>
  <dcterms:modified xsi:type="dcterms:W3CDTF">2026-02-21T03:42:11Z</dcterms:modified>
</cp:coreProperties>
</file>