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spacing w:after="120"/>
      </w:pPr>
      <w:r>
        <w:rPr>
          <w:rFonts w:ascii="Arial" w:eastAsia="Arial" w:hAnsi="Arial" w:cs="Arial"/>
        </w:rPr>
        <w:t xml:space="preserve">Comprehensive report generated with all risk types, including schedule, political, tariff, and logistics risks.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2026-02-21T04:22:25Z</dcterms:created>
  <dcterms:modified xsi:type="dcterms:W3CDTF">2026-02-21T04:22:25Z</dcterms:modified>
</cp:coreProperties>
</file>