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pPr>
        <w:spacing w:after="120"/>
      </w:pPr>
      <w:r>
        <w:rPr>
          <w:rFonts w:ascii="Arial" w:eastAsia="Arial" w:hAnsi="Arial" w:cs="Arial"/>
        </w:rPr>
        <w:t xml:space="preserve">The political risks include trade tariffs, export bans, and geopolitical strain on global supply chains. The risks may affect the schedule of the equipment. The report will include an executive summary, a comprehensive risk summary table, a detailed risk analysis by category, and consolidated recommendations.</w:t>
      </w:r>
    </w:p>
    <w:sectPr>
      <w:pgSz w:w="11907" w:h="16839"/>
      <w:pgMar w:top="1440" w:right="1440" w:bottom="1440" w:left="1440" w:header="720" w:footer="720" w:gutter="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n-US" w:eastAsia="uk-UA" w:bidi="ar-SA"/>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styles" Target="styles.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2026-02-21T04:50:18Z</dcterms:created>
  <dcterms:modified xsi:type="dcterms:W3CDTF">2026-02-21T04:50:18Z</dcterms:modified>
</cp:coreProperties>
</file>