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Projeto Integrador II - Projeto de UX/UI (Etapa 2)</w:t>
      </w:r>
    </w:p>
    <w:p>
      <w:r>
        <w:t>Responsavel: Jonas Henrique dos Santos Estevao</w:t>
      </w:r>
    </w:p>
    <w:p>
      <w:r>
        <w:t>Nome do sistema: InfoTechG</w:t>
      </w:r>
    </w:p>
    <w:p>
      <w:r>
        <w:t>Ferramenta de prototipagem: PlantUML (notacao Salt) para wireframes de baixa/media fidelidade</w:t>
      </w:r>
    </w:p>
    <w:p>
      <w:pPr>
        <w:pStyle w:val="Heading1"/>
      </w:pPr>
      <w:r>
        <w:t>1. Objetivo deste documento</w:t>
      </w:r>
    </w:p>
    <w:p>
      <w:r>
        <w:t>Este documento apresenta o projeto de experiencia do usuario (UX) e interface (UI) do InfoTechG, construido a partir dos requisitos funcionais e regras de negocio definidos na Etapa 1. O objetivo e planejar a navegacao, os wireframes de cada tela, a paleta de cores e as decisoes de acessibilidade antes da implementacao das telas em Java/Swing, prevista para a Etapa 3.</w:t>
      </w:r>
    </w:p>
    <w:p>
      <w:pPr>
        <w:pStyle w:val="Heading1"/>
      </w:pPr>
      <w:r>
        <w:t>2. Estudo de usabilidade</w:t>
      </w:r>
    </w:p>
    <w:p>
      <w:r>
        <w:t>O InfoTechG tem tres perfis de usuario com necessidades de tela bem diferentes entre si (RF001, RN01, RN06). O estudo de usabilidade partiu de um principio simples: cada perfil deve ver apenas os modulos relevantes para o seu trabalho, reduzindo a carga cognitiva e o risco de erro operacional.</w:t>
      </w:r>
    </w:p>
    <w:p>
      <w:pPr>
        <w:pStyle w:val="Heading2"/>
      </w:pPr>
      <w:r>
        <w:t>Gerente</w:t>
      </w:r>
    </w:p>
    <w:p>
      <w:r>
        <w:t>Precisa de visao completa: cadastros administrativos (Produtos, Fornecedores), alem de Clientes, Vendas e Ordens de Servico. E o unico perfil que enxerga o menu "Fornecedores" (RN06).</w:t>
      </w:r>
    </w:p>
    <w:p>
      <w:pPr>
        <w:pStyle w:val="Heading2"/>
      </w:pPr>
      <w:r>
        <w:t>Vendedor</w:t>
      </w:r>
    </w:p>
    <w:p>
      <w:r>
        <w:t>Fluxo de trabalho centrado em cadastrar clientes rapidamente e registrar vendas com o minimo de cliques. A tela de Vendas foi desenhada para permitir adicionar varios itens antes de finalizar, com o total recalculado automaticamente e bloqueio visivel quando o estoque e insuficiente (RN02).</w:t>
      </w:r>
    </w:p>
    <w:p>
      <w:pPr>
        <w:pStyle w:val="Heading2"/>
      </w:pPr>
      <w:r>
        <w:t>Tecnico</w:t>
      </w:r>
    </w:p>
    <w:p>
      <w:r>
        <w:t>Fluxo centrado em abrir e atualizar Ordens de Servico. A tela de OS prioriza status sempre visivel, tanto na listagem quanto na atualizacao, para acompanhar o andamento dos consertos (RN05).</w:t>
      </w:r>
    </w:p>
    <w:p>
      <w:r>
        <w:t>Decisao de navegacao: todas as telas internas replicam o mesmo cabecalho (nome do sistema + usuario logado + botao Sair) e o mesmo menu lateral fixo, mudando apenas os itens disponiveis conforme o perfil (RNF001). Isso cria consistencia visual e reduz o tempo de aprendizado entre os modulos.</w:t>
      </w:r>
    </w:p>
    <w:p>
      <w:pPr>
        <w:pStyle w:val="Heading1"/>
      </w:pPr>
      <w:r>
        <w:t>3. Wireframes</w:t>
      </w:r>
    </w:p>
    <w:p>
      <w:r>
        <w:t>Os wireframes abaixo foram desenhados na notacao Salt do PlantUML, priorizando estrutura e hierarquia de informacao sobre estetica final (que sera refinada na implementacao Swing da Etapa 3). Cada tela indica, em rodape, a regra de negocio ou requisito que a interface precisa respeitar.</w:t>
      </w:r>
    </w:p>
    <w:p>
      <w:pPr>
        <w:pStyle w:val="Heading2"/>
      </w:pPr>
      <w:r>
        <w:t>3.1 Login</w:t>
      </w:r>
    </w:p>
    <w:p>
      <w:r>
        <w:t>Tela de entrada unica para os tres perfis (RF001). Apos autenticar, o sistema direciona o usuario para o Painel Geral com o menu ja filtrado pelo perfil.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5526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_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552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3.2 Painel Geral (Dashboard)</w:t>
      </w:r>
    </w:p>
    <w:p>
      <w:r>
        <w:t>Tela inicial pos-login, com indicadores rapidos (clientes cadastrados, produtos em estoque, vendas do dia, OS em andamento) e o menu lateral de navegacao, que muda conforme o perfil logado (RNF001).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3211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_02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21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3.3 Cadastro de Clientes</w:t>
      </w:r>
    </w:p>
    <w:p>
      <w:r>
        <w:t>Formulario de cadastro com listagem abaixo. Os botoes de acao (Salvar, Editar, Excluir, Limpar) ficam sempre na mesma posicao em todas as telas de cadastro, por consistencia (RNF003).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596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_03_cadastro_clien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59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3.4 Cadastro de Produtos</w:t>
      </w:r>
    </w:p>
    <w:p>
      <w:r>
        <w:t>Alem do formulario padrao, a listagem destaca em vermelho os produtos com estoque zerado, alertando visualmente que a venda desse item ficara bloqueada (RN02).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194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_04_cadastro_produ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19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3.5 Cadastro de Fornecedores</w:t>
      </w:r>
    </w:p>
    <w:p>
      <w:r>
        <w:t>Visivel apenas ao perfil Gerente (RN06). Segue o mesmo padrao visual das demais telas de cadastro.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936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_05_cadastro_forneced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3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3.6 Vendas</w:t>
      </w:r>
    </w:p>
    <w:p>
      <w:r>
        <w:t>Permite selecionar cliente e produto, adicionar multiplos itens a venda atual e finalizar. Exibe alerta de estoque insuficiente antes de permitir a finalizacao (RN02) e informa que a baixa de estoque e automatica ao concluir a venda (RN03).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295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_06_vend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29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3.7 Ordens de Servico</w:t>
      </w:r>
    </w:p>
    <w:p>
      <w:r>
        <w:t>Formulario de abertura/atualizacao de OS com listagem de ordens em andamento. O status e sempre exibido com texto junto da cor (nao so a cor), para nao depender de percepcao cromatica (RN05, acessibilidade).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572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_07_ordem_servic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57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Paleta de cores</w:t>
      </w:r>
    </w:p>
    <w:p>
      <w:r>
        <w:t>A paleta foi escolhida para transmitir confianca e profissionalismo (tom tecnico/corporativo, coerente com um sistema de gestao), mantendo contraste suficiente para leitura prolongada em tela de computador.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Cor</w:t>
            </w:r>
          </w:p>
        </w:tc>
        <w:tc>
          <w:tcPr>
            <w:tcW w:type="dxa" w:w="2880"/>
          </w:tcPr>
          <w:p>
            <w:r>
              <w:t>Codigo hex</w:t>
            </w:r>
          </w:p>
        </w:tc>
        <w:tc>
          <w:tcPr>
            <w:tcW w:type="dxa" w:w="2880"/>
          </w:tcPr>
          <w:p>
            <w:r>
              <w:t>Uso</w:t>
            </w:r>
          </w:p>
        </w:tc>
      </w:tr>
      <w:tr>
        <w:tc>
          <w:tcPr>
            <w:tcW w:type="dxa" w:w="2880"/>
          </w:tcPr>
          <w:p>
            <w:r>
              <w:t>Azul primario</w:t>
            </w:r>
          </w:p>
        </w:tc>
        <w:tc>
          <w:tcPr>
            <w:tcW w:type="dxa" w:w="2880"/>
          </w:tcPr>
          <w:p>
            <w:r>
              <w:t>#2C5F8A</w:t>
            </w:r>
          </w:p>
        </w:tc>
        <w:tc>
          <w:tcPr>
            <w:tcW w:type="dxa" w:w="2880"/>
          </w:tcPr>
          <w:p>
            <w:r>
              <w:t>Cabecalho, botoes principais, elementos de destaque e titulos</w:t>
            </w:r>
          </w:p>
        </w:tc>
      </w:tr>
      <w:tr>
        <w:tc>
          <w:tcPr>
            <w:tcW w:type="dxa" w:w="2880"/>
          </w:tcPr>
          <w:p>
            <w:r>
              <w:t>Azul escuro (hover/ativo)</w:t>
            </w:r>
          </w:p>
        </w:tc>
        <w:tc>
          <w:tcPr>
            <w:tcW w:type="dxa" w:w="2880"/>
          </w:tcPr>
          <w:p>
            <w:r>
              <w:t>#1E4363</w:t>
            </w:r>
          </w:p>
        </w:tc>
        <w:tc>
          <w:tcPr>
            <w:tcW w:type="dxa" w:w="2880"/>
          </w:tcPr>
          <w:p>
            <w:r>
              <w:t>Estado hover/pressionado dos botoes e itens de menu ativos</w:t>
            </w:r>
          </w:p>
        </w:tc>
      </w:tr>
      <w:tr>
        <w:tc>
          <w:tcPr>
            <w:tcW w:type="dxa" w:w="2880"/>
          </w:tcPr>
          <w:p>
            <w:r>
              <w:t>Cinza de fundo</w:t>
            </w:r>
          </w:p>
        </w:tc>
        <w:tc>
          <w:tcPr>
            <w:tcW w:type="dxa" w:w="2880"/>
          </w:tcPr>
          <w:p>
            <w:r>
              <w:t>#F5F7FA</w:t>
            </w:r>
          </w:p>
        </w:tc>
        <w:tc>
          <w:tcPr>
            <w:tcW w:type="dxa" w:w="2880"/>
          </w:tcPr>
          <w:p>
            <w:r>
              <w:t>Fundo geral das telas, painel lateral</w:t>
            </w:r>
          </w:p>
        </w:tc>
      </w:tr>
      <w:tr>
        <w:tc>
          <w:tcPr>
            <w:tcW w:type="dxa" w:w="2880"/>
          </w:tcPr>
          <w:p>
            <w:r>
              <w:t>Branco</w:t>
            </w:r>
          </w:p>
        </w:tc>
        <w:tc>
          <w:tcPr>
            <w:tcW w:type="dxa" w:w="2880"/>
          </w:tcPr>
          <w:p>
            <w:r>
              <w:t>#FFFFFF</w:t>
            </w:r>
          </w:p>
        </w:tc>
        <w:tc>
          <w:tcPr>
            <w:tcW w:type="dxa" w:w="2880"/>
          </w:tcPr>
          <w:p>
            <w:r>
              <w:t>Fundo de cards, tabelas e campos de formulario</w:t>
            </w:r>
          </w:p>
        </w:tc>
      </w:tr>
      <w:tr>
        <w:tc>
          <w:tcPr>
            <w:tcW w:type="dxa" w:w="2880"/>
          </w:tcPr>
          <w:p>
            <w:r>
              <w:t>Texto principal</w:t>
            </w:r>
          </w:p>
        </w:tc>
        <w:tc>
          <w:tcPr>
            <w:tcW w:type="dxa" w:w="2880"/>
          </w:tcPr>
          <w:p>
            <w:r>
              <w:t>#1B1E23</w:t>
            </w:r>
          </w:p>
        </w:tc>
        <w:tc>
          <w:tcPr>
            <w:tcW w:type="dxa" w:w="2880"/>
          </w:tcPr>
          <w:p>
            <w:r>
              <w:t>Texto padrao (rotulos, conteudo de tabelas)</w:t>
            </w:r>
          </w:p>
        </w:tc>
      </w:tr>
      <w:tr>
        <w:tc>
          <w:tcPr>
            <w:tcW w:type="dxa" w:w="2880"/>
          </w:tcPr>
          <w:p>
            <w:r>
              <w:t>Texto secundario</w:t>
            </w:r>
          </w:p>
        </w:tc>
        <w:tc>
          <w:tcPr>
            <w:tcW w:type="dxa" w:w="2880"/>
          </w:tcPr>
          <w:p>
            <w:r>
              <w:t>#6B7280</w:t>
            </w:r>
          </w:p>
        </w:tc>
        <w:tc>
          <w:tcPr>
            <w:tcW w:type="dxa" w:w="2880"/>
          </w:tcPr>
          <w:p>
            <w:r>
              <w:t>Textos de apoio, notas de rodape das telas</w:t>
            </w:r>
          </w:p>
        </w:tc>
      </w:tr>
      <w:tr>
        <w:tc>
          <w:tcPr>
            <w:tcW w:type="dxa" w:w="2880"/>
          </w:tcPr>
          <w:p>
            <w:r>
              <w:t>Verde de sucesso</w:t>
            </w:r>
          </w:p>
        </w:tc>
        <w:tc>
          <w:tcPr>
            <w:tcW w:type="dxa" w:w="2880"/>
          </w:tcPr>
          <w:p>
            <w:r>
              <w:t>#2E7D32</w:t>
            </w:r>
          </w:p>
        </w:tc>
        <w:tc>
          <w:tcPr>
            <w:tcW w:type="dxa" w:w="2880"/>
          </w:tcPr>
          <w:p>
            <w:r>
              <w:t>Estoque disponivel, OS concluida, confirmacoes</w:t>
            </w:r>
          </w:p>
        </w:tc>
      </w:tr>
      <w:tr>
        <w:tc>
          <w:tcPr>
            <w:tcW w:type="dxa" w:w="2880"/>
          </w:tcPr>
          <w:p>
            <w:r>
              <w:t>Laranja de alerta</w:t>
            </w:r>
          </w:p>
        </w:tc>
        <w:tc>
          <w:tcPr>
            <w:tcW w:type="dxa" w:w="2880"/>
          </w:tcPr>
          <w:p>
            <w:r>
              <w:t>#D97706</w:t>
            </w:r>
          </w:p>
        </w:tc>
        <w:tc>
          <w:tcPr>
            <w:tcW w:type="dxa" w:w="2880"/>
          </w:tcPr>
          <w:p>
            <w:r>
              <w:t>Status intermediario (ex.: aguardando peca)</w:t>
            </w:r>
          </w:p>
        </w:tc>
      </w:tr>
      <w:tr>
        <w:tc>
          <w:tcPr>
            <w:tcW w:type="dxa" w:w="2880"/>
          </w:tcPr>
          <w:p>
            <w:r>
              <w:t>Vermelho de erro/critico</w:t>
            </w:r>
          </w:p>
        </w:tc>
        <w:tc>
          <w:tcPr>
            <w:tcW w:type="dxa" w:w="2880"/>
          </w:tcPr>
          <w:p>
            <w:r>
              <w:t>#B91C1C</w:t>
            </w:r>
          </w:p>
        </w:tc>
        <w:tc>
          <w:tcPr>
            <w:tcW w:type="dxa" w:w="2880"/>
          </w:tcPr>
          <w:p>
            <w:r>
              <w:t>Estoque zerado, bloqueios de venda, exclusoes</w:t>
            </w:r>
          </w:p>
        </w:tc>
      </w:tr>
    </w:tbl>
    <w:p>
      <w:r>
        <w:t>Regra de uso: cores de status (verde, laranja, vermelho) nunca sao a unica forma de comunicar uma informacao - sempre acompanham um texto ou rotulo, para atender usuarios com daltonismo (ver secao 6).</w:t>
      </w:r>
    </w:p>
    <w:p>
      <w:pPr>
        <w:pStyle w:val="Heading1"/>
      </w:pPr>
      <w:r>
        <w:t>5. Tipografia</w:t>
      </w:r>
    </w:p>
    <w:p>
      <w:r>
        <w:t>Como o InfoTechG e uma aplicacao desktop em Java Swing, a tipografia sera resolvida pela fonte padrao do sistema operacional (Segoe UI no Windows), evitando fontes customizadas que exigiriam empacotamento adicional. A hierarquia visual sera construida por peso e tamanho:</w:t>
      </w:r>
    </w:p>
    <w:p>
      <w:pPr>
        <w:pStyle w:val="ListBullet"/>
      </w:pPr>
      <w:r>
        <w:t>Titulo de tela (ex.: "InfoTechG &gt; Clientes"): negrito, tamanho maior, alinhado a esquerda do cabecalho.</w:t>
      </w:r>
    </w:p>
    <w:p>
      <w:pPr>
        <w:pStyle w:val="ListBullet"/>
      </w:pPr>
      <w:r>
        <w:t>Rotulos de campo e cabecalhos de tabela: negrito, tamanho padrao.</w:t>
      </w:r>
    </w:p>
    <w:p>
      <w:pPr>
        <w:pStyle w:val="ListBullet"/>
      </w:pPr>
      <w:r>
        <w:t>Texto de conteudo (valores, linhas de tabela): peso normal, tamanho padrao.</w:t>
      </w:r>
    </w:p>
    <w:p>
      <w:pPr>
        <w:pStyle w:val="ListBullet"/>
      </w:pPr>
      <w:r>
        <w:t>Notas de rodape e textos de apoio: tamanho reduzido, cor secundaria (#6B7280).</w:t>
      </w:r>
    </w:p>
    <w:p>
      <w:pPr>
        <w:pStyle w:val="Heading1"/>
      </w:pPr>
      <w:r>
        <w:t>6. Acessibilidade</w:t>
      </w:r>
    </w:p>
    <w:p>
      <w:r>
        <w:t>As decisoes de acessibilidade abaixo foram aplicadas diretamente nos wireframes, para que ja nasçam parte do desenho da interface e nao um ajuste posterior:</w:t>
      </w:r>
    </w:p>
    <w:p>
      <w:pPr>
        <w:pStyle w:val="ListBullet"/>
      </w:pPr>
      <w:r>
        <w:t>Contraste: a combinacao de texto escuro (#1B1E23) sobre fundo claro (#F5F7FA/#FFFFFF) e do azul primario (#2C5F8A) sobre branco atende a proporcao minima de contraste 4.5:1 recomendada pela WCAG 2.1 (nivel AA) para texto normal.</w:t>
      </w:r>
    </w:p>
    <w:p>
      <w:pPr>
        <w:pStyle w:val="ListBullet"/>
      </w:pPr>
      <w:r>
        <w:t>Cor + texto: nenhum status (estoque, OS, alertas) e comunicado apenas por cor. Todo indicador colorido vem acompanhado de um rotulo textual (ex.: "0 (sem estoque)", "Concluido", "Aguardando peca").</w:t>
      </w:r>
    </w:p>
    <w:p>
      <w:pPr>
        <w:pStyle w:val="ListBullet"/>
      </w:pPr>
      <w:r>
        <w:t>Navegacao por teclado: por ser uma aplicacao Swing, todos os campos e botoes serao acessiveis via Tab/Shift+Tab, com ordem de foco seguindo a ordem visual do formulario, e o botao principal de cada tela (ex.: Salvar, Finalizar Venda) tera atalho de teclado (mnemonic) associado.</w:t>
      </w:r>
    </w:p>
    <w:p>
      <w:pPr>
        <w:pStyle w:val="ListBullet"/>
      </w:pPr>
      <w:r>
        <w:t>Tamanho de alvo de clique: botoes com area minima confortavel para clique, evitando elementos pequenos demais nas listagens.</w:t>
      </w:r>
    </w:p>
    <w:p>
      <w:pPr>
        <w:pStyle w:val="ListBullet"/>
      </w:pPr>
      <w:r>
        <w:t>Mensagens de erro claras: alertas como estoque insuficiente sao exibidos como texto explicito na propria tela, proximo a acao que os originou, em vez de apenas uma cor de borda ou som.</w:t>
      </w:r>
    </w:p>
    <w:p>
      <w:pPr>
        <w:pStyle w:val="ListBullet"/>
      </w:pPr>
      <w:r>
        <w:t>Consistencia estrutural: cabecalho, menu e posicao dos botoes de acao permanecem fixos entre telas, reduzindo a carga cognitiva para usuarios com dificuldades de orientacao espacial.</w:t>
      </w:r>
    </w:p>
    <w:p>
      <w:pPr>
        <w:pStyle w:val="Heading1"/>
      </w:pPr>
      <w:r>
        <w:t>7. Ferramenta utilizada e justificativa</w:t>
      </w:r>
    </w:p>
    <w:p>
      <w:r>
        <w:t>Os wireframes foram produzidos com PlantUML (notacao Salt), gerando imagens PNG a partir de texto. Essa abordagem foi escolhida no lugar do Figma por permitir versionamento junto do codigo (arquivos de texto simples), reprodutibilidade total do resultado e independencia de conta/servico externo, mantendo o foco na estrutura de informacao e no fluxo de navegacao - que e o que orienta a implementacao das telas Swing na Etapa 3. O enunciado do trabalho permite qualquer ferramenta de wireframe, desde que a logica de navegacao e usabilidade seja demonstrada.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