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0"/>
        <w:jc w:val="left"/>
      </w:pPr>
      <w:r>
        <w:rPr>
          <w:b/>
          <w:bCs/>
          <w:color w:val="0F6E6E"/>
          <w:spacing w:val="20"/>
          <w:sz w:val="22"/>
          <w:szCs w:val="22"/>
        </w:rPr>
        <w:t xml:space="preserve">DOCUMENT 5 OF 5 — BUSINESS MODEL</w:t>
      </w:r>
    </w:p>
    <w:p>
      <w:pPr>
        <w:spacing w:after="200"/>
      </w:pPr>
      <w:r>
        <w:rPr>
          <w:b/>
          <w:bCs/>
          <w:color w:val="1F3864"/>
          <w:sz w:val="52"/>
          <w:szCs w:val="52"/>
        </w:rPr>
        <w:t xml:space="preserve">Pricing &amp; Unit Economics</w:t>
      </w:r>
    </w:p>
    <w:p>
      <w:pPr>
        <w:spacing w:after="500"/>
      </w:pPr>
      <w:r>
        <w:rPr>
          <w:color w:val="595959"/>
          <w:sz w:val="26"/>
          <w:szCs w:val="26"/>
        </w:rPr>
        <w:t xml:space="preserve">Tiers, the full cost model behind each JOD price, margins, break-even, and sensitivity</w:t>
      </w:r>
    </w:p>
    <w:p>
      <w:pPr>
        <w:pBdr>
          <w:top w:val="single" w:color="0F6E6E" w:sz="8" w:space="8"/>
        </w:pBdr>
        <w:spacing w:after="60"/>
      </w:pPr>
    </w:p>
    <w:p>
      <w:pPr>
        <w:spacing w:after="40"/>
      </w:pPr>
      <w:r>
        <w:rPr>
          <w:color w:val="595959"/>
          <w:sz w:val="20"/>
          <w:szCs w:val="20"/>
        </w:rPr>
        <w:t xml:space="preserve">Prepared for: Hasan Jadallah</w:t>
      </w:r>
    </w:p>
    <w:p>
      <w:pPr>
        <w:spacing w:after="40"/>
      </w:pPr>
      <w:r>
        <w:rPr>
          <w:color w:val="595959"/>
          <w:sz w:val="20"/>
          <w:szCs w:val="20"/>
        </w:rPr>
        <w:t xml:space="preserve">Project: Meta Agent — Reply Agent (MVP use case)</w:t>
      </w:r>
    </w:p>
    <w:p>
      <w:pPr>
        <w:spacing w:after="40"/>
      </w:pPr>
      <w:r>
        <w:rPr>
          <w:color w:val="595959"/>
          <w:sz w:val="20"/>
          <w:szCs w:val="20"/>
        </w:rPr>
        <w:t xml:space="preserve">Date: August 2026</w:t>
      </w:r>
    </w:p>
    <w:p>
      <w:pPr>
        <w:spacing w:after="40"/>
      </w:pPr>
      <w:r>
        <w:rPr>
          <w:color w:val="595959"/>
          <w:sz w:val="20"/>
          <w:szCs w:val="20"/>
        </w:rPr>
        <w:t xml:space="preserve">Companion to: 01 — Product Vision, 02 — System Architecture, 04 — Go-to-Market</w:t>
      </w:r>
    </w:p>
    <w:p>
      <w:pPr>
        <w:spacing w:after="40"/>
      </w:pPr>
      <w:r>
        <w:rPr>
          <w:color w:val="595959"/>
          <w:sz w:val="20"/>
          <w:szCs w:val="20"/>
        </w:rPr>
        <w:t xml:space="preserve">All conversions in this document use the fixed JOD/USD peg: 1 USD = 0.709 JOD, i.e. 1 JOD ≈ $1.41.</w:t>
      </w:r>
    </w:p>
    <w:p>
      <w:pPr>
        <w:pageBreakBefore/>
      </w:pPr>
      <w:r>
        <w:br/>
        <w:t xml:space="preserve"/>
      </w:r>
    </w:p>
    <w:p>
      <w:pPr>
        <w:pStyle w:val="Heading1"/>
        <w:pBdr>
          <w:bottom w:val="single" w:color="0F6E6E" w:sz="6" w:space="4"/>
        </w:pBdr>
        <w:spacing w:after="160" w:before="360"/>
        <w:outlineLvl w:val="0"/>
      </w:pPr>
      <w:r>
        <w:rPr>
          <w:b/>
          <w:bCs/>
          <w:color w:val="1F3864"/>
          <w:sz w:val="30"/>
          <w:szCs w:val="30"/>
        </w:rPr>
        <w:t xml:space="preserve">1. Pricing Philosophy</w:t>
      </w:r>
    </w:p>
    <w:p>
      <w:pPr>
        <w:spacing w:after="160" w:line="276"/>
      </w:pPr>
      <w:r>
        <w:rPr>
          <w:color w:val="262626"/>
          <w:sz w:val="21"/>
          <w:szCs w:val="21"/>
        </w:rPr>
        <w:t xml:space="preserve">Most regional competitors in the research (Doc 1, Section 6) hide their price behind "contact for quote" or set it for Gulf-level enterprise budgets. Reply Agent's pricing is built on the opposite bet: publish a real, low-friction JOD price, and make sure the underlying unit economics (Section 3) support that price profitably rather than treating it as a loss-leader. That's only possible because, for this specific use case, the two cost lines that dominate most competitors' pricing — human support labor and heavy enterprise infrastructure — barely apply here (Section 3 shows why).</w:t>
      </w:r>
    </w:p>
    <w:p>
      <w:pPr>
        <w:pStyle w:val="Heading1"/>
        <w:pBdr>
          <w:bottom w:val="single" w:color="0F6E6E" w:sz="6" w:space="4"/>
        </w:pBdr>
        <w:spacing w:after="160" w:before="360"/>
        <w:outlineLvl w:val="0"/>
      </w:pPr>
      <w:r>
        <w:rPr>
          <w:b/>
          <w:bCs/>
          <w:color w:val="1F3864"/>
          <w:sz w:val="30"/>
          <w:szCs w:val="30"/>
        </w:rPr>
        <w:t xml:space="preserve">2. Pricing Tiers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2560"/>
        <w:gridCol w:w="2260"/>
        <w:gridCol w:w="2270"/>
        <w:gridCol w:w="2270"/>
      </w:tblGrid>
      <w:tr>
        <w:trPr>
          <w:tblHeader/>
        </w:trPr>
        <w:tc>
          <w:tcPr>
            <w:tcW w:type="dxa" w:w="256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26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Starter</w:t>
            </w:r>
          </w:p>
        </w:tc>
        <w:tc>
          <w:tcPr>
            <w:tcW w:type="dxa" w:w="227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Growth</w:t>
            </w:r>
          </w:p>
        </w:tc>
        <w:tc>
          <w:tcPr>
            <w:tcW w:type="dxa" w:w="227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</w:t>
            </w:r>
          </w:p>
        </w:tc>
      </w:tr>
      <w:tr>
        <w:tc>
          <w:tcPr>
            <w:tcW w:type="dxa" w:w="25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Price</w:t>
            </w:r>
          </w:p>
        </w:tc>
        <w:tc>
          <w:tcPr>
            <w:tcW w:type="dxa" w:w="22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10 JOD/mo (≈ $14.10)</w:t>
            </w:r>
          </w:p>
        </w:tc>
        <w:tc>
          <w:tcPr>
            <w:tcW w:type="dxa" w:w="227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25 JOD/mo (≈ $35.25)</w:t>
            </w:r>
          </w:p>
        </w:tc>
        <w:tc>
          <w:tcPr>
            <w:tcW w:type="dxa" w:w="227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45 JOD/mo (≈ $63.45)</w:t>
            </w:r>
          </w:p>
        </w:tc>
      </w:tr>
      <w:tr>
        <w:tc>
          <w:tcPr>
            <w:tcW w:type="dxa" w:w="25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Message cap</w:t>
            </w:r>
          </w:p>
        </w:tc>
        <w:tc>
          <w:tcPr>
            <w:tcW w:type="dxa" w:w="22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400 customer messages/mo</w:t>
            </w:r>
          </w:p>
        </w:tc>
        <w:tc>
          <w:tcPr>
            <w:tcW w:type="dxa" w:w="227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1,500 customer messages/mo</w:t>
            </w:r>
          </w:p>
        </w:tc>
        <w:tc>
          <w:tcPr>
            <w:tcW w:type="dxa" w:w="227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5,000 customer messages/mo</w:t>
            </w:r>
          </w:p>
        </w:tc>
      </w:tr>
      <w:tr>
        <w:tc>
          <w:tcPr>
            <w:tcW w:type="dxa" w:w="25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Channels</w:t>
            </w:r>
          </w:p>
        </w:tc>
        <w:tc>
          <w:tcPr>
            <w:tcW w:type="dxa" w:w="22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WhatsApp only</w:t>
            </w:r>
          </w:p>
        </w:tc>
        <w:tc>
          <w:tcPr>
            <w:tcW w:type="dxa" w:w="227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+ Messenger</w:t>
            </w:r>
          </w:p>
        </w:tc>
        <w:tc>
          <w:tcPr>
            <w:tcW w:type="dxa" w:w="227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+ Instagram (all three)</w:t>
            </w:r>
          </w:p>
        </w:tc>
      </w:tr>
      <w:tr>
        <w:tc>
          <w:tcPr>
            <w:tcW w:type="dxa" w:w="25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Core reply agent (RAG, escalation)</w:t>
            </w:r>
          </w:p>
        </w:tc>
        <w:tc>
          <w:tcPr>
            <w:tcW w:type="dxa" w:w="22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Included</w:t>
            </w:r>
          </w:p>
        </w:tc>
        <w:tc>
          <w:tcPr>
            <w:tcW w:type="dxa" w:w="227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Included</w:t>
            </w:r>
          </w:p>
        </w:tc>
        <w:tc>
          <w:tcPr>
            <w:tcW w:type="dxa" w:w="227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Included</w:t>
            </w:r>
          </w:p>
        </w:tc>
      </w:tr>
      <w:tr>
        <w:tc>
          <w:tcPr>
            <w:tcW w:type="dxa" w:w="25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Owner dashboard &amp; analytics</w:t>
            </w:r>
          </w:p>
        </w:tc>
        <w:tc>
          <w:tcPr>
            <w:tcW w:type="dxa" w:w="22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Basic (conversation log only)</w:t>
            </w:r>
          </w:p>
        </w:tc>
        <w:tc>
          <w:tcPr>
            <w:tcW w:type="dxa" w:w="227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Full analytics (Doc 1, Section 5 metrics)</w:t>
            </w:r>
          </w:p>
        </w:tc>
        <w:tc>
          <w:tcPr>
            <w:tcW w:type="dxa" w:w="227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Full analytics + team seats</w:t>
            </w:r>
          </w:p>
        </w:tc>
      </w:tr>
      <w:tr>
        <w:tc>
          <w:tcPr>
            <w:tcW w:type="dxa" w:w="25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Order-status integration</w:t>
            </w:r>
          </w:p>
        </w:tc>
        <w:tc>
          <w:tcPr>
            <w:tcW w:type="dxa" w:w="22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Spreadsheet only</w:t>
            </w:r>
          </w:p>
        </w:tc>
        <w:tc>
          <w:tcPr>
            <w:tcW w:type="dxa" w:w="227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Spreadsheet + storefront (Salla/Zid/Shopify)</w:t>
            </w:r>
          </w:p>
        </w:tc>
        <w:tc>
          <w:tcPr>
            <w:tcW w:type="dxa" w:w="227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Spreadsheet + storefront</w:t>
            </w:r>
          </w:p>
        </w:tc>
      </w:tr>
      <w:tr>
        <w:tc>
          <w:tcPr>
            <w:tcW w:type="dxa" w:w="25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Proactive utility messages (restock/abandoned-cart)</w:t>
            </w:r>
          </w:p>
        </w:tc>
        <w:tc>
          <w:tcPr>
            <w:tcW w:type="dxa" w:w="22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—</w:t>
            </w:r>
          </w:p>
        </w:tc>
        <w:tc>
          <w:tcPr>
            <w:tcW w:type="dxa" w:w="227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—</w:t>
            </w:r>
          </w:p>
        </w:tc>
        <w:tc>
          <w:tcPr>
            <w:tcW w:type="dxa" w:w="227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Included (Meta per-message fee pass-through, Section 3)</w:t>
            </w:r>
          </w:p>
        </w:tc>
      </w:tr>
      <w:tr>
        <w:tc>
          <w:tcPr>
            <w:tcW w:type="dxa" w:w="25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Overage (beyond cap)</w:t>
            </w:r>
          </w:p>
        </w:tc>
        <w:tc>
          <w:tcPr>
            <w:tcW w:type="dxa" w:w="22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0.015 JOD/message (≈ $0.021)</w:t>
            </w:r>
          </w:p>
        </w:tc>
        <w:tc>
          <w:tcPr>
            <w:tcW w:type="dxa" w:w="227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0.015 JOD/message</w:t>
            </w:r>
          </w:p>
        </w:tc>
        <w:tc>
          <w:tcPr>
            <w:tcW w:type="dxa" w:w="227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0.012 JOD/message</w:t>
            </w:r>
          </w:p>
        </w:tc>
      </w:tr>
      <w:tr>
        <w:tc>
          <w:tcPr>
            <w:tcW w:type="dxa" w:w="25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Support</w:t>
            </w:r>
          </w:p>
        </w:tc>
        <w:tc>
          <w:tcPr>
            <w:tcW w:type="dxa" w:w="22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Self-serve + email</w:t>
            </w:r>
          </w:p>
        </w:tc>
        <w:tc>
          <w:tcPr>
            <w:tcW w:type="dxa" w:w="227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Priority email</w:t>
            </w:r>
          </w:p>
        </w:tc>
        <w:tc>
          <w:tcPr>
            <w:tcW w:type="dxa" w:w="227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Priority + onboarding help</w:t>
            </w:r>
          </w:p>
        </w:tc>
      </w:tr>
    </w:tbl>
    <w:p>
      <w:pPr>
        <w:spacing w:after="160" w:line="276"/>
      </w:pPr>
      <w:r>
        <w:rPr>
          <w:i/>
          <w:iCs/>
          <w:color w:val="595959"/>
          <w:sz w:val="21"/>
          <w:szCs w:val="21"/>
        </w:rPr>
        <w:t xml:space="preserve">These caps and prices are a starting hypothesis to pressure-test in the paid pilot (Doc 3, Phase 5) — not a final commitment. Section 7 explains exactly why 10 JOD was chosen as the entry price so you can adjust it deliberately if pilot data says otherwise.</w:t>
      </w:r>
    </w:p>
    <w:p>
      <w:pPr>
        <w:pStyle w:val="Heading1"/>
        <w:pBdr>
          <w:bottom w:val="single" w:color="0F6E6E" w:sz="6" w:space="4"/>
        </w:pBdr>
        <w:spacing w:after="160" w:before="360"/>
        <w:outlineLvl w:val="0"/>
      </w:pPr>
      <w:r>
        <w:rPr>
          <w:b/>
          <w:bCs/>
          <w:color w:val="1F3864"/>
          <w:sz w:val="30"/>
          <w:szCs w:val="30"/>
        </w:rPr>
        <w:t xml:space="preserve">3. What You're Actually Paying For — the Cost Model</w:t>
      </w:r>
    </w:p>
    <w:p>
      <w:pPr>
        <w:spacing w:after="160" w:line="276"/>
      </w:pPr>
      <w:r>
        <w:rPr>
          <w:color w:val="262626"/>
          <w:sz w:val="21"/>
          <w:szCs w:val="21"/>
        </w:rPr>
        <w:t xml:space="preserve">Three cost lines make up almost all of the variable cost per customer: the LLM provider, Meta's messaging fees, and payment processing. A fourth, infrastructure, is mostly fixed rather than per-customer. Each is broken down below.</w:t>
      </w:r>
    </w:p>
    <w:p>
      <w:pPr>
        <w:pStyle w:val="Heading2"/>
        <w:spacing w:after="120" w:before="280"/>
        <w:outlineLvl w:val="1"/>
      </w:pPr>
      <w:r>
        <w:rPr>
          <w:b/>
          <w:bCs/>
          <w:color w:val="0F6E6E"/>
          <w:sz w:val="24"/>
          <w:szCs w:val="24"/>
        </w:rPr>
        <w:t xml:space="preserve">3.1 LLM provider cost (Claude)</w:t>
      </w:r>
    </w:p>
    <w:p>
      <w:pPr>
        <w:spacing w:after="160" w:line="276"/>
      </w:pPr>
      <w:r>
        <w:rPr>
          <w:color w:val="262626"/>
          <w:sz w:val="21"/>
          <w:szCs w:val="21"/>
        </w:rPr>
        <w:t xml:space="preserve">Per Doc 2, Section 3.3, each customer message triggers up to four model calls in the LangGraph pipeline: intent classification, response generation (Haiku for ~85% of turns, Sonnet for the harder ~15%), and a self-check. Using Anthropic's standard published per-token pricing (Sonnet 5's introductory $2/$10 rate expired August 31, 2026; the figures below use its standard $3/$15 rate, so this is the number to build against going forward):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type="dxa" w:w="318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dxa" w:w="318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Claude Haiku 4.5</w:t>
            </w:r>
          </w:p>
        </w:tc>
        <w:tc>
          <w:tcPr>
            <w:tcW w:type="dxa" w:w="318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$1.00 / million tokens</w:t>
            </w:r>
          </w:p>
        </w:tc>
        <w:tc>
          <w:tcPr>
            <w:tcW w:type="dxa" w:w="318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$5.00 / million tokens</w:t>
            </w:r>
          </w:p>
        </w:tc>
      </w:tr>
      <w:tr>
        <w:tc>
          <w:tcPr>
            <w:tcW w:type="dxa" w:w="30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Claude Sonnet 5</w:t>
            </w:r>
          </w:p>
        </w:tc>
        <w:tc>
          <w:tcPr>
            <w:tcW w:type="dxa" w:w="318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$3.00 / million tokens</w:t>
            </w:r>
          </w:p>
        </w:tc>
        <w:tc>
          <w:tcPr>
            <w:tcW w:type="dxa" w:w="318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$15.00 / million tokens</w:t>
            </w:r>
          </w:p>
        </w:tc>
      </w:tr>
    </w:tbl>
    <w:p>
      <w:r>
        <w:t>Revised against real production data (2026-09-06/07). The table below was originally built on assumed token counts before this product had any real traffic. Two live-traffic studies since then — 8 conversations on 2026-09-06, plus a 12-message conversation on 2026-09-07, both cost-logged per API call via billing/cost_tracking.py's ApiCallLog table — measured every single-turn message at $0.0045–$0.0052, 40–55% above the original $0.00325 estimate. The gap is almost entirely self_check: its real prompt (conversation history, retrieved context, the delivery estimate when present, and the draft itself) runs roughly 6x heavier than assumed, not the LLM's per-token price, which is unchanged. generate_response's original estimate held up reasonably well by comparison.</w:t>
      </w:r>
    </w:p>
    <w:tbl>
      <w:tblPr>
        <w:tblW w:type="dxa" w:w="932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2560"/>
        <w:gridCol w:w="2560"/>
        <w:gridCol w:w="2200"/>
        <w:gridCol w:w="2000"/>
      </w:tblGrid>
      <w:tr>
        <w:trPr>
          <w:tblHeader/>
        </w:trPr>
        <w:tc>
          <w:tcPr>
            <w:tcW w:type="dxa" w:w="256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Pipeline step</w:t>
            </w:r>
          </w:p>
        </w:tc>
        <w:tc>
          <w:tcPr>
            <w:tcW w:type="dxa" w:w="256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type="dxa" w:w="22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Approx. tokens (in / out)</w:t>
            </w:r>
          </w:p>
        </w:tc>
        <w:tc>
          <w:tcPr>
            <w:tcW w:type="dxa" w:w="20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Cost per message</w:t>
            </w:r>
          </w:p>
        </w:tc>
      </w:tr>
      <w:tr>
        <w:tc>
          <w:tcPr>
            <w:tcW w:type="dxa" w:w="25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classify_intent</w:t>
            </w:r>
          </w:p>
        </w:tc>
        <w:tc>
          <w:tcPr>
            <w:tcW w:type="dxa" w:w="25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Haiku</w:t>
            </w:r>
          </w:p>
        </w:tc>
        <w:tc>
          <w:tcPr>
            <w:tcW w:type="dxa" w:w="2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~700 / 20 (was assumed at 200)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≈ $0.0008</w:t>
            </w:r>
          </w:p>
        </w:tc>
      </w:tr>
      <w:tr>
        <w:tc>
          <w:tcPr>
            <w:tcW w:type="dxa" w:w="25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self_check</w:t>
            </w:r>
          </w:p>
        </w:tc>
        <w:tc>
          <w:tcPr>
            <w:tcW w:type="dxa" w:w="25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Haiku</w:t>
            </w:r>
          </w:p>
        </w:tc>
        <w:tc>
          <w:tcPr>
            <w:tcW w:type="dxa" w:w="22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~1,500 / 20 (was assumed at 250)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≈ $0.0016</w:t>
            </w:r>
          </w:p>
        </w:tc>
      </w:tr>
      <w:tr>
        <w:tc>
          <w:tcPr>
            <w:tcW w:type="dxa" w:w="25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generate_response</w:t>
            </w:r>
          </w:p>
        </w:tc>
        <w:tc>
          <w:tcPr>
            <w:tcW w:type="dxa" w:w="25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Haiku — real data so far</w:t>
            </w:r>
          </w:p>
        </w:tc>
        <w:tc>
          <w:tcPr>
            <w:tcW w:type="dxa" w:w="2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1,500 / 100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≈ $0.0028</w:t>
            </w:r>
          </w:p>
        </w:tc>
      </w:tr>
      <w:tr>
        <w:tc>
          <w:tcPr>
            <w:tcW w:type="dxa" w:w="25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Total, Haiku-path (real, observed)</w:t>
            </w:r>
          </w:p>
        </w:tc>
        <w:tc>
          <w:tcPr>
            <w:tcW w:type="dxa" w:w="25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—</w:t>
            </w:r>
          </w:p>
        </w:tc>
        <w:tc>
          <w:tcPr>
            <w:tcW w:type="dxa" w:w="22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—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$0.0045–$0.0052 per customer message</w:t>
            </w:r>
          </w:p>
        </w:tc>
      </w:tr>
    </w:tbl>
    <w:p>
      <w:pPr>
        <w:spacing w:after="160" w:line="276"/>
      </w:pPr>
      <w:r>
        <w:t>Both live studies stayed entirely on the Haiku path — neither has yet produced a single message genuinely ambiguous/complex enough to route to Sonnet, so the 85%/15% Haiku/Sonnet split above is still a planning assumption, not something real data has validated either way. Section 4 below uses $0.0052 (the upper end of the real observed range) as the per-message figure, consistent with this document's own worst-case convention (Section 4's intro). Prompt caching (Doc 2, Section 3.3) still applies on top of this at 10% of normal input price on a cache hit — not yet isolated in the real numbers above, so actual costs may run a little below $0.0052 once caching's effect is measured directly.</w:t>
      </w:r>
    </w:p>
    <w:p>
      <w:pPr>
        <w:pStyle w:val="Heading2"/>
        <w:spacing w:after="120" w:before="280"/>
        <w:outlineLvl w:val="1"/>
      </w:pPr>
      <w:r>
        <w:rPr>
          <w:b/>
          <w:bCs/>
          <w:color w:val="0F6E6E"/>
          <w:sz w:val="24"/>
          <w:szCs w:val="24"/>
        </w:rPr>
        <w:t xml:space="preserve">3.2 Meta channel cost (WhatsApp, Instagram, Messenger)</w:t>
      </w:r>
    </w:p>
    <w:p>
      <w:pPr>
        <w:spacing w:after="160" w:line="276"/>
      </w:pPr>
      <w:r>
        <w:rPr>
          <w:color w:val="262626"/>
          <w:sz w:val="21"/>
          <w:szCs w:val="21"/>
        </w:rPr>
        <w:t xml:space="preserve">This is the single most important — and most misunderstood — cost line, and it's the reason this business model works at a 10 JOD entry price: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  <w:color w:val="262626"/>
          <w:sz w:val="21"/>
          <w:szCs w:val="21"/>
        </w:rPr>
        <w:t xml:space="preserve">Instagram Messaging and Facebook Messenger: $0 per message. </w:t>
      </w:r>
      <w:r>
        <w:rPr>
          <w:color w:val="262626"/>
          <w:sz w:val="21"/>
          <w:szCs w:val="21"/>
        </w:rPr>
        <w:t xml:space="preserve">Meta does not charge for messages sent or received through these APIs — the cost is entirely the friction of app review (Doc 3, Section 2), not a per-message fee.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  <w:color w:val="262626"/>
          <w:sz w:val="21"/>
          <w:szCs w:val="21"/>
        </w:rPr>
        <w:t xml:space="preserve">WhatsApp "service" messages (replies to a customer within the 24-hour window they opened): $0 per message. </w:t>
      </w:r>
      <w:r>
        <w:rPr>
          <w:color w:val="262626"/>
          <w:sz w:val="21"/>
          <w:szCs w:val="21"/>
        </w:rPr>
        <w:t xml:space="preserve">Meta made service conversations free for all businesses in November 2024, and the July 2025 shift to per-message billing only applies to business-initiated Marketing, Utility, and Authentication template messages sent outside that window.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  <w:color w:val="262626"/>
          <w:sz w:val="21"/>
          <w:szCs w:val="21"/>
        </w:rPr>
        <w:t xml:space="preserve">This product is architected to stay almost entirely inside the free lane: </w:t>
      </w:r>
      <w:r>
        <w:rPr>
          <w:color w:val="262626"/>
          <w:sz w:val="21"/>
          <w:szCs w:val="21"/>
        </w:rPr>
        <w:t xml:space="preserve">Doc 1, Section 4.2 explicitly excludes outbound marketing/broadcast messages from V1, and the agent only ever replies to a customer who messaged first. The only paid WhatsApp messages in this model are the optional Pro-tier proactive utility messages (restock/abandoned-cart), which are priced with the Meta fee passed through, not absorbed.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  <w:color w:val="262626"/>
          <w:sz w:val="21"/>
          <w:szCs w:val="21"/>
        </w:rPr>
        <w:t xml:space="preserve">Recommended integration path: Meta's own WhatsApp Cloud API directly, not a third-party BSP </w:t>
      </w:r>
      <w:r>
        <w:rPr>
          <w:color w:val="262626"/>
          <w:sz w:val="21"/>
          <w:szCs w:val="21"/>
        </w:rPr>
        <w:t xml:space="preserve">(Business Solution Provider) like Twilio or 360dialog. Those typically add $40–55/month in platform fees or a per-message markup on top of Meta's own rates — money that would otherwise erode margin at this price point. Building directly on the Cloud API (Doc 2, Section 6) means Reply Agent itself is the "platform layer" a seller would otherwise pay a BSP for.</w:t>
      </w:r>
    </w:p>
    <w:tbl>
      <w:tblPr>
        <w:tblW w:type="pct" w:w="100%"/>
        <w:tblBorders>
          <w:top w:val="single" w:color="0F6E6E" w:sz="4"/>
          <w:left w:val="single" w:color="0F6E6E" w:sz="4"/>
          <w:bottom w:val="single" w:color="0F6E6E" w:sz="4"/>
          <w:right w:val="single" w:color="0F6E6E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AF1F1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Budgeted Meta cost per customer, per month</w:t>
            </w:r>
          </w:p>
          <w:p>
            <w:pPr>
              <w:spacing w:after="60"/>
            </w:pPr>
            <w:r>
              <w:rPr>
                <w:color w:val="262626"/>
                <w:sz w:val="21"/>
                <w:szCs w:val="21"/>
              </w:rPr>
              <w:t xml:space="preserve">Starter: ≈ $0.30 buffer (occasional utility templates, e.g. re-opening a stale thread) — most months this will be closer to $0.</w:t>
            </w:r>
          </w:p>
          <w:p>
            <w:pPr>
              <w:spacing w:after="60"/>
            </w:pPr>
            <w:r>
              <w:rPr>
                <w:color w:val="262626"/>
                <w:sz w:val="21"/>
                <w:szCs w:val="21"/>
              </w:rPr>
              <w:t xml:space="preserve">Growth: ≈ $0.50 buffer.</w:t>
            </w:r>
          </w:p>
          <w:p>
            <w:pPr>
              <w:spacing w:after="60"/>
            </w:pPr>
            <w:r>
              <w:rPr>
                <w:color w:val="262626"/>
                <w:sz w:val="21"/>
                <w:szCs w:val="21"/>
              </w:rPr>
              <w:t xml:space="preserve">Pro: ≈ $1.00, since this tier includes intentional proactive utility messages as a paid feature.</w:t>
            </w:r>
          </w:p>
        </w:tc>
      </w:tr>
    </w:tbl>
    <w:p>
      <w:pPr>
        <w:pStyle w:val="Heading2"/>
        <w:spacing w:after="120" w:before="280"/>
        <w:outlineLvl w:val="1"/>
      </w:pPr>
      <w:r>
        <w:rPr>
          <w:b/>
          <w:bCs/>
          <w:color w:val="0F6E6E"/>
          <w:sz w:val="24"/>
          <w:szCs w:val="24"/>
        </w:rPr>
        <w:t xml:space="preserve">3.3 Payment processing</w:t>
      </w:r>
    </w:p>
    <w:p>
      <w:pPr>
        <w:spacing w:after="160" w:line="276"/>
      </w:pPr>
      <w:r>
        <w:rPr>
          <w:color w:val="262626"/>
          <w:sz w:val="21"/>
          <w:szCs w:val="21"/>
        </w:rPr>
        <w:t xml:space="preserve">Card/subscription payment gateways typically charge 2.5–3.5% of the transaction; this model uses 3% as a planning assumption, to be confirmed against the specific gateway chosen in Doc 3, Phase 4.</w:t>
      </w:r>
    </w:p>
    <w:p>
      <w:pPr>
        <w:pStyle w:val="Heading2"/>
        <w:spacing w:after="120" w:before="280"/>
        <w:outlineLvl w:val="1"/>
      </w:pPr>
      <w:r>
        <w:rPr>
          <w:b/>
          <w:bCs/>
          <w:color w:val="0F6E6E"/>
          <w:sz w:val="24"/>
          <w:szCs w:val="24"/>
        </w:rPr>
        <w:t xml:space="preserve">3.4 Infrastructure — mostly fixed, not per-customer</w:t>
      </w:r>
    </w:p>
    <w:p>
      <w:pPr>
        <w:spacing w:after="160" w:line="276"/>
      </w:pPr>
      <w:r>
        <w:rPr>
          <w:color w:val="262626"/>
          <w:sz w:val="21"/>
          <w:szCs w:val="21"/>
        </w:rPr>
        <w:t xml:space="preserve">Hosting, the Postgres+pgvector database, the queue, and observability tooling (Doc 2, Section 6) are a shared, largely fixed monthly cost that gets cheaper per customer as the customer base grows — the normal SaaS pattern. At pilot scale this is estimated at roughly $200/month total, growing gradually (not linearly) with usage. A small marginal per-tenant allocation (storage, compute) is included in the tables below for completeness.</w:t>
      </w:r>
    </w:p>
    <w:p>
      <w:pPr>
        <w:pStyle w:val="Heading2"/>
      </w:pPr>
      <w:r>
        <w:t>3.5 Google Maps / distance-estimation cost (built and live — not yet in Section 4)</w:t>
      </w:r>
    </w:p>
    <w:p>
      <w:r>
        <w:t>Doc 1, Section 9 and Doc 2, Section 9's planned delivery-time estimation is now built and live (the estimate_delivery pipeline step, using Google's Routes API "Compute Route Matrix Pro" tier). Its per-call price is now known and confirmed from a real production call, cost-logged the same way as the LLM calls in Section 3.1: $10.00 per 1,000 elements = $0.01 per call. This only fires for place_order messages that include a delivery address (not every customer message needs one), still excluded from Section 4's per-tier tables below — what's still missing is a real, observed call-volume-per-customer rate (what fraction of a tier's monthly messages are actually order-placement messages that trigger this call), not the per-call price itself. Before folding this into Section 4:</w:t>
      </w:r>
    </w:p>
    <w:p>
      <w:pPr>
        <w:pStyle w:val="ListParagraph"/>
      </w:pPr>
      <w:r>
        <w:t>Gather enough live order volume to estimate that rate with real data, the same way Section 3.1's LLM figures were revised — not an assumed fraction.</w:t>
      </w:r>
    </w:p>
    <w:p>
      <w:pPr>
        <w:pStyle w:val="ListParagraph"/>
      </w:pPr>
      <w:r>
        <w:t>Re-run Section 4's unit economics with this added as a new line once that rate exists.</w:t>
      </w:r>
    </w:p>
    <w:p>
      <w:pPr>
        <w:pStyle w:val="Heading1"/>
        <w:pBdr>
          <w:bottom w:val="single" w:color="0F6E6E" w:sz="6" w:space="4"/>
        </w:pBdr>
        <w:spacing w:after="160" w:before="360"/>
        <w:outlineLvl w:val="0"/>
      </w:pPr>
      <w:r>
        <w:rPr>
          <w:b/>
          <w:bCs/>
          <w:color w:val="1F3864"/>
          <w:sz w:val="30"/>
          <w:szCs w:val="30"/>
        </w:rPr>
        <w:t xml:space="preserve">4. Full Unit Economics per Tier</w:t>
      </w:r>
    </w:p>
    <w:p>
      <w:pPr>
        <w:spacing w:after="160" w:line="276"/>
      </w:pPr>
      <w:r>
        <w:rPr>
          <w:color w:val="262626"/>
          <w:sz w:val="21"/>
          <w:szCs w:val="21"/>
        </w:rPr>
        <w:t xml:space="preserve">Costs below are calculated at full message-cap utilization — the conservative, worst-case scenario for margin. Most customers won't use their full cap every month, so real margins will typically run higher than shown here.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3060"/>
        <w:gridCol w:w="2100"/>
        <w:gridCol w:w="2100"/>
        <w:gridCol w:w="2100"/>
      </w:tblGrid>
      <w:tr>
        <w:trPr>
          <w:tblHeader/>
        </w:trPr>
        <w:tc>
          <w:tcPr>
            <w:tcW w:type="dxa" w:w="306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Starter (10 JOD / $14.10, 400 msgs)</w:t>
            </w:r>
          </w:p>
        </w:tc>
        <w:tc>
          <w:tcPr>
            <w:tcW w:type="dxa" w:w="21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Growth (25 JOD / $35.25, 1,500 msgs)</w:t>
            </w:r>
          </w:p>
        </w:tc>
        <w:tc>
          <w:tcPr>
            <w:tcW w:type="dxa" w:w="21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 (45 JOD / $63.45, 5,000 msgs)</w:t>
            </w:r>
          </w:p>
        </w:tc>
      </w:tr>
      <w:tr>
        <w:tc>
          <w:tcPr>
            <w:tcW w:type="dxa" w:w="3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LLM cost (at $0.0052/msg, real observed)</w:t>
            </w:r>
          </w:p>
        </w:tc>
        <w:tc>
          <w:tcPr>
            <w:tcW w:type="dxa" w:w="21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$2.08</w:t>
            </w:r>
          </w:p>
        </w:tc>
        <w:tc>
          <w:tcPr>
            <w:tcW w:type="dxa" w:w="21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$7.80</w:t>
            </w:r>
          </w:p>
        </w:tc>
        <w:tc>
          <w:tcPr>
            <w:tcW w:type="dxa" w:w="21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$26.00</w:t>
            </w:r>
          </w:p>
        </w:tc>
      </w:tr>
      <w:tr>
        <w:tc>
          <w:tcPr>
            <w:tcW w:type="dxa" w:w="30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Meta channel fees</w:t>
            </w:r>
          </w:p>
        </w:tc>
        <w:tc>
          <w:tcPr>
            <w:tcW w:type="dxa" w:w="21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$0.30</w:t>
            </w:r>
          </w:p>
        </w:tc>
        <w:tc>
          <w:tcPr>
            <w:tcW w:type="dxa" w:w="21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$0.50</w:t>
            </w:r>
          </w:p>
        </w:tc>
        <w:tc>
          <w:tcPr>
            <w:tcW w:type="dxa" w:w="21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$1.00</w:t>
            </w:r>
          </w:p>
        </w:tc>
      </w:tr>
      <w:tr>
        <w:tc>
          <w:tcPr>
            <w:tcW w:type="dxa" w:w="3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Payment processing (3%)</w:t>
            </w:r>
          </w:p>
        </w:tc>
        <w:tc>
          <w:tcPr>
            <w:tcW w:type="dxa" w:w="21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$0.42</w:t>
            </w:r>
          </w:p>
        </w:tc>
        <w:tc>
          <w:tcPr>
            <w:tcW w:type="dxa" w:w="21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$1.06</w:t>
            </w:r>
          </w:p>
        </w:tc>
        <w:tc>
          <w:tcPr>
            <w:tcW w:type="dxa" w:w="21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$1.90</w:t>
            </w:r>
          </w:p>
        </w:tc>
      </w:tr>
      <w:tr>
        <w:tc>
          <w:tcPr>
            <w:tcW w:type="dxa" w:w="30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Marginal infra allocation</w:t>
            </w:r>
          </w:p>
        </w:tc>
        <w:tc>
          <w:tcPr>
            <w:tcW w:type="dxa" w:w="21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$0.50</w:t>
            </w:r>
          </w:p>
        </w:tc>
        <w:tc>
          <w:tcPr>
            <w:tcW w:type="dxa" w:w="21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$0.75</w:t>
            </w:r>
          </w:p>
        </w:tc>
        <w:tc>
          <w:tcPr>
            <w:tcW w:type="dxa" w:w="21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$1.25</w:t>
            </w:r>
          </w:p>
        </w:tc>
      </w:tr>
      <w:tr>
        <w:tc>
          <w:tcPr>
            <w:tcW w:type="dxa" w:w="3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Total variable cost</w:t>
            </w:r>
          </w:p>
        </w:tc>
        <w:tc>
          <w:tcPr>
            <w:tcW w:type="dxa" w:w="21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$3.30</w:t>
            </w:r>
          </w:p>
        </w:tc>
        <w:tc>
          <w:tcPr>
            <w:tcW w:type="dxa" w:w="21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$10.11</w:t>
            </w:r>
          </w:p>
        </w:tc>
        <w:tc>
          <w:tcPr>
            <w:tcW w:type="dxa" w:w="21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$30.15</w:t>
            </w:r>
          </w:p>
        </w:tc>
      </w:tr>
      <w:tr>
        <w:tc>
          <w:tcPr>
            <w:tcW w:type="dxa" w:w="30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Contribution margin</w:t>
            </w:r>
          </w:p>
        </w:tc>
        <w:tc>
          <w:tcPr>
            <w:tcW w:type="dxa" w:w="21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$10.80</w:t>
            </w:r>
          </w:p>
        </w:tc>
        <w:tc>
          <w:tcPr>
            <w:tcW w:type="dxa" w:w="21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$25.14</w:t>
            </w:r>
          </w:p>
        </w:tc>
        <w:tc>
          <w:tcPr>
            <w:tcW w:type="dxa" w:w="21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$33.30</w:t>
            </w:r>
          </w:p>
        </w:tc>
      </w:tr>
      <w:tr>
        <w:tc>
          <w:tcPr>
            <w:tcW w:type="dxa" w:w="3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Contribution margin %</w:t>
            </w:r>
          </w:p>
        </w:tc>
        <w:tc>
          <w:tcPr>
            <w:tcW w:type="dxa" w:w="21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≈ 77%</w:t>
            </w:r>
          </w:p>
        </w:tc>
        <w:tc>
          <w:tcPr>
            <w:tcW w:type="dxa" w:w="21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≈ 71%</w:t>
            </w:r>
          </w:p>
        </w:tc>
        <w:tc>
          <w:tcPr>
            <w:tcW w:type="dxa" w:w="21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≈ 52%</w:t>
            </w:r>
          </w:p>
        </w:tc>
      </w:tr>
    </w:tbl>
    <w:p>
      <w:r>
        <w:t>(Revised 2026-09-07 against real per-message LLM cost — Section 3.1 above. Previously, before any real traffic existed, this table used an assumed $0.00325/message and showed 82%/80%/68% margins.)</w:t>
      </w:r>
    </w:p>
    <w:p>
      <w:pPr>
        <w:spacing w:after="160" w:line="276"/>
      </w:pPr>
      <w:r>
        <w:t>The Pro tier's margin percentage is lower for two compounding reasons: it's the only tier carrying real, intentional Meta messaging fees (the proactive utility messages), and its 5,000-message cap means the same real per-message LLM cost increase above compounds the most there — the underlying reply-agent economics are consistent across all three tiers, but Pro's margin is now visibly thinner than Starter/Growth's, worth watching once real Pro-tier usage exists.</w:t>
      </w:r>
    </w:p>
    <w:p>
      <w:pPr>
        <w:pStyle w:val="Heading1"/>
        <w:pBdr>
          <w:bottom w:val="single" w:color="0F6E6E" w:sz="6" w:space="4"/>
        </w:pBdr>
        <w:spacing w:after="160" w:before="360"/>
        <w:outlineLvl w:val="0"/>
      </w:pPr>
      <w:r>
        <w:rPr>
          <w:b/>
          <w:bCs/>
          <w:color w:val="1F3864"/>
          <w:sz w:val="30"/>
          <w:szCs w:val="30"/>
        </w:rPr>
        <w:t xml:space="preserve">5. Break-Even &amp; Fixed Costs</w:t>
      </w:r>
    </w:p>
    <w:p>
      <w:pPr>
        <w:spacing w:after="160" w:line="276"/>
      </w:pPr>
      <w:r>
        <w:rPr>
          <w:color w:val="262626"/>
          <w:sz w:val="21"/>
          <w:szCs w:val="21"/>
        </w:rPr>
        <w:t xml:space="preserve">Assume a $220/month fixed platform baseline (Section 3.4) and an early customer mix weighted toward the lower tiers (a reasonable assumption for a Jordan-first launch): 60% Starter, 30% Growth, 10% Pro.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2360"/>
        <w:gridCol w:w="2000"/>
        <w:gridCol w:w="2500"/>
        <w:gridCol w:w="2500"/>
      </w:tblGrid>
      <w:tr>
        <w:trPr>
          <w:tblHeader/>
        </w:trPr>
        <w:tc>
          <w:tcPr>
            <w:tcW w:type="dxa" w:w="236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20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Mix</w:t>
            </w:r>
          </w:p>
        </w:tc>
        <w:tc>
          <w:tcPr>
            <w:tcW w:type="dxa" w:w="25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Contribution margin</w:t>
            </w:r>
          </w:p>
        </w:tc>
        <w:tc>
          <w:tcPr>
            <w:tcW w:type="dxa" w:w="25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Weighted contribution</w:t>
            </w:r>
          </w:p>
        </w:tc>
      </w:tr>
      <w:tr>
        <w:tc>
          <w:tcPr>
            <w:tcW w:type="dxa" w:w="23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Starter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60%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$10.80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$6.48</w:t>
            </w:r>
          </w:p>
        </w:tc>
      </w:tr>
      <w:tr>
        <w:tc>
          <w:tcPr>
            <w:tcW w:type="dxa" w:w="23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Growth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30%</w:t>
            </w:r>
          </w:p>
        </w:tc>
        <w:tc>
          <w:tcPr>
            <w:tcW w:type="dxa" w:w="25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$25.14</w:t>
            </w:r>
          </w:p>
        </w:tc>
        <w:tc>
          <w:tcPr>
            <w:tcW w:type="dxa" w:w="25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$7.54</w:t>
            </w:r>
          </w:p>
        </w:tc>
      </w:tr>
      <w:tr>
        <w:tc>
          <w:tcPr>
            <w:tcW w:type="dxa" w:w="23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Pro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10%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$33.30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$3.33</w:t>
            </w:r>
          </w:p>
        </w:tc>
      </w:tr>
      <w:tr>
        <w:tc>
          <w:tcPr>
            <w:tcW w:type="dxa" w:w="23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Blended average per customer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—</w:t>
            </w:r>
          </w:p>
        </w:tc>
        <w:tc>
          <w:tcPr>
            <w:tcW w:type="dxa" w:w="25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—</w:t>
            </w:r>
          </w:p>
        </w:tc>
        <w:tc>
          <w:tcPr>
            <w:tcW w:type="dxa" w:w="25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>≈ $17.35</w:t>
            </w:r>
          </w:p>
        </w:tc>
      </w:tr>
    </w:tbl>
    <w:tbl>
      <w:tblPr>
        <w:tblW w:type="pct" w:w="100%"/>
        <w:tblBorders>
          <w:top w:val="single" w:color="0F6E6E" w:sz="4"/>
          <w:left w:val="single" w:color="0F6E6E" w:sz="4"/>
          <w:bottom w:val="single" w:color="0F6E6E" w:sz="4"/>
          <w:right w:val="single" w:color="0F6E6E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AF1F1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t>Break-even point</w:t>
            </w:r>
          </w:p>
          <w:p>
            <w:r>
              <w:t>$220 fixed cost ÷ ≈ $17.35 blended contribution margin per customer ≈ 13 paying customers to cover the fixed platform cost (12 customers' contribution, $208.20, doesn't quite cover the $220 fixed baseline; 13 does — revised from the previous ≈12-customer estimate now that Section 4's margins reflect real per-message LLM cost).</w:t>
            </w:r>
          </w:p>
          <w:p>
            <w:r>
              <w:t>Doc 1's own pilot target (15–25 paying customers, Section 5) would still put the business past break-even on infrastructure — everything beyond that is close to pure contribution margin, since the cost base barely grows with each additional customer.</w:t>
            </w:r>
          </w:p>
        </w:tc>
      </w:tr>
    </w:tbl>
    <w:p>
      <w:pPr>
        <w:pStyle w:val="Heading1"/>
        <w:pBdr>
          <w:bottom w:val="single" w:color="0F6E6E" w:sz="6" w:space="4"/>
        </w:pBdr>
        <w:spacing w:after="160" w:before="360"/>
        <w:outlineLvl w:val="0"/>
      </w:pPr>
      <w:r>
        <w:rPr>
          <w:b/>
          <w:bCs/>
          <w:color w:val="1F3864"/>
          <w:sz w:val="30"/>
          <w:szCs w:val="30"/>
        </w:rPr>
        <w:t xml:space="preserve">6. Sensitivity — What Could Change This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3160"/>
        <w:gridCol w:w="2900"/>
        <w:gridCol w:w="3300"/>
      </w:tblGrid>
      <w:tr>
        <w:trPr>
          <w:tblHeader/>
        </w:trPr>
        <w:tc>
          <w:tcPr>
            <w:tcW w:type="dxa" w:w="316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 / variable</w:t>
            </w:r>
          </w:p>
        </w:tc>
        <w:tc>
          <w:tcPr>
            <w:tcW w:type="dxa" w:w="29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Effect</w:t>
            </w:r>
          </w:p>
        </w:tc>
        <w:tc>
          <w:tcPr>
            <w:tcW w:type="dxa" w:w="33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W w:type="dxa" w:w="31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Meta reintroduces paid "service" conversations on WhatsApp (it has changed pricing policy before).</w:t>
            </w:r>
          </w:p>
        </w:tc>
        <w:tc>
          <w:tcPr>
            <w:tcW w:type="dxa" w:w="2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Would meaningfully raise the WhatsApp cost line, especially for high-volume tiers.</w:t>
            </w:r>
          </w:p>
        </w:tc>
        <w:tc>
          <w:tcPr>
            <w:tcW w:type="dxa" w:w="3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Monitor Meta's developer pricing announcements as a standing operational task; keep tier pricing/caps as an adjustable lever, not hard-coded into the product.</w:t>
            </w:r>
          </w:p>
        </w:tc>
      </w:tr>
      <w:tr>
        <w:tc>
          <w:tcPr>
            <w:tcW w:type="dxa" w:w="31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Actual usage runs consistently near the message cap rather than below it.</w:t>
            </w:r>
          </w:p>
        </w:tc>
        <w:tc>
          <w:tcPr>
            <w:tcW w:type="dxa" w:w="29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Margins shown in Section 4 are already the worst case (100% cap utilization), so this is already priced in — but overage pricing (Section 2) is set above marginal cost specifically to protect margin if it happens anyway.</w:t>
            </w:r>
          </w:p>
        </w:tc>
      </w:tr>
      <w:tr>
        <w:tc>
          <w:tcPr>
            <w:tcW w:type="dxa" w:w="31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LLM prices drop further (the historical trend for both Anthropic and OpenAI).</w:t>
            </w:r>
          </w:p>
        </w:tc>
        <w:tc>
          <w:tcPr>
            <w:tcW w:type="dxa" w:w="2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Improves margin further; no action needed beyond periodically revisiting model routing (Doc 2, Section 3.3) to take advantage.</w:t>
            </w:r>
          </w:p>
        </w:tc>
      </w:tr>
      <w:tr>
        <w:tc>
          <w:tcPr>
            <w:tcW w:type="dxa" w:w="316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Payment gateway fee is higher than the 3% assumption for the chosen local provider.</w:t>
            </w:r>
          </w:p>
        </w:tc>
        <w:tc>
          <w:tcPr>
            <w:tcW w:type="dxa" w:w="29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Slightly compresses margin (roughly $0.15–0.30/customer/month at the assumed volumes).</w:t>
            </w:r>
          </w:p>
        </w:tc>
        <w:tc>
          <w:tcPr>
            <w:tcW w:type="dxa" w:w="3300"/>
            <w:shd w:fill="F2F2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Confirm actual gateway fee during vendor selection (Doc 3, Phase 4) and re-run this table before finalizing prices.</w:t>
            </w:r>
          </w:p>
        </w:tc>
      </w:tr>
      <w:tr>
        <w:tc>
          <w:tcPr>
            <w:tcW w:type="dxa" w:w="31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Willingness to pay in Jordan is lower than 10 JOD in practice.</w:t>
            </w:r>
          </w:p>
        </w:tc>
        <w:tc>
          <w:tcPr>
            <w:tcW w:type="dxa" w:w="2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Directly affects revenue.</w:t>
            </w:r>
          </w:p>
        </w:tc>
        <w:tc>
          <w:tcPr>
            <w:tcW w:type="dxa" w:w="3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color w:val="262626"/>
                <w:sz w:val="19"/>
                <w:szCs w:val="19"/>
              </w:rPr>
              <w:t xml:space="preserve">Validate with the paid pilot (Doc 3, Phase 5; Doc 4, Section 3) before committing to final public pricing — treat these numbers as a hypothesis.</w:t>
            </w:r>
          </w:p>
        </w:tc>
      </w:tr>
      <w:tr>
        <w:tc>
          <w:tcPr>
            <w:tcW w:type="dxa" w:w="3160"/>
          </w:tcPr>
          <w:p>
            <w:r>
              <w:t>The Google Maps cost line (Section 3.5) is priced ($0.01/call, confirmed live) but not yet volume-modeled into Section 4.</w:t>
            </w:r>
          </w:p>
        </w:tc>
        <w:tc>
          <w:tcPr>
            <w:tcW w:type="dxa" w:w="2900"/>
          </w:tcPr>
          <w:p>
            <w:r>
              <w:t>Section 4's margins do not yet reflect this cost — they'll compress somewhat once real order-volume data lets it be added.</w:t>
            </w:r>
          </w:p>
        </w:tc>
        <w:tc>
          <w:tcPr>
            <w:tcW w:type="dxa" w:w="3300"/>
          </w:tcPr>
          <w:p>
            <w:r>
              <w:t>Gather real order-placement call-volume data, then re-run Section 4 with the new line before changing any tier price or cap.</w:t>
            </w:r>
          </w:p>
        </w:tc>
      </w:tr>
    </w:tbl>
    <w:p>
      <w:pPr>
        <w:pStyle w:val="Heading1"/>
        <w:pBdr>
          <w:bottom w:val="single" w:color="0F6E6E" w:sz="6" w:space="4"/>
        </w:pBdr>
        <w:spacing w:after="160" w:before="360"/>
        <w:outlineLvl w:val="0"/>
      </w:pPr>
      <w:r>
        <w:rPr>
          <w:b/>
          <w:bCs/>
          <w:color w:val="1F3864"/>
          <w:sz w:val="30"/>
          <w:szCs w:val="30"/>
        </w:rPr>
        <w:t xml:space="preserve">7. Why 10 JOD, Specifically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  <w:color w:val="262626"/>
          <w:sz w:val="21"/>
          <w:szCs w:val="21"/>
        </w:rPr>
        <w:t xml:space="preserve">It undercuts the closest priced comparables once converted. </w:t>
      </w:r>
      <w:r>
        <w:rPr>
          <w:color w:val="262626"/>
          <w:sz w:val="21"/>
          <w:szCs w:val="21"/>
        </w:rPr>
        <w:t xml:space="preserve">Teammates.ai's cheapest paid tier is $25/mo; The Whatbot (WhatsApp-only) is $29/mo. Wittify AI's entry credit tier (≈33 AED) converts to roughly $9 — the nearest real comparable — putting 10 JOD ($14.10) in a defensible, still-affordable position just above it while covering three channels instead of one.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  <w:color w:val="262626"/>
          <w:sz w:val="21"/>
          <w:szCs w:val="21"/>
        </w:rPr>
        <w:t xml:space="preserve">It sits far below the Gulf-agency price band. </w:t>
      </w:r>
      <w:r>
        <w:rPr>
          <w:color w:val="262626"/>
          <w:sz w:val="21"/>
          <w:szCs w:val="21"/>
        </w:rPr>
        <w:t xml:space="preserve">HalaFlow's cheapest tier (199 AED) converts to roughly $54/mo — nearly 4x the Starter price here — reflecting UAE purchasing power that doesn't match a Jordanian solo seller's budget (Doc 1, Section 2.1).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  <w:color w:val="262626"/>
          <w:sz w:val="21"/>
          <w:szCs w:val="21"/>
        </w:rPr>
        <w:t xml:space="preserve">It's a psychologically easy "yes." </w:t>
      </w:r>
      <w:r>
        <w:rPr>
          <w:color w:val="262626"/>
          <w:sz w:val="21"/>
          <w:szCs w:val="21"/>
        </w:rPr>
        <w:t xml:space="preserve">10 JOD a month is roughly the cost of a single boosted Instagram post or a couple of coffees for many sellers — priced low enough to be an impulse decision rather than a budget conversation, consistent with the "self-serve, no sales call" design principle in Doc 1.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>It is genuinely profitable, not a loss-leader. Section 4 shows an ≈77% contribution margin on the Starter tier even at full cap usage, using real per-message LLM cost. That's only possible because, for this specific use case, the two cost lines that usually make cheap AI products unprofitable — expensive per-message platform fees and expensive frontier-model calls — are both structurally small here: Meta's core messaging is free by design (Section 3.2) and a classification/self-check pipeline lets most turns run on the cheap model (Section 3.1).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  <w:color w:val="262626"/>
          <w:sz w:val="21"/>
          <w:szCs w:val="21"/>
        </w:rPr>
        <w:t xml:space="preserve">It's round and memorable for word-of-mouth marketing </w:t>
      </w:r>
      <w:r>
        <w:rPr>
          <w:color w:val="262626"/>
          <w:sz w:val="21"/>
          <w:szCs w:val="21"/>
        </w:rPr>
        <w:t xml:space="preserve">("10 dinars a month") — directly supporting the community/referral-driven acquisition strategy in Doc 4.</w:t>
      </w:r>
    </w:p>
    <w:p>
      <w:pPr>
        <w:pStyle w:val="Heading1"/>
        <w:pBdr>
          <w:bottom w:val="single" w:color="0F6E6E" w:sz="6" w:space="4"/>
        </w:pBdr>
        <w:spacing w:after="160" w:before="360"/>
        <w:outlineLvl w:val="0"/>
      </w:pPr>
      <w:r>
        <w:rPr>
          <w:b/>
          <w:bCs/>
          <w:color w:val="1F3864"/>
          <w:sz w:val="30"/>
          <w:szCs w:val="30"/>
        </w:rPr>
        <w:t xml:space="preserve">8. Future Pricing Evolution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color w:val="262626"/>
          <w:sz w:val="21"/>
          <w:szCs w:val="21"/>
        </w:rPr>
        <w:t xml:space="preserve">Once Jordan pricing and product-market fit are validated (Doc 1, Section 8; Doc 4, Section 3), introduce AED-denominated tiers for Gulf expansion, priced closer to — but still below — the Gulf competitor band identified in Doc 1, Section 6 (e.g. positioned under HalaFlow's 199 AED entry tier).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color w:val="262626"/>
          <w:sz w:val="21"/>
          <w:szCs w:val="21"/>
        </w:rPr>
        <w:t xml:space="preserve">Introduce usage-based overage as the primary lever for heavy users rather than constantly raising base prices, preserving the low, easy entry point that is core to the positioning.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color w:val="262626"/>
          <w:sz w:val="21"/>
          <w:szCs w:val="21"/>
        </w:rPr>
        <w:t xml:space="preserve">Reserve a custom/enterprise tier (Doc 1, Section 4.2) for sellers who outgrow Pro — deep storefront integrations, multiple team seats, dedicated support — priced case-by-case like most of the competitive set, once there's real demand for it.</w:t>
      </w:r>
    </w:p>
    <w:p>
      <w:pPr>
        <w:spacing w:after="160" w:line="276"/>
      </w:pPr>
      <w:r>
        <w:rPr>
          <w:color w:val="262626"/>
          <w:sz w:val="21"/>
          <w:szCs w:val="21"/>
        </w:rPr>
        <w:t xml:space="preserve"/>
      </w:r>
    </w:p>
    <w:p>
      <w:pPr>
        <w:spacing w:after="160" w:line="276"/>
      </w:pPr>
      <w:r>
        <w:rPr>
          <w:i/>
          <w:iCs/>
          <w:color w:val="595959"/>
          <w:sz w:val="21"/>
          <w:szCs w:val="21"/>
        </w:rPr>
        <w:t xml:space="preserve">This closes the five-document set: 01 Product Vision &amp; PRD, 02 System Architecture, 03 Development &amp; Deployment Roadmap, 04 Go-to-Market &amp; Marketing, 05 Pricing &amp; Unit Economics.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Reply Agent — Pricing &amp; Unit Economics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  <w:lvl w:ilvl="1" w15:tentative="1">
      <w:start w:val="1"/>
      <w:numFmt w:val="bullet"/>
      <w:lvlText w:val="–"/>
      <w:lvlJc w:val="left"/>
      <w:pPr>
        <w:ind w:left="863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2026-08-20T11:41:15.893Z</dcterms:created>
  <dcterms:modified xsi:type="dcterms:W3CDTF">2026-08-20T11:41:15.907Z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