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left"/>
      </w:pPr>
      <w:r>
        <w:rPr>
          <w:b/>
          <w:bCs/>
          <w:color w:val="0F6E6E"/>
          <w:spacing w:val="20"/>
          <w:sz w:val="22"/>
          <w:szCs w:val="22"/>
        </w:rPr>
        <w:t xml:space="preserve">DOCUMENT 5 OF 5 — BUSINESS MODEL</w:t>
      </w:r>
    </w:p>
    <w:p>
      <w:pPr>
        <w:spacing w:after="200"/>
      </w:pPr>
      <w:r>
        <w:rPr>
          <w:b/>
          <w:bCs/>
          <w:color w:val="1F3864"/>
          <w:sz w:val="52"/>
          <w:szCs w:val="52"/>
        </w:rPr>
        <w:t xml:space="preserve">Pricing &amp; Unit Economics</w:t>
      </w:r>
    </w:p>
    <w:p>
      <w:pPr>
        <w:spacing w:after="500"/>
      </w:pPr>
      <w:r>
        <w:rPr>
          <w:color w:val="595959"/>
          <w:sz w:val="26"/>
          <w:szCs w:val="26"/>
        </w:rPr>
        <w:t xml:space="preserve">Tiers, the full cost model behind each JOD price, margins, break-even, and sensitivity</w:t>
      </w:r>
    </w:p>
    <w:p>
      <w:pPr>
        <w:pBdr>
          <w:top w:val="single" w:color="0F6E6E" w:sz="8" w:space="8"/>
        </w:pBdr>
        <w:spacing w:after="60"/>
      </w:pPr>
    </w:p>
    <w:p>
      <w:pPr>
        <w:spacing w:after="40"/>
      </w:pPr>
      <w:r>
        <w:rPr>
          <w:color w:val="595959"/>
          <w:sz w:val="20"/>
          <w:szCs w:val="20"/>
        </w:rPr>
        <w:t xml:space="preserve">Prepared for: Hasan Jadallah</w:t>
      </w:r>
    </w:p>
    <w:p>
      <w:pPr>
        <w:spacing w:after="40"/>
      </w:pPr>
      <w:r>
        <w:rPr>
          <w:color w:val="595959"/>
          <w:sz w:val="20"/>
          <w:szCs w:val="20"/>
        </w:rPr>
        <w:t xml:space="preserve">Project: Meta Agent — Reply Agent (MVP use case)</w:t>
      </w:r>
    </w:p>
    <w:p>
      <w:pPr>
        <w:spacing w:after="40"/>
      </w:pPr>
      <w:r>
        <w:rPr>
          <w:color w:val="595959"/>
          <w:sz w:val="20"/>
          <w:szCs w:val="20"/>
        </w:rPr>
        <w:t xml:space="preserve">Date: August 2026</w:t>
      </w:r>
    </w:p>
    <w:p>
      <w:pPr>
        <w:spacing w:after="40"/>
      </w:pPr>
      <w:r>
        <w:rPr>
          <w:color w:val="595959"/>
          <w:sz w:val="20"/>
          <w:szCs w:val="20"/>
        </w:rPr>
        <w:t xml:space="preserve">Companion to: 01 — Product Vision, 02 — System Architecture, 04 — Go-to-Market</w:t>
      </w:r>
    </w:p>
    <w:p>
      <w:pPr>
        <w:spacing w:after="40"/>
      </w:pPr>
      <w:r>
        <w:rPr>
          <w:color w:val="595959"/>
          <w:sz w:val="20"/>
          <w:szCs w:val="20"/>
        </w:rPr>
        <w:t xml:space="preserve">All conversions in this document use the fixed JOD/USD peg: 1 USD = 0.709 JOD, i.e. 1 JOD ≈ $1.41.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0F6E6E" w:sz="6" w:space="4"/>
        </w:pBdr>
        <w:spacing w:after="160" w:before="360"/>
        <w:outlineLvl w:val="0"/>
      </w:pPr>
      <w:r>
        <w:rPr>
          <w:b/>
          <w:bCs/>
          <w:color w:val="1F3864"/>
          <w:sz w:val="30"/>
          <w:szCs w:val="30"/>
        </w:rPr>
        <w:t xml:space="preserve">1. Pricing Philosophy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Most regional competitors in the research (Doc 1, Section 6) hide their price behind "contact for quote" or set it for Gulf-level enterprise budgets. Reply Agent's pricing is built on the opposite bet: publish a real, low-friction JOD price, and make sure the underlying unit economics (Section 3) support that price profitably rather than treating it as a loss-leader. That's only possible because, for this specific use case, the two cost lines that dominate most competitors' pricing — human support labor and heavy enterprise infrastructure — barely apply here (Section 3 shows why).</w:t>
      </w:r>
    </w:p>
    <w:p>
      <w:pPr>
        <w:pStyle w:val="Heading1"/>
        <w:pBdr>
          <w:bottom w:val="single" w:color="0F6E6E" w:sz="6" w:space="4"/>
        </w:pBdr>
        <w:spacing w:after="160" w:before="360"/>
        <w:outlineLvl w:val="0"/>
      </w:pPr>
      <w:r>
        <w:rPr>
          <w:b/>
          <w:bCs/>
          <w:color w:val="1F3864"/>
          <w:sz w:val="30"/>
          <w:szCs w:val="30"/>
        </w:rPr>
        <w:t xml:space="preserve">2. Pricing Tiers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560"/>
        <w:gridCol w:w="2260"/>
        <w:gridCol w:w="2270"/>
        <w:gridCol w:w="2270"/>
      </w:tblGrid>
      <w:tr>
        <w:trPr>
          <w:tblHeader/>
        </w:trPr>
        <w:tc>
          <w:tcPr>
            <w:tcW w:type="dxa" w:w="256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Starter</w:t>
            </w:r>
          </w:p>
        </w:tc>
        <w:tc>
          <w:tcPr>
            <w:tcW w:type="dxa" w:w="227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Growth</w:t>
            </w:r>
          </w:p>
        </w:tc>
        <w:tc>
          <w:tcPr>
            <w:tcW w:type="dxa" w:w="227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</w:t>
            </w:r>
          </w:p>
        </w:tc>
      </w:tr>
      <w:tr>
        <w:tc>
          <w:tcPr>
            <w:tcW w:type="dxa" w:w="2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Price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10 JOD/mo (≈ $14.10)</w:t>
            </w:r>
          </w:p>
        </w:tc>
        <w:tc>
          <w:tcPr>
            <w:tcW w:type="dxa" w:w="227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25 JOD/mo (≈ $35.25)</w:t>
            </w:r>
          </w:p>
        </w:tc>
        <w:tc>
          <w:tcPr>
            <w:tcW w:type="dxa" w:w="227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45 JOD/mo (≈ $63.45)</w:t>
            </w:r>
          </w:p>
        </w:tc>
      </w:tr>
      <w:tr>
        <w:tc>
          <w:tcPr>
            <w:tcW w:type="dxa" w:w="25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Message cap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400 customer messages/mo</w:t>
            </w:r>
          </w:p>
        </w:tc>
        <w:tc>
          <w:tcPr>
            <w:tcW w:type="dxa" w:w="227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1,500 customer messages/mo</w:t>
            </w:r>
          </w:p>
        </w:tc>
        <w:tc>
          <w:tcPr>
            <w:tcW w:type="dxa" w:w="227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5,000 customer messages/mo</w:t>
            </w:r>
          </w:p>
        </w:tc>
      </w:tr>
      <w:tr>
        <w:tc>
          <w:tcPr>
            <w:tcW w:type="dxa" w:w="2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Channels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WhatsApp only</w:t>
            </w:r>
          </w:p>
        </w:tc>
        <w:tc>
          <w:tcPr>
            <w:tcW w:type="dxa" w:w="227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+ Messenger</w:t>
            </w:r>
          </w:p>
        </w:tc>
        <w:tc>
          <w:tcPr>
            <w:tcW w:type="dxa" w:w="227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+ Instagram (all three)</w:t>
            </w:r>
          </w:p>
        </w:tc>
      </w:tr>
      <w:tr>
        <w:tc>
          <w:tcPr>
            <w:tcW w:type="dxa" w:w="25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Core reply agent (RAG, escalation)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Included</w:t>
            </w:r>
          </w:p>
        </w:tc>
        <w:tc>
          <w:tcPr>
            <w:tcW w:type="dxa" w:w="227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Included</w:t>
            </w:r>
          </w:p>
        </w:tc>
        <w:tc>
          <w:tcPr>
            <w:tcW w:type="dxa" w:w="227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2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Owner dashboard &amp; analytics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Basic (conversation log only)</w:t>
            </w:r>
          </w:p>
        </w:tc>
        <w:tc>
          <w:tcPr>
            <w:tcW w:type="dxa" w:w="227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Full analytics (Doc 1, Section 5 metrics)</w:t>
            </w:r>
          </w:p>
        </w:tc>
        <w:tc>
          <w:tcPr>
            <w:tcW w:type="dxa" w:w="227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Full analytics + team seats</w:t>
            </w:r>
          </w:p>
        </w:tc>
      </w:tr>
      <w:tr>
        <w:tc>
          <w:tcPr>
            <w:tcW w:type="dxa" w:w="25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Order-status integration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Spreadsheet only</w:t>
            </w:r>
          </w:p>
        </w:tc>
        <w:tc>
          <w:tcPr>
            <w:tcW w:type="dxa" w:w="227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Spreadsheet + storefront (Salla/Zid/Shopify)</w:t>
            </w:r>
          </w:p>
        </w:tc>
        <w:tc>
          <w:tcPr>
            <w:tcW w:type="dxa" w:w="227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Spreadsheet + storefront</w:t>
            </w:r>
          </w:p>
        </w:tc>
      </w:tr>
      <w:tr>
        <w:tc>
          <w:tcPr>
            <w:tcW w:type="dxa" w:w="2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Proactive utility messages (restock/abandoned-cart)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227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227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Included (Meta per-message fee pass-through, Section 3)</w:t>
            </w:r>
          </w:p>
        </w:tc>
      </w:tr>
      <w:tr>
        <w:tc>
          <w:tcPr>
            <w:tcW w:type="dxa" w:w="25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Overage (beyond cap)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0.015 JOD/message (≈ $0.021)</w:t>
            </w:r>
          </w:p>
        </w:tc>
        <w:tc>
          <w:tcPr>
            <w:tcW w:type="dxa" w:w="227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0.015 JOD/message</w:t>
            </w:r>
          </w:p>
        </w:tc>
        <w:tc>
          <w:tcPr>
            <w:tcW w:type="dxa" w:w="227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0.012 JOD/message</w:t>
            </w:r>
          </w:p>
        </w:tc>
      </w:tr>
      <w:tr>
        <w:tc>
          <w:tcPr>
            <w:tcW w:type="dxa" w:w="2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Support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Self-serve + email</w:t>
            </w:r>
          </w:p>
        </w:tc>
        <w:tc>
          <w:tcPr>
            <w:tcW w:type="dxa" w:w="227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Priority email</w:t>
            </w:r>
          </w:p>
        </w:tc>
        <w:tc>
          <w:tcPr>
            <w:tcW w:type="dxa" w:w="227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Priority + onboarding help</w:t>
            </w:r>
          </w:p>
        </w:tc>
      </w:tr>
    </w:tbl>
    <w:p>
      <w:pPr>
        <w:spacing w:after="160" w:line="276"/>
      </w:pPr>
      <w:r>
        <w:rPr>
          <w:i/>
          <w:iCs/>
          <w:color w:val="595959"/>
          <w:sz w:val="21"/>
          <w:szCs w:val="21"/>
        </w:rPr>
        <w:t xml:space="preserve">These caps and prices are a starting hypothesis to pressure-test in the paid pilot (Doc 3, Phase 5) — not a final commitment. Section 7 explains exactly why 10 JOD was chosen as the entry price so you can adjust it deliberately if pilot data says otherwise.</w:t>
      </w:r>
    </w:p>
    <w:p>
      <w:pPr>
        <w:pStyle w:val="Heading1"/>
        <w:pBdr>
          <w:bottom w:val="single" w:color="0F6E6E" w:sz="6" w:space="4"/>
        </w:pBdr>
        <w:spacing w:after="160" w:before="360"/>
        <w:outlineLvl w:val="0"/>
      </w:pPr>
      <w:r>
        <w:rPr>
          <w:b/>
          <w:bCs/>
          <w:color w:val="1F3864"/>
          <w:sz w:val="30"/>
          <w:szCs w:val="30"/>
        </w:rPr>
        <w:t xml:space="preserve">3. What You're Actually Paying For — the Cost Model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Three cost lines make up almost all of the variable cost per customer: the LLM provider, Meta's messaging fees, and payment processing. A fourth, infrastructure, is mostly fixed rather than per-customer. Each is broken down below.</w:t>
      </w:r>
    </w:p>
    <w:p>
      <w:pPr>
        <w:pStyle w:val="Heading2"/>
        <w:spacing w:after="120" w:before="280"/>
        <w:outlineLvl w:val="1"/>
      </w:pPr>
      <w:r>
        <w:rPr>
          <w:b/>
          <w:bCs/>
          <w:color w:val="0F6E6E"/>
          <w:sz w:val="24"/>
          <w:szCs w:val="24"/>
        </w:rPr>
        <w:t xml:space="preserve">3.1 LLM provider cost (Claude)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Per Doc 2, Section 3.3, each customer message triggers up to four model calls in the LangGraph pipeline: intent classification, response generation (Haiku for ~85% of turns, Sonnet for the harder ~15%), and a self-check. Using Anthropic's standard published per-token pricing (Sonnet 5's introductory $2/$10 rate expired August 31, 2026; the figures below use its standard $3/$15 rate, so this is the number to build against going forward):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318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318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31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$1.00 / million tokens</w:t>
            </w:r>
          </w:p>
        </w:tc>
        <w:tc>
          <w:tcPr>
            <w:tcW w:type="dxa" w:w="31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$5.00 / million tokens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Claude Sonnet 5</w:t>
            </w:r>
          </w:p>
        </w:tc>
        <w:tc>
          <w:tcPr>
            <w:tcW w:type="dxa" w:w="318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$3.00 / million tokens</w:t>
            </w:r>
          </w:p>
        </w:tc>
        <w:tc>
          <w:tcPr>
            <w:tcW w:type="dxa" w:w="318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$15.00 / million tokens</w:t>
            </w:r>
          </w:p>
        </w:tc>
      </w:tr>
    </w:tbl>
    <w:p>
      <w:r>
        <w:t>Revised against real production data (2026-09-06/07). The table below was originally built on assumed token counts before this product had any real traffic. Two live-traffic studies since then — 8 conversations on 2026-09-06, plus a 12-message conversation on 2026-09-07, both cost-logged per API call via billing/cost_tracking.py's ApiCallLog table — measured every single-turn message at $0.0045–$0.0052, 40–55% above the original $0.00325 estimate. The gap is almost entirely self_check: its real prompt (conversation history, retrieved context, the delivery estimate when present, and the draft itself) runs roughly 6x heavier than assumed, not the LLM's per-token price, which is unchanged. generate_response's original estimate held up reasonably well by comparison.</w:t>
      </w:r>
    </w:p>
    <w:tbl>
      <w:tblPr>
        <w:tblW w:type="dxa" w:w="932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560"/>
        <w:gridCol w:w="2560"/>
        <w:gridCol w:w="2200"/>
        <w:gridCol w:w="2000"/>
      </w:tblGrid>
      <w:tr>
        <w:trPr>
          <w:tblHeader/>
        </w:trPr>
        <w:tc>
          <w:tcPr>
            <w:tcW w:type="dxa" w:w="256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Pipeline step</w:t>
            </w:r>
          </w:p>
        </w:tc>
        <w:tc>
          <w:tcPr>
            <w:tcW w:type="dxa" w:w="256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Approx. tokens (in / out)</w:t>
            </w:r>
          </w:p>
        </w:tc>
        <w:tc>
          <w:tcPr>
            <w:tcW w:type="dxa" w:w="2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 per message</w:t>
            </w:r>
          </w:p>
        </w:tc>
      </w:tr>
      <w:tr>
        <w:tc>
          <w:tcPr>
            <w:tcW w:type="dxa" w:w="2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classify_intent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Haiku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~700 / 20 (was assumed at 200)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≈ $0.0008</w:t>
            </w:r>
          </w:p>
        </w:tc>
      </w:tr>
      <w:tr>
        <w:tc>
          <w:tcPr>
            <w:tcW w:type="dxa" w:w="25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self_check</w:t>
            </w:r>
          </w:p>
        </w:tc>
        <w:tc>
          <w:tcPr>
            <w:tcW w:type="dxa" w:w="25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Haiku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~1,500 / 20 (was assumed at 250)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≈ $0.0016</w:t>
            </w:r>
          </w:p>
        </w:tc>
      </w:tr>
      <w:tr>
        <w:tc>
          <w:tcPr>
            <w:tcW w:type="dxa" w:w="2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generate_response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Haiku — real data so far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1,500 / 100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≈ $0.0028</w:t>
            </w:r>
          </w:p>
        </w:tc>
      </w:tr>
      <w:tr>
        <w:tc>
          <w:tcPr>
            <w:tcW w:type="dxa" w:w="25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Total, Haiku-path (real, observed)</w:t>
            </w:r>
          </w:p>
        </w:tc>
        <w:tc>
          <w:tcPr>
            <w:tcW w:type="dxa" w:w="25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—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—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$0.0045–$0.0052 per customer message</w:t>
            </w:r>
          </w:p>
        </w:tc>
      </w:tr>
    </w:tbl>
    <w:p>
      <w:pPr>
        <w:spacing w:after="160" w:line="276"/>
      </w:pPr>
      <w:r>
        <w:t>Both live studies stayed entirely on the Haiku path — neither has yet produced a single message genuinely ambiguous/complex enough to route to Sonnet, so the 85%/15% Haiku/Sonnet split above is still a planning assumption, not something real data has validated either way. Section 4 below uses $0.0052 (the upper end of the real observed range) as the per-message figure, consistent with this document's own worst-case convention (Section 4's intro). Prompt caching (Doc 2, Section 3.3) still applies on top of this at 10% of normal input price on a cache hit — not yet isolated in the real numbers above, so actual costs may run a little below $0.0052 once caching's effect is measured directly.</w:t>
      </w:r>
    </w:p>
    <w:p>
      <w:pPr>
        <w:pStyle w:val="Heading2"/>
        <w:spacing w:after="120" w:before="280"/>
        <w:outlineLvl w:val="1"/>
      </w:pPr>
      <w:r>
        <w:rPr>
          <w:b/>
          <w:bCs/>
          <w:color w:val="0F6E6E"/>
          <w:sz w:val="24"/>
          <w:szCs w:val="24"/>
        </w:rPr>
        <w:t xml:space="preserve">3.2 Meta channel cost (WhatsApp, Instagram, Messenger)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This is the single most important — and most misunderstood — cost line, and it's the reason this business model works at a 10 JOD entry price: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262626"/>
          <w:sz w:val="21"/>
          <w:szCs w:val="21"/>
        </w:rPr>
        <w:t xml:space="preserve">Instagram Messaging and Facebook Messenger: $0 per message. </w:t>
      </w:r>
      <w:r>
        <w:rPr>
          <w:color w:val="262626"/>
          <w:sz w:val="21"/>
          <w:szCs w:val="21"/>
        </w:rPr>
        <w:t xml:space="preserve">Meta does not charge for messages sent or received through these APIs — the cost is entirely the friction of app review (Doc 3, Section 2), not a per-message fee.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>WhatsApp "service" messages (replies to a customer within the 24-hour window they opened): $0 per message — until October 1, 2026. Meta made service conversations free for all businesses in November 2024; that free lane ends on a confirmed, dated schedule (see the callout below), not a hypothetical.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262626"/>
          <w:sz w:val="21"/>
          <w:szCs w:val="21"/>
        </w:rPr>
        <w:t xml:space="preserve">This product is architected to stay almost entirely inside the free lane: </w:t>
      </w:r>
      <w:r>
        <w:rPr>
          <w:color w:val="262626"/>
          <w:sz w:val="21"/>
          <w:szCs w:val="21"/>
        </w:rPr>
        <w:t xml:space="preserve">Doc 1, Section 4.2 explicitly excludes outbound marketing/broadcast messages from V1, and the agent only ever replies to a customer who messaged first. The only paid WhatsApp messages in this model are the optional Pro-tier proactive utility messages (restock/abandoned-cart), which are priced with the Meta fee passed through, not absorbed.</w:t>
      </w:r>
    </w:p>
    <w:p>
      <w:r>
        <w:t>Confirmed, not hypothetical (found 2026-09-15) — this free lane narrows on October 1, 2026. Verified against Meta's own official pricing documentation plus corroborating BSP sources (Zendesk, YCloud, SendPulse): starting October 1, 2026, Meta begins charging for WhatsApp service messages — free-form replies sent by a human agent or a third-party AI, exactly this product's core traffic — at the same per-message rate as a utility/authentication template in the recipient's country. Each business phone number keeps 1,000 free service messages per month (resets monthly, doesn't roll over); charges apply only from the 1,001st. Checked against this doc's own tier caps (Section 2): Starter's 400 msg/mo cap stays comfortably under the 1,000 free allowance — unaffected. Growth's 1,500 msg/mo cap and Pro's 5,000 msg/mo cap both exceed it — at full cap utilization, Growth would have ~500 chargeable messages/month and Pro ~4,000, once this takes effect. The exact JOD cost per message (varies by the customer's own country, not the business's) isn't in this revision — Meta's rate card for Jordan specifically wasn't confirmed from a primary source during this pass; the next step is pulling Jordan's actual rate from the business's own Meta Business Manager account (rates there are account-specific) and re-running Section 4 for Growth/Pro before this takes effect. This is the single most consequential open item in this document right now — unlike Section 3.5's Google Maps line (a small, controllable cost), this one moves the needle on Growth/Pro's entire margin story and has a hard, imminent deadline, not a "someday" one.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262626"/>
          <w:sz w:val="21"/>
          <w:szCs w:val="21"/>
        </w:rPr>
        <w:t xml:space="preserve">Recommended integration path: Meta's own WhatsApp Cloud API directly, not a third-party BSP </w:t>
      </w:r>
      <w:r>
        <w:rPr>
          <w:color w:val="262626"/>
          <w:sz w:val="21"/>
          <w:szCs w:val="21"/>
        </w:rPr>
        <w:t xml:space="preserve">(Business Solution Provider) like Twilio or 360dialog. Those typically add $40–55/month in platform fees or a per-message markup on top of Meta's own rates — money that would otherwise erode margin at this price point. Building directly on the Cloud API (Doc 2, Section 6) means Reply Agent itself is the "platform layer" a seller would otherwise pay a BSP for.</w:t>
      </w:r>
    </w:p>
    <w:tbl>
      <w:tblPr>
        <w:tblW w:type="pct" w:w="100%"/>
        <w:tblBorders>
          <w:top w:val="single" w:color="0F6E6E" w:sz="4"/>
          <w:left w:val="single" w:color="0F6E6E" w:sz="4"/>
          <w:bottom w:val="single" w:color="0F6E6E" w:sz="4"/>
          <w:right w:val="single" w:color="0F6E6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1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Budgeted Meta cost per customer, per month</w:t>
            </w:r>
          </w:p>
          <w:p>
            <w:pPr>
              <w:spacing w:after="60"/>
            </w:pPr>
            <w:r>
              <w:rPr>
                <w:color w:val="262626"/>
                <w:sz w:val="21"/>
                <w:szCs w:val="21"/>
              </w:rPr>
              <w:t xml:space="preserve">Starter: ≈ $0.30 buffer (occasional utility templates, e.g. re-opening a stale thread) — most months this will be closer to $0.</w:t>
            </w:r>
          </w:p>
          <w:p>
            <w:pPr>
              <w:spacing w:after="60"/>
            </w:pPr>
            <w:r>
              <w:rPr>
                <w:color w:val="262626"/>
                <w:sz w:val="21"/>
                <w:szCs w:val="21"/>
              </w:rPr>
              <w:t xml:space="preserve">Growth: ≈ $0.50 buffer.</w:t>
            </w:r>
          </w:p>
          <w:p>
            <w:pPr>
              <w:spacing w:after="60"/>
            </w:pPr>
            <w:r>
              <w:rPr>
                <w:color w:val="262626"/>
                <w:sz w:val="21"/>
                <w:szCs w:val="21"/>
              </w:rPr>
              <w:t xml:space="preserve">Pro: ≈ $1.00, since this tier includes intentional proactive utility messages as a paid feature.</w:t>
            </w:r>
          </w:p>
        </w:tc>
      </w:tr>
    </w:tbl>
    <w:p>
      <w:pPr>
        <w:pStyle w:val="Heading2"/>
        <w:spacing w:after="120" w:before="280"/>
        <w:outlineLvl w:val="1"/>
      </w:pPr>
      <w:r>
        <w:rPr>
          <w:b/>
          <w:bCs/>
          <w:color w:val="0F6E6E"/>
          <w:sz w:val="24"/>
          <w:szCs w:val="24"/>
        </w:rPr>
        <w:t xml:space="preserve">3.3 Payment processing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Card/subscription payment gateways typically charge 2.5–3.5% of the transaction; this model uses 3% as a planning assumption, to be confirmed against the specific gateway chosen in Doc 3, Phase 4.</w:t>
      </w:r>
    </w:p>
    <w:p>
      <w:pPr>
        <w:pStyle w:val="Heading2"/>
        <w:spacing w:after="120" w:before="280"/>
        <w:outlineLvl w:val="1"/>
      </w:pPr>
      <w:r>
        <w:rPr>
          <w:b/>
          <w:bCs/>
          <w:color w:val="0F6E6E"/>
          <w:sz w:val="24"/>
          <w:szCs w:val="24"/>
        </w:rPr>
        <w:t xml:space="preserve">3.4 Infrastructure — mostly fixed, not per-customer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Hosting, the Postgres+pgvector database, the queue, and observability tooling (Doc 2, Section 6) are a shared, largely fixed monthly cost that gets cheaper per customer as the customer base grows — the normal SaaS pattern. At pilot scale this is estimated at roughly $200/month total, growing gradually (not linearly) with usage. A small marginal per-tenant allocation (storage, compute) is included in the tables below for completeness.</w:t>
      </w:r>
    </w:p>
    <w:p>
      <w:pPr>
        <w:pStyle w:val="Heading2"/>
      </w:pPr>
      <w:r>
        <w:t>3.5 Google Maps / distance-estimation cost (built and live — not yet in Section 4)</w:t>
      </w:r>
    </w:p>
    <w:p>
      <w:r>
        <w:t>Doc 1, Section 9 and Doc 2, Section 9's planned delivery-time estimation is now built and live (the estimate_delivery pipeline step, using Google's Routes API "Compute Route Matrix Pro" tier). Its per-call price is now known and confirmed from a real production call, cost-logged the same way as the LLM calls in Section 3.1: $10.00 per 1,000 elements = $0.01 per call. This only fires for place_order messages that include a delivery address (not every customer message needs one), still excluded from Section 4's per-tier tables below — what's still missing is a real, observed call-volume-per-customer rate (what fraction of a tier's monthly messages are actually order-placement messages that trigger this call), not the per-call price itself. Before folding this into Section 4:</w:t>
      </w:r>
    </w:p>
    <w:p>
      <w:pPr>
        <w:pStyle w:val="ListParagraph"/>
      </w:pPr>
      <w:r>
        <w:t>Gather enough live order volume to estimate that rate with real data, the same way Section 3.1's LLM figures were revised — not an assumed fraction.</w:t>
      </w:r>
    </w:p>
    <w:p>
      <w:pPr>
        <w:pStyle w:val="ListParagraph"/>
      </w:pPr>
      <w:r>
        <w:t>Re-run Section 4's unit economics with this added as a new line once that rate exists.</w:t>
      </w:r>
    </w:p>
    <w:p>
      <w:pPr>
        <w:pStyle w:val="Heading1"/>
        <w:pBdr>
          <w:bottom w:val="single" w:color="0F6E6E" w:sz="6" w:space="4"/>
        </w:pBdr>
        <w:spacing w:after="160" w:before="360"/>
        <w:outlineLvl w:val="0"/>
      </w:pPr>
      <w:r>
        <w:rPr>
          <w:b/>
          <w:bCs/>
          <w:color w:val="1F3864"/>
          <w:sz w:val="30"/>
          <w:szCs w:val="30"/>
        </w:rPr>
        <w:t xml:space="preserve">4. Full Unit Economics per Tier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Costs below are calculated at full message-cap utilization — the conservative, worst-case scenario for margin. Most customers won't use their full cap every month, so real margins will typically run higher than shown here.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060"/>
        <w:gridCol w:w="2100"/>
        <w:gridCol w:w="2100"/>
        <w:gridCol w:w="2100"/>
      </w:tblGrid>
      <w:tr>
        <w:trPr>
          <w:tblHeader/>
        </w:trPr>
        <w:tc>
          <w:tcPr>
            <w:tcW w:type="dxa" w:w="306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Starter (10 JOD / $14.10, 400 msgs)</w:t>
            </w:r>
          </w:p>
        </w:tc>
        <w:tc>
          <w:tcPr>
            <w:tcW w:type="dxa" w:w="21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Growth (25 JOD / $35.25, 1,500 msgs)</w:t>
            </w:r>
          </w:p>
        </w:tc>
        <w:tc>
          <w:tcPr>
            <w:tcW w:type="dxa" w:w="21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 (45 JOD / $63.45, 5,000 msgs)</w:t>
            </w:r>
          </w:p>
        </w:tc>
      </w:tr>
      <w:tr>
        <w:tc>
          <w:tcPr>
            <w:tcW w:type="dxa" w:w="30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LLM cost (at $0.0052/msg, real observed)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$2.08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$7.80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$26.00</w:t>
            </w:r>
          </w:p>
        </w:tc>
      </w:tr>
      <w:tr>
        <w:tc>
          <w:tcPr>
            <w:tcW w:type="dxa" w:w="30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Meta channel fees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$0.30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$0.50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$1.00</w:t>
            </w:r>
          </w:p>
        </w:tc>
      </w:tr>
      <w:tr>
        <w:tc>
          <w:tcPr>
            <w:tcW w:type="dxa" w:w="30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Payment processing (3%)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$0.42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$1.06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$1.90</w:t>
            </w:r>
          </w:p>
        </w:tc>
      </w:tr>
      <w:tr>
        <w:tc>
          <w:tcPr>
            <w:tcW w:type="dxa" w:w="30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Marginal infra allocation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$0.50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$0.75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$1.25</w:t>
            </w:r>
          </w:p>
        </w:tc>
      </w:tr>
      <w:tr>
        <w:tc>
          <w:tcPr>
            <w:tcW w:type="dxa" w:w="30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Total variable cost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$3.30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$10.11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$30.15</w:t>
            </w:r>
          </w:p>
        </w:tc>
      </w:tr>
      <w:tr>
        <w:tc>
          <w:tcPr>
            <w:tcW w:type="dxa" w:w="30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Contribution margin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$10.80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$25.14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$33.30</w:t>
            </w:r>
          </w:p>
        </w:tc>
      </w:tr>
      <w:tr>
        <w:tc>
          <w:tcPr>
            <w:tcW w:type="dxa" w:w="30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Contribution margin %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≈ 77%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≈ 71%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≈ 52%</w:t>
            </w:r>
          </w:p>
        </w:tc>
      </w:tr>
    </w:tbl>
    <w:p>
      <w:r>
        <w:t>(Revised 2026-09-07 against real per-message LLM cost — Section 3.1 above. Previously, before any real traffic existed, this table used an assumed $0.00325/message and showed 82%/80%/68% margins.)</w:t>
      </w:r>
    </w:p>
    <w:p>
      <w:pPr>
        <w:spacing w:after="160" w:line="276"/>
      </w:pPr>
      <w:r>
        <w:t>The Pro tier's margin percentage is lower for two compounding reasons: it's the only tier carrying real, intentional Meta messaging fees (the proactive utility messages), and its 5,000-message cap means the same real per-message LLM cost increase above compounds the most there — the underlying reply-agent economics are consistent across all three tiers, but Pro's margin is now visibly thinner than Starter/Growth's, worth watching once real Pro-tier usage exists.</w:t>
      </w:r>
    </w:p>
    <w:p>
      <w:pPr>
        <w:pStyle w:val="Heading1"/>
        <w:pBdr>
          <w:bottom w:val="single" w:color="0F6E6E" w:sz="6" w:space="4"/>
        </w:pBdr>
        <w:spacing w:after="160" w:before="360"/>
        <w:outlineLvl w:val="0"/>
      </w:pPr>
      <w:r>
        <w:rPr>
          <w:b/>
          <w:bCs/>
          <w:color w:val="1F3864"/>
          <w:sz w:val="30"/>
          <w:szCs w:val="30"/>
        </w:rPr>
        <w:t xml:space="preserve">5. Break-Even &amp; Fixed Costs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Assume a $220/month fixed platform baseline (Section 3.4) and an early customer mix weighted toward the lower tiers (a reasonable assumption for a Jordan-first launch): 60% Starter, 30% Growth, 10% Pro.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360"/>
        <w:gridCol w:w="2000"/>
        <w:gridCol w:w="2500"/>
        <w:gridCol w:w="2500"/>
      </w:tblGrid>
      <w:tr>
        <w:trPr>
          <w:tblHeader/>
        </w:trPr>
        <w:tc>
          <w:tcPr>
            <w:tcW w:type="dxa" w:w="236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Mix</w:t>
            </w:r>
          </w:p>
        </w:tc>
        <w:tc>
          <w:tcPr>
            <w:tcW w:type="dxa" w:w="25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Contribution margin</w:t>
            </w:r>
          </w:p>
        </w:tc>
        <w:tc>
          <w:tcPr>
            <w:tcW w:type="dxa" w:w="25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Weighted contribution</w:t>
            </w:r>
          </w:p>
        </w:tc>
      </w:tr>
      <w:tr>
        <w:tc>
          <w:tcPr>
            <w:tcW w:type="dxa" w:w="23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Starter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60%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$10.80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$6.48</w:t>
            </w:r>
          </w:p>
        </w:tc>
      </w:tr>
      <w:tr>
        <w:tc>
          <w:tcPr>
            <w:tcW w:type="dxa" w:w="23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Growth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30%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$25.14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$7.54</w:t>
            </w:r>
          </w:p>
        </w:tc>
      </w:tr>
      <w:tr>
        <w:tc>
          <w:tcPr>
            <w:tcW w:type="dxa" w:w="23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Pro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10%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$33.30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$3.33</w:t>
            </w:r>
          </w:p>
        </w:tc>
      </w:tr>
      <w:tr>
        <w:tc>
          <w:tcPr>
            <w:tcW w:type="dxa" w:w="23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Blended average per customer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—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—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≈ $17.35</w:t>
            </w:r>
          </w:p>
        </w:tc>
      </w:tr>
    </w:tbl>
    <w:tbl>
      <w:tblPr>
        <w:tblW w:type="pct" w:w="100%"/>
        <w:tblBorders>
          <w:top w:val="single" w:color="0F6E6E" w:sz="4"/>
          <w:left w:val="single" w:color="0F6E6E" w:sz="4"/>
          <w:bottom w:val="single" w:color="0F6E6E" w:sz="4"/>
          <w:right w:val="single" w:color="0F6E6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1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t>Break-even point</w:t>
            </w:r>
          </w:p>
          <w:p>
            <w:r>
              <w:t>$220 fixed cost ÷ ≈ $17.35 blended contribution margin per customer ≈ 13 paying customers to cover the fixed platform cost (12 customers' contribution, $208.20, doesn't quite cover the $220 fixed baseline; 13 does — revised from the previous ≈12-customer estimate now that Section 4's margins reflect real per-message LLM cost).</w:t>
            </w:r>
          </w:p>
          <w:p>
            <w:r>
              <w:t>Doc 1's own pilot target (15–25 paying customers, Section 5) would still put the business past break-even on infrastructure — everything beyond that is close to pure contribution margin, since the cost base barely grows with each additional customer.</w:t>
            </w:r>
          </w:p>
        </w:tc>
      </w:tr>
    </w:tbl>
    <w:p>
      <w:pPr>
        <w:pStyle w:val="Heading1"/>
        <w:pBdr>
          <w:bottom w:val="single" w:color="0F6E6E" w:sz="6" w:space="4"/>
        </w:pBdr>
        <w:spacing w:after="160" w:before="360"/>
        <w:outlineLvl w:val="0"/>
      </w:pPr>
      <w:r>
        <w:rPr>
          <w:b/>
          <w:bCs/>
          <w:color w:val="1F3864"/>
          <w:sz w:val="30"/>
          <w:szCs w:val="30"/>
        </w:rPr>
        <w:t xml:space="preserve">6. Sensitivity — What Could Change This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160"/>
        <w:gridCol w:w="2900"/>
        <w:gridCol w:w="3300"/>
      </w:tblGrid>
      <w:tr>
        <w:trPr>
          <w:tblHeader/>
        </w:trPr>
        <w:tc>
          <w:tcPr>
            <w:tcW w:type="dxa" w:w="316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 / variable</w:t>
            </w:r>
          </w:p>
        </w:tc>
        <w:tc>
          <w:tcPr>
            <w:tcW w:type="dxa" w:w="29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  <w:tc>
          <w:tcPr>
            <w:tcW w:type="dxa" w:w="33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Confirmed, not hypothetical (2026-09-15): Meta charges for WhatsApp service messages from October 1, 2026 — 1,000 free/month per business phone number, then billed at the recipient-country utility rate. See Section 3.2.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Starter (400 msg/mo cap) stays under the free allowance, unaffected. Growth (1,500) and Pro (5,000) both exceed it at full cap usage — a real, currently-unpriced cost line on exactly the two tiers this doc's margins looked healthiest on.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Get Jordan's exact per-message rate from the business's own Meta Business Manager account before Oct 1; re-run Section 4 for Growth/Pro with it added. Not a "monitor for changes" item anymore — it has a fixed date, about two weeks out as of this revision.</w:t>
            </w:r>
          </w:p>
        </w:tc>
      </w:tr>
      <w:tr>
        <w:tc>
          <w:tcPr>
            <w:tcW w:type="dxa" w:w="31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Actual usage runs consistently near the message cap rather than below it.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Margins shown in Section 4 are already the worst case (100% cap utilization), so this is already priced in — but overage pricing (Section 2) is set above marginal cost specifically to protect margin if it happens anyway.</w:t>
            </w:r>
          </w:p>
        </w:tc>
      </w:tr>
      <w:tr>
        <w:tc>
          <w:tcPr>
            <w:tcW w:type="dxa" w:w="3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LLM prices drop further (the historical trend for both Anthropic and OpenAI).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Improves margin further; no action needed beyond periodically revisiting model routing (Doc 2, Section 3.3) to take advantage.</w:t>
            </w:r>
          </w:p>
        </w:tc>
      </w:tr>
      <w:tr>
        <w:tc>
          <w:tcPr>
            <w:tcW w:type="dxa" w:w="31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Payment gateway fee is higher than the 3% assumption for the chosen local provider.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Slightly compresses margin (roughly $0.15–0.30/customer/month at the assumed volumes).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Confirm actual gateway fee during vendor selection (Doc 3, Phase 4) and re-run this table before finalizing prices.</w:t>
            </w:r>
          </w:p>
        </w:tc>
      </w:tr>
      <w:tr>
        <w:tc>
          <w:tcPr>
            <w:tcW w:type="dxa" w:w="3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Willingness to pay in Jordan is lower than 10 JOD in practice.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Directly affects revenue.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Validate with the paid pilot (Doc 3, Phase 5; Doc 4, Section 3) before committing to final public pricing — treat these numbers as a hypothesis.</w:t>
            </w:r>
          </w:p>
        </w:tc>
      </w:tr>
      <w:tr>
        <w:tc>
          <w:tcPr>
            <w:tcW w:type="dxa" w:w="3160"/>
          </w:tcPr>
          <w:p>
            <w:r>
              <w:t>The Google Maps cost line (Section 3.5) is priced ($0.01/call, confirmed live) but not yet volume-modeled into Section 4.</w:t>
            </w:r>
          </w:p>
        </w:tc>
        <w:tc>
          <w:tcPr>
            <w:tcW w:type="dxa" w:w="2900"/>
          </w:tcPr>
          <w:p>
            <w:r>
              <w:t>Section 4's margins do not yet reflect this cost — they'll compress somewhat once real order-volume data lets it be added.</w:t>
            </w:r>
          </w:p>
        </w:tc>
        <w:tc>
          <w:tcPr>
            <w:tcW w:type="dxa" w:w="3300"/>
          </w:tcPr>
          <w:p>
            <w:r>
              <w:t>Gather real order-placement call-volume data, then re-run Section 4 with the new line before changing any tier price or cap.</w:t>
            </w:r>
          </w:p>
        </w:tc>
      </w:tr>
    </w:tbl>
    <w:p>
      <w:pPr>
        <w:pStyle w:val="Heading1"/>
        <w:pBdr>
          <w:bottom w:val="single" w:color="0F6E6E" w:sz="6" w:space="4"/>
        </w:pBdr>
        <w:spacing w:after="160" w:before="360"/>
        <w:outlineLvl w:val="0"/>
      </w:pPr>
      <w:r>
        <w:rPr>
          <w:b/>
          <w:bCs/>
          <w:color w:val="1F3864"/>
          <w:sz w:val="30"/>
          <w:szCs w:val="30"/>
        </w:rPr>
        <w:t xml:space="preserve">7. Why 10 JOD, Specifically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262626"/>
          <w:sz w:val="21"/>
          <w:szCs w:val="21"/>
        </w:rPr>
        <w:t xml:space="preserve">It undercuts the closest priced comparables once converted. </w:t>
      </w:r>
      <w:r>
        <w:rPr>
          <w:color w:val="262626"/>
          <w:sz w:val="21"/>
          <w:szCs w:val="21"/>
        </w:rPr>
        <w:t xml:space="preserve">Teammates.ai's cheapest paid tier is $25/mo; The Whatbot (WhatsApp-only) is $29/mo. Wittify AI's entry credit tier (≈33 AED) converts to roughly $9 — the nearest real comparable — putting 10 JOD ($14.10) in a defensible, still-affordable position just above it while covering three channels instead of one.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262626"/>
          <w:sz w:val="21"/>
          <w:szCs w:val="21"/>
        </w:rPr>
        <w:t xml:space="preserve">It sits far below the Gulf-agency price band. </w:t>
      </w:r>
      <w:r>
        <w:rPr>
          <w:color w:val="262626"/>
          <w:sz w:val="21"/>
          <w:szCs w:val="21"/>
        </w:rPr>
        <w:t xml:space="preserve">HalaFlow's cheapest tier (199 AED) converts to roughly $54/mo — nearly 4x the Starter price here — reflecting UAE purchasing power that doesn't match a Jordanian solo seller's budget (Doc 1, Section 2.1).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262626"/>
          <w:sz w:val="21"/>
          <w:szCs w:val="21"/>
        </w:rPr>
        <w:t xml:space="preserve">It's a psychologically easy "yes." </w:t>
      </w:r>
      <w:r>
        <w:rPr>
          <w:color w:val="262626"/>
          <w:sz w:val="21"/>
          <w:szCs w:val="21"/>
        </w:rPr>
        <w:t xml:space="preserve">10 JOD a month is roughly the cost of a single boosted Instagram post or a couple of coffees for many sellers — priced low enough to be an impulse decision rather than a budget conversation, consistent with the "self-serve, no sales call" design principle in Doc 1.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>It is genuinely profitable, not a loss-leader. Section 4 shows an ≈77% contribution margin on the Starter tier even at full cap usage, using real per-message LLM cost. That's only possible because, for this specific use case, the two cost lines that usually make cheap AI products unprofitable — expensive per-message platform fees and expensive frontier-model calls — are both structurally small here: Meta's core messaging is free by design (Section 3.2) and a classification/self-check pipeline lets most turns run on the cheap model (Section 3.1).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262626"/>
          <w:sz w:val="21"/>
          <w:szCs w:val="21"/>
        </w:rPr>
        <w:t xml:space="preserve">It's round and memorable for word-of-mouth marketing </w:t>
      </w:r>
      <w:r>
        <w:rPr>
          <w:color w:val="262626"/>
          <w:sz w:val="21"/>
          <w:szCs w:val="21"/>
        </w:rPr>
        <w:t xml:space="preserve">("10 dinars a month") — directly supporting the community/referral-driven acquisition strategy in Doc 4.</w:t>
      </w:r>
    </w:p>
    <w:p>
      <w:pPr>
        <w:pStyle w:val="Heading1"/>
        <w:pBdr>
          <w:bottom w:val="single" w:color="0F6E6E" w:sz="6" w:space="4"/>
        </w:pBdr>
        <w:spacing w:after="160" w:before="360"/>
        <w:outlineLvl w:val="0"/>
      </w:pPr>
      <w:r>
        <w:rPr>
          <w:b/>
          <w:bCs/>
          <w:color w:val="1F3864"/>
          <w:sz w:val="30"/>
          <w:szCs w:val="30"/>
        </w:rPr>
        <w:t xml:space="preserve">8. Future Pricing Evolution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Once Jordan pricing and product-market fit are validated (Doc 1, Section 8; Doc 4, Section 3), introduce AED-denominated tiers for Gulf expansion, priced closer to — but still below — the Gulf competitor band identified in Doc 1, Section 6 (e.g. positioned under HalaFlow's 199 AED entry tier).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Introduce usage-based overage as the primary lever for heavy users rather than constantly raising base prices, preserving the low, easy entry point that is core to the positioning.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Reserve a custom/enterprise tier (Doc 1, Section 4.2) for sellers who outgrow Pro — deep storefront integrations, multiple team seats, dedicated support — priced case-by-case like most of the competitive set, once there's real demand for it.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/>
      </w:r>
    </w:p>
    <w:p>
      <w:pPr>
        <w:spacing w:after="160" w:line="276"/>
      </w:pPr>
      <w:r>
        <w:rPr>
          <w:i/>
          <w:iCs/>
          <w:color w:val="595959"/>
          <w:sz w:val="21"/>
          <w:szCs w:val="21"/>
        </w:rPr>
        <w:t xml:space="preserve">This closes the five-document set: 01 Product Vision &amp; PRD, 02 System Architecture, 03 Development &amp; Deployment Roadmap, 04 Go-to-Market &amp; Marketing, 05 Pricing &amp; Unit Economics.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Reply Agent — Pricing &amp; Unit Economics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–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2026-08-20T11:41:15.893Z</dcterms:created>
  <dcterms:modified xsi:type="dcterms:W3CDTF">2026-08-20T11:41:15.907Z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