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left"/>
      </w:pPr>
      <w:r>
        <w:rPr>
          <w:b/>
          <w:bCs/>
          <w:color w:val="0F6E6E"/>
          <w:spacing w:val="20"/>
          <w:sz w:val="22"/>
          <w:szCs w:val="22"/>
        </w:rPr>
        <w:t xml:space="preserve">DOCUMENT 4 OF 5 — GO-TO-MARKET</w:t>
      </w:r>
    </w:p>
    <w:p>
      <w:pPr>
        <w:spacing w:after="200"/>
      </w:pPr>
      <w:r>
        <w:rPr>
          <w:b/>
          <w:bCs/>
          <w:color w:val="1F3864"/>
          <w:sz w:val="52"/>
          <w:szCs w:val="52"/>
        </w:rPr>
        <w:t xml:space="preserve">Marketing &amp; Launch Plan</w:t>
      </w:r>
    </w:p>
    <w:p>
      <w:pPr>
        <w:spacing w:after="500"/>
      </w:pPr>
      <w:r>
        <w:rPr>
          <w:color w:val="595959"/>
          <w:sz w:val="26"/>
          <w:szCs w:val="26"/>
        </w:rPr>
        <w:t xml:space="preserve">Positioning, acquisition channels, launch sequencing, and retention for the Jordan launch</w:t>
      </w:r>
    </w:p>
    <w:p>
      <w:pPr>
        <w:pBdr>
          <w:top w:val="single" w:color="0F6E6E" w:sz="8" w:space="8"/>
        </w:pBdr>
        <w:spacing w:after="60"/>
      </w:pPr>
    </w:p>
    <w:p>
      <w:pPr>
        <w:spacing w:after="40"/>
      </w:pPr>
      <w:r>
        <w:rPr>
          <w:color w:val="595959"/>
          <w:sz w:val="20"/>
          <w:szCs w:val="20"/>
        </w:rPr>
        <w:t xml:space="preserve">Prepared for: Hasan Jadallah</w:t>
      </w:r>
    </w:p>
    <w:p>
      <w:pPr>
        <w:spacing w:after="40"/>
      </w:pPr>
      <w:r>
        <w:rPr>
          <w:color w:val="595959"/>
          <w:sz w:val="20"/>
          <w:szCs w:val="20"/>
        </w:rPr>
        <w:t xml:space="preserve">Project: Meta Agent — Reply Agent (MVP use case)</w:t>
      </w:r>
    </w:p>
    <w:p>
      <w:pPr>
        <w:spacing w:after="40"/>
      </w:pPr>
      <w:r>
        <w:rPr>
          <w:color w:val="595959"/>
          <w:sz w:val="20"/>
          <w:szCs w:val="20"/>
        </w:rPr>
        <w:t xml:space="preserve">Date: August 2026</w:t>
      </w:r>
    </w:p>
    <w:p>
      <w:pPr>
        <w:spacing w:after="40"/>
      </w:pPr>
      <w:r>
        <w:rPr>
          <w:color w:val="595959"/>
          <w:sz w:val="20"/>
          <w:szCs w:val="20"/>
        </w:rPr>
        <w:t xml:space="preserve">Companion to: 01 — Product Vision, 05 — Pricing &amp; Unit Economics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1. Positioning</w:t>
      </w:r>
    </w:p>
    <w:tbl>
      <w:tblPr>
        <w:tblW w:type="pct" w:w="100%"/>
        <w:tblBorders>
          <w:top w:val="single" w:color="0F6E6E" w:sz="4"/>
          <w:left w:val="single" w:color="0F6E6E" w:sz="4"/>
          <w:bottom w:val="single" w:color="0F6E6E" w:sz="4"/>
          <w:right w:val="single" w:color="0F6E6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Core positioning statement</w:t>
            </w:r>
          </w:p>
          <w:p>
            <w:pPr>
              <w:spacing w:after="60"/>
            </w:pPr>
            <w:r>
              <w:rPr>
                <w:color w:val="262626"/>
                <w:sz w:val="21"/>
                <w:szCs w:val="21"/>
              </w:rPr>
              <w:t xml:space="preserve">For solo and small online sellers in Jordan who run their business through Instagram, WhatsApp, and Facebook DMs, Reply Agent is an AI assistant that answers customer messages automatically — in their own Arabic/English voice — so they can step away without losing sales. Unlike generic chatbot builders or Gulf-priced enterprise agencies, Reply Agent is built specifically for how Jordanian sellers actually chat, and it's priced so a solo seller can say yes on day one.</w:t>
            </w:r>
          </w:p>
        </w:tc>
      </w:tr>
    </w:tbl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1.1 Messaging pillars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262626"/>
          <w:sz w:val="21"/>
          <w:szCs w:val="21"/>
        </w:rPr>
        <w:t xml:space="preserve">"Take the afternoon off." </w:t>
      </w:r>
      <w:r>
        <w:rPr>
          <w:color w:val="262626"/>
          <w:sz w:val="21"/>
          <w:szCs w:val="21"/>
        </w:rPr>
        <w:t xml:space="preserve">The emotional hook — literal hours back, not an abstract productivity claim.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262626"/>
          <w:sz w:val="21"/>
          <w:szCs w:val="21"/>
        </w:rPr>
        <w:t xml:space="preserve">"It talks like you, not like a bot." </w:t>
      </w:r>
      <w:r>
        <w:rPr>
          <w:color w:val="262626"/>
          <w:sz w:val="21"/>
          <w:szCs w:val="21"/>
        </w:rPr>
        <w:t xml:space="preserve">Leads with Jordanian/Levantine dialect fluency, the hardest thing to fake and the easiest thing customers notice.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262626"/>
          <w:sz w:val="21"/>
          <w:szCs w:val="21"/>
        </w:rPr>
        <w:t xml:space="preserve">"It knows when to wake you up." </w:t>
      </w:r>
      <w:r>
        <w:rPr>
          <w:color w:val="262626"/>
          <w:sz w:val="21"/>
          <w:szCs w:val="21"/>
        </w:rPr>
        <w:t xml:space="preserve">Addresses the trust objection head-on — this isn't a black box that might promise something you can't deliver.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262626"/>
          <w:sz w:val="21"/>
          <w:szCs w:val="21"/>
        </w:rPr>
        <w:t xml:space="preserve">"One tool, all three apps." </w:t>
      </w:r>
      <w:r>
        <w:rPr>
          <w:color w:val="262626"/>
          <w:sz w:val="21"/>
          <w:szCs w:val="21"/>
        </w:rPr>
        <w:t xml:space="preserve">Speaks to sellers already juggling separate inboxes for Instagram, WhatsApp, and Facebook.</w:t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2. Where to Reach the ICP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Jordanian online sellers cluster in specific, findable places — this is a segment you can reach directly rather than through broad advertising.</w:t>
      </w:r>
    </w:p>
    <w:tbl>
      <w:tblPr>
        <w:tblW w:type="dxa" w:w="932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3760"/>
        <w:gridCol w:w="31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37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31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fits this ICP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Instagram &amp; TikTok ads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Short demo videos ("watch this DM get answered while the owner is asleep") targeted by interest/behavior at small-business owners in Jordan.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This is literally where the ICP already spends their time and manages their business — the ad platform doubles as a live proof-of-concept surface.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Jordanian e-commerce/seller Facebook groups &amp; WhatsApp communities</w:t>
            </w:r>
          </w:p>
        </w:tc>
        <w:tc>
          <w:tcPr>
            <w:tcW w:type="dxa" w:w="37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Direct, value-first participation (answering questions, sharing tips) before any pitch; then a soft offer of a free trial.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High-trust, high-density concentration of the exact ICP; word of mouth travels fast in these groups.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Partnerships with couriers &amp; payment rails (e.g. Aramex, local delivery services, CliQ-enabled banks)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Co-marketing or referral arrangements — these companies already touch every online seller in Jordan.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Reaches the ICP through a trusted, already-adopted relationship rather than a cold ad.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Startup/SME ecosystem (e.g. Oasis500, Zain Innovation Campus, local business incubators)</w:t>
            </w:r>
          </w:p>
        </w:tc>
        <w:tc>
          <w:tcPr>
            <w:tcW w:type="dxa" w:w="37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Demo days, sponsorships, founder-network introductions.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Credibility and warm introductions in a market where trust in a new AI product matters.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Direct outreach to Instagram shop accounts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Manually identify active sellers (visible follower count, frequent posts, DM-based ordering) and reach out directly, especially for the first 10–20 pilot customers.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Fastest, most controllable path to the first real users and testimonials — do this before spending on ads.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Referral program</w:t>
            </w:r>
          </w:p>
        </w:tc>
        <w:tc>
          <w:tcPr>
            <w:tcW w:type="dxa" w:w="37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Existing customers get a discount/free month for referring another seller.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Sellers know other sellers; this segment trusts peer recommendation far more than advertising.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Content: before/after demo videos and a simple ROI angle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Show a real (anonymized) conversation the agent handled, plus a simple calculator: hours saved × what your time is worth vs. the monthly fee.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Concrete, visual proof beats abstract claims for a non-technical buyer; mirrors the ROI-calculator tactic that Synthflow uses successfully in the competitive set (Doc 1, Section 6).</w:t>
            </w:r>
          </w:p>
        </w:tc>
      </w:tr>
    </w:tbl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3. Launch Sequencing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b/>
          <w:bCs/>
          <w:color w:val="262626"/>
          <w:sz w:val="21"/>
          <w:szCs w:val="21"/>
        </w:rPr>
        <w:t xml:space="preserve">Private pilot (Phase 5 of Doc 3): </w:t>
      </w:r>
      <w:r>
        <w:rPr>
          <w:color w:val="262626"/>
          <w:sz w:val="21"/>
          <w:szCs w:val="21"/>
        </w:rPr>
        <w:t xml:space="preserve">10–20 hand-picked sellers, recruited via direct outreach, on a free or heavily discounted trial in exchange for feedback and permission to use their results as a case study.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b/>
          <w:bCs/>
          <w:color w:val="262626"/>
          <w:sz w:val="21"/>
          <w:szCs w:val="21"/>
        </w:rPr>
        <w:t xml:space="preserve">Waitlist + soft launch: </w:t>
      </w:r>
      <w:r>
        <w:rPr>
          <w:color w:val="262626"/>
          <w:sz w:val="21"/>
          <w:szCs w:val="21"/>
        </w:rPr>
        <w:t xml:space="preserve">Open signup with a short waitlist to manage support load, seeded with testimonials and a demo video from the pilot.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b/>
          <w:bCs/>
          <w:color w:val="262626"/>
          <w:sz w:val="21"/>
          <w:szCs w:val="21"/>
        </w:rPr>
        <w:t xml:space="preserve">Public launch: </w:t>
      </w:r>
      <w:r>
        <w:rPr>
          <w:color w:val="262626"/>
          <w:sz w:val="21"/>
          <w:szCs w:val="21"/>
        </w:rPr>
        <w:t xml:space="preserve">Full self-serve signup, ad spend turned on, referral program live, outreach to seller communities and courier/payment partners.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b/>
          <w:bCs/>
          <w:color w:val="262626"/>
          <w:sz w:val="21"/>
          <w:szCs w:val="21"/>
        </w:rPr>
        <w:t xml:space="preserve">Expansion trigger: </w:t>
      </w:r>
      <w:r>
        <w:rPr>
          <w:color w:val="262626"/>
          <w:sz w:val="21"/>
          <w:szCs w:val="21"/>
        </w:rPr>
        <w:t xml:space="preserve">Once pricing and product-market fit are validated in Jordan (Doc 1, Section 8 risk list), extend marketing and pricing toward the wider Gulf/MENA market at AED-equivalent tiers, per Doc 5, Section 8.</w:t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4. Sales Motion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Primary: self-serve. A seller signs up, connects a channel via Meta's embedded flow, uploads a catalog, and is live — no salesperson required (Doc 1, Section 3.1; Doc 3, Phase 4).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Light-touch concierge for pilot and early customers: personally help the first cohort set up their knowledge base and escalation rules — this is both a support cost worth paying early and a source of product feedback.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No enterprise sales motion in V1 — that's a later-stage answer for the "Pro"/custom tier once there's demand (Doc 1, Section 4.2), not a V1 requirement.</w:t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5. Retention &amp; Expansion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Usage-based upsell: sellers who consistently approach their tier's message cap get a natural, well-timed prompt to upgrade (Doc 5, Section 2).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Feature-based upsell: proactive utility messages (restock alerts, abandoned-cart nudges) as a Pro-tier feature once the core reply agent is trusted.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Churn watch: the auto-resolution rate and escalation precision metrics from Doc 1, Section 5 are also retention signals — a seller whose auto-resolution rate is low is at churn risk and should get proactive help improving their knowledge base.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Referral loop compounds acquisition and retention together — rewarding both the referrer and the new signup.</w:t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6. Budget-Conscious Tactics for a Bootstrapped Launch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Weight early spend toward direct outreach and community participation (near-zero cash cost, founder time only) over paid ads until the pilot produces a real demo video and testimonials worth paying to amplify.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Treat the pilot cohort's success stories as the primary marketing asset — a 30-second screen recording of a real DM being answered at 2am is more persuasive than any ad copy.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Use the transparent JOD pricing itself as a marketing differentiator (Doc 1, Section 6.2) — publish it prominently, since "contact for quote" is the norm among regional competitors and a source of friction you can exploit honestly.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/>
      </w:r>
    </w:p>
    <w:p>
      <w:pPr>
        <w:spacing w:after="160" w:line="276"/>
      </w:pPr>
      <w:r>
        <w:rPr>
          <w:i/>
          <w:iCs/>
          <w:color w:val="595959"/>
          <w:sz w:val="21"/>
          <w:szCs w:val="21"/>
        </w:rPr>
        <w:t xml:space="preserve">Next document: 05 — Pricing &amp; Unit Economics.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Reply Agent — Go-to-Market &amp; Marketing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2026-08-20T09:41:56.035Z</dcterms:created>
  <dcterms:modified xsi:type="dcterms:W3CDTF">2026-08-20T09:41:56.036Z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