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6C1FD">
      <w:pPr>
        <w:spacing w:after="120"/>
        <w:jc w:val="center"/>
      </w:pPr>
      <w:bookmarkStart w:id="0" w:name="_GoBack"/>
      <w:r>
        <w:rPr>
          <w:rFonts w:ascii="微软雅黑" w:hAnsi="微软雅黑" w:eastAsia="微软雅黑" w:cs="微软雅黑"/>
        </w:rPr>
        <w:t>机电设备在线招投标系统</w:t>
      </w:r>
    </w:p>
    <w:p w14:paraId="3A98FEE0">
      <w:pPr>
        <w:spacing w:after="120"/>
        <w:jc w:val="center"/>
      </w:pPr>
      <w:r>
        <w:rPr>
          <w:rFonts w:ascii="微软雅黑" w:hAnsi="微软雅黑" w:eastAsia="微软雅黑" w:cs="微软雅黑"/>
        </w:rPr>
        <w:t>设计说明书</w:t>
      </w:r>
    </w:p>
    <w:p w14:paraId="78093D7A">
      <w:pPr>
        <w:spacing w:after="120"/>
        <w:jc w:val="center"/>
      </w:pPr>
      <w:r>
        <w:rPr>
          <w:rFonts w:ascii="微软雅黑" w:hAnsi="微软雅黑" w:eastAsia="微软雅黑" w:cs="微软雅黑"/>
        </w:rPr>
        <w:t>生成时间：2025/11/13 23:15:17</w:t>
      </w:r>
    </w:p>
    <w:p w14:paraId="06A09E72">
      <w:pPr>
        <w:spacing w:after="300"/>
      </w:pPr>
    </w:p>
    <w:p w14:paraId="0A01AF40">
      <w:pPr>
        <w:pStyle w:val="2"/>
        <w:spacing w:after="200"/>
      </w:pPr>
      <w:r>
        <w:t>一、项目概述</w:t>
      </w:r>
    </w:p>
    <w:p w14:paraId="0C3BF95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项目名称：机电设备在线招投标系统（bidding-system）</w:t>
      </w:r>
    </w:p>
    <w:p w14:paraId="28B6D23D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目标：提供线上发布招标、投标参与、评审与中标管理的平台</w:t>
      </w:r>
    </w:p>
    <w:p w14:paraId="2D9DD14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角色：管理员、招标单位、制造商（投标方）</w:t>
      </w:r>
    </w:p>
    <w:p w14:paraId="06360D4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技术栈：前端 Vue+Element UI；后端 Node.js/Express+MySQL；鉴权 JWT</w:t>
      </w:r>
    </w:p>
    <w:p w14:paraId="1B70E901">
      <w:pPr>
        <w:pStyle w:val="2"/>
        <w:spacing w:after="200"/>
      </w:pPr>
      <w:r>
        <w:t>二、总体架构</w:t>
      </w:r>
    </w:p>
    <w:p w14:paraId="14E4B2B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前后端分离：前端 SPA 通过 axios 调用后端 REST API</w:t>
      </w:r>
    </w:p>
    <w:p w14:paraId="1F78A1F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鉴权与会话：登录后颁发 JWT，前端携带 Authorization Bearer 头</w:t>
      </w:r>
    </w:p>
    <w:p w14:paraId="7876938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数据持久化：MySQL 存储用户、招标、投标、消息等数据</w:t>
      </w:r>
    </w:p>
    <w:p w14:paraId="561014DD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目录结构：bidding-system/src、bidding-system/server、database/schema.sql</w:t>
      </w:r>
    </w:p>
    <w:p w14:paraId="55FB6CB0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部署模式：本地开发双端运行；生产可容器化或分机部署</w:t>
      </w:r>
    </w:p>
    <w:p w14:paraId="75B74083">
      <w:pPr>
        <w:pStyle w:val="2"/>
        <w:spacing w:after="200"/>
      </w:pPr>
      <w:r>
        <w:t>三、功能需求</w:t>
      </w:r>
    </w:p>
    <w:p w14:paraId="61907920">
      <w:pPr>
        <w:pStyle w:val="3"/>
        <w:spacing w:after="200"/>
      </w:pPr>
      <w:r>
        <w:t>3.1 管理员</w:t>
      </w:r>
    </w:p>
    <w:p w14:paraId="3E520C2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管理用户与角色、查看系统统计、审核关键操作</w:t>
      </w:r>
    </w:p>
    <w:p w14:paraId="0BC3FFB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管理招标项目与留言，处理异常/敏感操作（删除、封禁）</w:t>
      </w:r>
    </w:p>
    <w:p w14:paraId="59393FE1">
      <w:pPr>
        <w:pStyle w:val="3"/>
        <w:spacing w:after="200"/>
      </w:pPr>
      <w:r>
        <w:t>3.2 招标单位</w:t>
      </w:r>
    </w:p>
    <w:p w14:paraId="653A7BC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发布/编辑招标、查看投标、评审与结果确认</w:t>
      </w:r>
    </w:p>
    <w:p w14:paraId="079A811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留言沟通、公告中标结果</w:t>
      </w:r>
    </w:p>
    <w:p w14:paraId="5B9F9647">
      <w:pPr>
        <w:pStyle w:val="3"/>
        <w:spacing w:after="200"/>
      </w:pPr>
      <w:r>
        <w:t>3.3 制造商</w:t>
      </w:r>
    </w:p>
    <w:p w14:paraId="62CDD4B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浏览与搜索招标，提交投标（报价、交期、资质）</w:t>
      </w:r>
    </w:p>
    <w:p w14:paraId="60FAF58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跟踪投标进度、沟通交流、查看中标结果</w:t>
      </w:r>
    </w:p>
    <w:p w14:paraId="5AFDDEEA">
      <w:pPr>
        <w:pStyle w:val="3"/>
        <w:spacing w:after="200"/>
      </w:pPr>
      <w:r>
        <w:t>3.4 通用</w:t>
      </w:r>
    </w:p>
    <w:p w14:paraId="78AE7BF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列表分页与搜索、详情页浏览、消息留言与回复、文件上传（扩展）</w:t>
      </w:r>
    </w:p>
    <w:p w14:paraId="06D7D552">
      <w:pPr>
        <w:pStyle w:val="2"/>
        <w:spacing w:after="200"/>
      </w:pPr>
      <w:r>
        <w:t>四、非功能性需求</w:t>
      </w:r>
    </w:p>
    <w:p w14:paraId="0B434A3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安全：密码加密存储、JWT 鉴权、参数校验与防注入</w:t>
      </w:r>
    </w:p>
    <w:p w14:paraId="0189158C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性能：分页查询、数据库索引、请求限流（可选）</w:t>
      </w:r>
    </w:p>
    <w:p w14:paraId="50D34D6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可维护：统一接口风格、模块化代码、日志与错误码</w:t>
      </w:r>
    </w:p>
    <w:p w14:paraId="06FDC15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兼容：前端对不同分页返回格式提供兼容</w:t>
      </w:r>
    </w:p>
    <w:p w14:paraId="22F0DF11">
      <w:pPr>
        <w:pStyle w:val="2"/>
        <w:spacing w:after="200"/>
      </w:pPr>
      <w:r>
        <w:t>五、前端设计</w:t>
      </w:r>
    </w:p>
    <w:p w14:paraId="7559815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技术栈：Vue、Vue Router、axios、Element UI</w:t>
      </w:r>
    </w:p>
    <w:p w14:paraId="76880A5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主要页面：登录、首页、招标详情、投标提交、管理后台（Dashboard.vue）</w:t>
      </w:r>
    </w:p>
    <w:p w14:paraId="31B3A0D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状态与鉴权：store 持有用户与角色；路由守卫控制权限</w:t>
      </w:r>
    </w:p>
    <w:p w14:paraId="00E7DD5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服务封装：src/services/api.js 提供 user/tender/bid/message/admin API</w:t>
      </w:r>
    </w:p>
    <w:p w14:paraId="226BDE9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分页实现：Element 分页组件，支持 :current-page.sync 与 :page-size.sync</w:t>
      </w:r>
    </w:p>
    <w:p w14:paraId="6E332E22">
      <w:pPr>
        <w:pStyle w:val="3"/>
        <w:spacing w:after="200"/>
      </w:pPr>
      <w:r>
        <w:t>5.1 页面与组件结构</w:t>
      </w:r>
    </w:p>
    <w:p w14:paraId="15851078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登录页：表单校验、错误提示、登录后跳转角色首页</w:t>
      </w:r>
    </w:p>
    <w:p w14:paraId="626548B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首页：招标卡片列表、搜索框、分页条、跳转详情</w:t>
      </w:r>
    </w:p>
    <w:p w14:paraId="66C0A95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招标详情：标的说明、附件、留言区、投标入口</w:t>
      </w:r>
    </w:p>
    <w:p w14:paraId="68E5C1F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投标提交：价格、交期、质保、资质上传与校验</w:t>
      </w:r>
    </w:p>
    <w:p w14:paraId="011079E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管理后台：用户/招标/消息管理，分页与筛选</w:t>
      </w:r>
    </w:p>
    <w:p w14:paraId="18E1737B">
      <w:pPr>
        <w:pStyle w:val="3"/>
        <w:spacing w:after="200"/>
      </w:pPr>
      <w:r>
        <w:t>5.2 交互与状态流转</w:t>
      </w:r>
    </w:p>
    <w:p w14:paraId="3C7B279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鉴权：登录后保存 token 与角色，路由守卫控制访问</w:t>
      </w:r>
    </w:p>
    <w:p w14:paraId="783E121C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分页：同步 current-page 与 page-size，触发加载并刷新列表</w:t>
      </w:r>
    </w:p>
    <w:p w14:paraId="00A282C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搜索：关键字/状态筛选，防抖触发请求与结果展示</w:t>
      </w:r>
    </w:p>
    <w:p w14:paraId="68CDD4B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异常：401/403/500 的统一提示与重试机制</w:t>
      </w:r>
    </w:p>
    <w:p w14:paraId="6F6C3583">
      <w:pPr>
        <w:pStyle w:val="2"/>
        <w:spacing w:after="200"/>
      </w:pPr>
      <w:r>
        <w:t>六、后端设计</w:t>
      </w:r>
    </w:p>
    <w:p w14:paraId="30AE4E6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技术栈：Node.js + Express，数据库 MySQL</w:t>
      </w:r>
    </w:p>
    <w:p w14:paraId="5F9E5360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模块划分：鉴权、用户、招标、投标、消息、管理员</w:t>
      </w:r>
    </w:p>
    <w:p w14:paraId="4338A810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接口示例：GET /api/admin/users、GET /api/tenders、POST /api/bids 等</w:t>
      </w:r>
    </w:p>
    <w:p w14:paraId="3BC7246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中间件：JWT 校验、角色鉴权、错误处理、CORS</w:t>
      </w:r>
    </w:p>
    <w:p w14:paraId="0D3EF3C2">
      <w:pPr>
        <w:pStyle w:val="3"/>
        <w:spacing w:after="200"/>
      </w:pPr>
      <w:r>
        <w:t>6.1 模块设计（关键）</w:t>
      </w:r>
    </w:p>
    <w:p w14:paraId="42503F1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鉴权模块：登录/退出、JWT 颁发与验证、中间件集成</w:t>
      </w:r>
    </w:p>
    <w:p w14:paraId="063022B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用户模块：注册/角色分配/状态管理、管理员用户列表分页</w:t>
      </w:r>
    </w:p>
    <w:p w14:paraId="712FE87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招标模块：发布/编辑/查询/详情、状态（草稿/发布/截止/已中标）</w:t>
      </w:r>
    </w:p>
    <w:p w14:paraId="02240DA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投标模块：提交/查询/评审打分、排名与结果确认</w:t>
      </w:r>
    </w:p>
    <w:p w14:paraId="1694D697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消息模块：留言/回复、按招标或用户维度聚合</w:t>
      </w:r>
    </w:p>
    <w:p w14:paraId="3B1E0C9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管理员模块：系统统计、审计日志、关键操作审批（可扩展）</w:t>
      </w:r>
    </w:p>
    <w:p w14:paraId="6DBEE310">
      <w:pPr>
        <w:pStyle w:val="3"/>
        <w:spacing w:after="200"/>
      </w:pPr>
      <w:r>
        <w:t>6.2 路由与服务层分离</w:t>
      </w:r>
    </w:p>
    <w:p w14:paraId="5CA3909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路由：参数校验与权限检查，调用服务层进行业务处理</w:t>
      </w:r>
    </w:p>
    <w:p w14:paraId="7C5438DC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服务：数据库读写、事务与错误处理、日志记录</w:t>
      </w:r>
    </w:p>
    <w:p w14:paraId="1E73E4AD">
      <w:pPr>
        <w:pStyle w:val="2"/>
        <w:spacing w:after="200"/>
      </w:pPr>
      <w:r>
        <w:t>七、数据模型</w:t>
      </w:r>
    </w:p>
    <w:p w14:paraId="57B704B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users：id, username, password_hash, role, status, created_at</w:t>
      </w:r>
    </w:p>
    <w:p w14:paraId="0C227C7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tender_units：id, name, contact, created_at</w:t>
      </w:r>
    </w:p>
    <w:p w14:paraId="01D1480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manufacturers：id, name, license_no, contact, created_at</w:t>
      </w:r>
    </w:p>
    <w:p w14:paraId="43DF184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tenders：id, title, description, publisher_id, budget, deadline, status, created_at</w:t>
      </w:r>
    </w:p>
    <w:p w14:paraId="46C1872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bids：id, tender_id, manufacturer_id, price, lead_time, warranty, score, status, created_at</w:t>
      </w:r>
    </w:p>
    <w:p w14:paraId="0BB3730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messages：id, target_type, target_id, author_id, content, created_at</w:t>
      </w:r>
    </w:p>
    <w:p w14:paraId="1B257C5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replies（可选）：id, message_id, author_id, content, created_at</w:t>
      </w:r>
    </w:p>
    <w:p w14:paraId="22FB14C5">
      <w:pPr>
        <w:pStyle w:val="3"/>
        <w:spacing w:after="200"/>
      </w:pPr>
      <w:r>
        <w:t>7.1 数据库设计（关键）</w:t>
      </w:r>
    </w:p>
    <w:p w14:paraId="62241B0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范式与约束：主键、自增、外键、唯一约束与非空约束</w:t>
      </w:r>
    </w:p>
    <w:p w14:paraId="5043B79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索引策略：tenders(title, deadline)、bids(tender_id)、users(username)</w:t>
      </w:r>
    </w:p>
    <w:p w14:paraId="2A13118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安全策略：密码哈希、最小权限、审计字段（created_at/updated_at）</w:t>
      </w:r>
    </w:p>
    <w:p w14:paraId="052A8F72">
      <w:pPr>
        <w:pStyle w:val="3"/>
        <w:spacing w:after="200"/>
      </w:pPr>
      <w:r>
        <w:t>7.2 表结构示例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78"/>
        <w:gridCol w:w="6889"/>
        <w:gridCol w:w="1379"/>
      </w:tblGrid>
      <w:tr w14:paraId="57AB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3401A85A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表名</w:t>
            </w:r>
          </w:p>
        </w:tc>
        <w:tc>
          <w:p w14:paraId="597FB49E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字段（类型/约束）</w:t>
            </w:r>
          </w:p>
        </w:tc>
        <w:tc>
          <w:p w14:paraId="73780A0E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说明</w:t>
            </w:r>
          </w:p>
        </w:tc>
      </w:tr>
      <w:tr w14:paraId="0C65A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8FAB1E6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users</w:t>
            </w:r>
          </w:p>
        </w:tc>
        <w:tc>
          <w:p w14:paraId="62E2C269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id(PK), username(UNIQUE), password_hash, role, status</w:t>
            </w:r>
          </w:p>
        </w:tc>
        <w:tc>
          <w:p w14:paraId="445698D3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系统用户与角色</w:t>
            </w:r>
          </w:p>
        </w:tc>
      </w:tr>
      <w:tr w14:paraId="70445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7052288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tenders</w:t>
            </w:r>
          </w:p>
        </w:tc>
        <w:tc>
          <w:p w14:paraId="29C92682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id(PK), title, description, publisher_id(FK), budget, deadline, status</w:t>
            </w:r>
          </w:p>
        </w:tc>
        <w:tc>
          <w:p w14:paraId="36EAE582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招标项目主表</w:t>
            </w:r>
          </w:p>
        </w:tc>
      </w:tr>
      <w:tr w14:paraId="1258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02861F01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bids</w:t>
            </w:r>
          </w:p>
        </w:tc>
        <w:tc>
          <w:p w14:paraId="0BBC99A7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id(PK), tender_id(FK), manufacturer_id(FK), price, lead_time, warranty, score, status</w:t>
            </w:r>
          </w:p>
        </w:tc>
        <w:tc>
          <w:p w14:paraId="003FC72A">
            <w:pPr>
              <w:spacing w:after="120"/>
              <w:jc w:val="left"/>
            </w:pPr>
            <w:r>
              <w:rPr>
                <w:rFonts w:ascii="微软雅黑" w:hAnsi="微软雅黑" w:eastAsia="微软雅黑" w:cs="微软雅黑"/>
              </w:rPr>
              <w:t>投标记录与评审分</w:t>
            </w:r>
          </w:p>
        </w:tc>
      </w:tr>
    </w:tbl>
    <w:p w14:paraId="2B5AED1B">
      <w:pPr>
        <w:pStyle w:val="2"/>
        <w:spacing w:after="200"/>
      </w:pPr>
      <w:r>
        <w:t>八、权限与安全</w:t>
      </w:r>
    </w:p>
    <w:p w14:paraId="322196F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身份鉴别：/api/login 返回 JWT，前端在请求头携带</w:t>
      </w:r>
    </w:p>
    <w:p w14:paraId="2871C63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授权模型：基于角色的路由与资源访问控制</w:t>
      </w:r>
    </w:p>
    <w:p w14:paraId="20E0D9C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密码安全：bcrypt 哈希存储，注册与重置校验复杂度</w:t>
      </w:r>
    </w:p>
    <w:p w14:paraId="6F1EB1C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防注入：参数化 SQL/ORM 与入参校验</w:t>
      </w:r>
    </w:p>
    <w:p w14:paraId="570A838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CORS 与 CSRF：开启 CORS，敏感操作严格授权</w:t>
      </w:r>
    </w:p>
    <w:p w14:paraId="47296E4A">
      <w:pPr>
        <w:pStyle w:val="2"/>
        <w:spacing w:after="200"/>
      </w:pPr>
      <w:r>
        <w:t>九、接口规范</w:t>
      </w:r>
    </w:p>
    <w:p w14:paraId="7EB1A69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统一列表返回：推荐 {items, total}；分页参数 page/pageSize</w:t>
      </w:r>
    </w:p>
    <w:p w14:paraId="38178FB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错误结构：{code, message, data}；错误码分区：认证/参数/资源</w:t>
      </w:r>
    </w:p>
    <w:p w14:paraId="36AFCD3D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示例：GET /api/admin/users?page=1&amp;pageSize=10&amp;keyword=foo → {items,total}</w:t>
      </w:r>
    </w:p>
    <w:p w14:paraId="720EAAD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兼容策略：前端对返回纯数组时进行本地切片显示</w:t>
      </w:r>
    </w:p>
    <w:p w14:paraId="18C80F00">
      <w:pPr>
        <w:pStyle w:val="2"/>
        <w:spacing w:after="200"/>
      </w:pPr>
      <w:r>
        <w:t>十、关键流程</w:t>
      </w:r>
    </w:p>
    <w:p w14:paraId="38E253F6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登录：提交凭证→后端校验→返回 JWT→前端存储→权限放行</w:t>
      </w:r>
    </w:p>
    <w:p w14:paraId="454E823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招标发布到投标：发布→浏览→投标→评审→中标</w:t>
      </w:r>
    </w:p>
    <w:p w14:paraId="1DD2EB3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留言沟通：对象下留言→双方回复→时间线留存</w:t>
      </w:r>
    </w:p>
    <w:p w14:paraId="195BA4C1">
      <w:pPr>
        <w:pStyle w:val="2"/>
        <w:spacing w:after="200"/>
      </w:pPr>
      <w:r>
        <w:t>十一、分页与搜索</w:t>
      </w:r>
    </w:p>
    <w:p w14:paraId="1119F19F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前端：分页组件布局 prev, pager, next, sizes, total</w:t>
      </w:r>
    </w:p>
    <w:p w14:paraId="1D15954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参数：page/pageSize，支持 keyword/status/sort</w:t>
      </w:r>
    </w:p>
    <w:p w14:paraId="2323C748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后端：LIMIT/OFFSET，返回 items+total</w:t>
      </w:r>
    </w:p>
    <w:p w14:paraId="59202EC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日志：管理员端打印分页参数与返回数量</w:t>
      </w:r>
    </w:p>
    <w:p w14:paraId="0322BB5A">
      <w:pPr>
        <w:pStyle w:val="2"/>
        <w:spacing w:after="200"/>
      </w:pPr>
      <w:r>
        <w:t>十二、日志与错误处理</w:t>
      </w:r>
    </w:p>
    <w:p w14:paraId="5BB100C1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请求日志：记录路径、方法、用户、耗时</w:t>
      </w:r>
    </w:p>
    <w:p w14:paraId="0D8C517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错误处理：统一中间件，区分 4xx 与 5xx</w:t>
      </w:r>
    </w:p>
    <w:p w14:paraId="502309C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前端提示：对常见错误提供清晰提示与重试建议</w:t>
      </w:r>
    </w:p>
    <w:p w14:paraId="09FC9EC0">
      <w:pPr>
        <w:pStyle w:val="2"/>
        <w:spacing w:after="200"/>
      </w:pPr>
      <w:r>
        <w:t>十三、部署与运行</w:t>
      </w:r>
    </w:p>
    <w:p w14:paraId="3E6B12F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环境配置：server/.env 设置数据库、JWT 密钥、端口</w:t>
      </w:r>
    </w:p>
    <w:p w14:paraId="365C130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前端：npm install &amp;&amp; npm run dev（默认 http://localhost:8082/）</w:t>
      </w:r>
    </w:p>
    <w:p w14:paraId="09585A3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后端：npm install &amp;&amp; npm start（默认 http://localhost:3000/）</w:t>
      </w:r>
    </w:p>
    <w:p w14:paraId="05DFB53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数据初始化：server/seed.js 生成基础数据与默认管理员</w:t>
      </w:r>
    </w:p>
    <w:p w14:paraId="3DFE7CFC">
      <w:pPr>
        <w:pStyle w:val="2"/>
        <w:spacing w:after="200"/>
      </w:pPr>
      <w:r>
        <w:t>十四、测试与质量保证</w:t>
      </w:r>
    </w:p>
    <w:p w14:paraId="1C8E49FF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后端单元测试：认证、分页、权限等</w:t>
      </w:r>
    </w:p>
    <w:p w14:paraId="225167B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前端端到端：登录、分页、投标提交流程（Cypress）</w:t>
      </w:r>
    </w:p>
    <w:p w14:paraId="0E1AE99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覆盖率：关键模块优先达到目标</w:t>
      </w:r>
    </w:p>
    <w:p w14:paraId="5D465646">
      <w:pPr>
        <w:pStyle w:val="2"/>
        <w:spacing w:after="200"/>
      </w:pPr>
      <w:r>
        <w:t>十五、性能与扩展性</w:t>
      </w:r>
    </w:p>
    <w:p w14:paraId="21D93EA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数据库索引：tenders(title, deadline)、bids(tender_id)、users(username)</w:t>
      </w:r>
    </w:p>
    <w:p w14:paraId="21687F3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分页优化：避免全表扫描；必要时采用游标分页</w:t>
      </w:r>
    </w:p>
    <w:p w14:paraId="06F1EA5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静态资源：构建压缩与可选 CDN</w:t>
      </w:r>
    </w:p>
    <w:p w14:paraId="097B5923">
      <w:pPr>
        <w:pStyle w:val="2"/>
        <w:spacing w:after="200"/>
      </w:pPr>
      <w:r>
        <w:t>十六、风险与边界</w:t>
      </w:r>
    </w:p>
    <w:p w14:paraId="0039F7AF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合规：数据留存与隐私需满足本地法规</w:t>
      </w:r>
    </w:p>
    <w:p w14:paraId="28E06F4F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文件安全：附件类型/大小校验与病毒扫描（扩展）</w:t>
      </w:r>
    </w:p>
    <w:p w14:paraId="40FC04B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并发一致性：评审与修改需事务/锁</w:t>
      </w:r>
    </w:p>
    <w:p w14:paraId="697BDFC7">
      <w:pPr>
        <w:pStyle w:val="2"/>
        <w:spacing w:after="200"/>
      </w:pPr>
      <w:r>
        <w:t>十七、演示要点（课程汇报）</w:t>
      </w:r>
    </w:p>
    <w:p w14:paraId="04AB0ABC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架构与技术栈（Vue/Express/MySQL/JWT）</w:t>
      </w:r>
    </w:p>
    <w:p w14:paraId="0E360170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三角色功能与流程演示（分页、投标、评审）</w:t>
      </w:r>
    </w:p>
    <w:p w14:paraId="617ED384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安全机制（密码哈希、JWT、权限控制）</w:t>
      </w:r>
    </w:p>
    <w:p w14:paraId="6AB6A8CA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接口规范与调试（/api/admin/users 分页与日志）</w:t>
      </w:r>
    </w:p>
    <w:p w14:paraId="21268768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本次改进：前端分页兼容、日志追踪、UI 对齐</w:t>
      </w:r>
    </w:p>
    <w:p w14:paraId="61AE7205">
      <w:pPr>
        <w:pStyle w:val="2"/>
        <w:spacing w:after="200"/>
      </w:pPr>
      <w:r>
        <w:t>十八、后续优化建议</w:t>
      </w:r>
    </w:p>
    <w:p w14:paraId="1EA721F8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统一列表返回 {items,total}，后端筛选与排序</w:t>
      </w:r>
    </w:p>
    <w:p w14:paraId="7C6CFAE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评审打分与中标工作流、评审报告</w:t>
      </w:r>
    </w:p>
    <w:p w14:paraId="244B30B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审计日志与报表导出（CSV/Excel/图表）</w:t>
      </w:r>
    </w:p>
    <w:p w14:paraId="78C4162C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附件上传与合规，通知订阅（邮件/SMS）</w:t>
      </w:r>
    </w:p>
    <w:p w14:paraId="5661E9F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细粒度权限与审批流，可配置角色与授权</w:t>
      </w:r>
    </w:p>
    <w:p w14:paraId="11C0089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统一错误码与参数校验（Joi/Zod），完善端到端测试</w:t>
      </w:r>
    </w:p>
    <w:p w14:paraId="1494DB73">
      <w:pPr>
        <w:pStyle w:val="2"/>
        <w:spacing w:after="200"/>
      </w:pPr>
      <w:r>
        <w:t>十九、用户界面设计</w:t>
      </w:r>
    </w:p>
    <w:p w14:paraId="57FE3746">
      <w:pPr>
        <w:pStyle w:val="3"/>
        <w:spacing w:after="200"/>
      </w:pPr>
      <w:r>
        <w:t>19.1 页面导航与信息架构</w:t>
      </w:r>
    </w:p>
    <w:p w14:paraId="0ACF448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页头：品牌、导航、登录状态与角色切换</w:t>
      </w:r>
    </w:p>
    <w:p w14:paraId="3916071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侧边栏（后台）：用户/招标/消息入口，当前模块高亮</w:t>
      </w:r>
    </w:p>
    <w:p w14:paraId="0C0B3128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主内容区：列表与详情、表单与对话框</w:t>
      </w:r>
    </w:p>
    <w:p w14:paraId="2B7A754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页脚：版权信息与跳转链接</w:t>
      </w:r>
    </w:p>
    <w:p w14:paraId="7BFCAB7C">
      <w:pPr>
        <w:pStyle w:val="2"/>
        <w:spacing w:after="200"/>
      </w:pPr>
      <w:r>
        <w:t>19.2 视觉与交互规范</w:t>
      </w:r>
    </w:p>
    <w:p w14:paraId="67DBF03B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按钮与颜色：主次明确、禁用态与加载态</w:t>
      </w:r>
    </w:p>
    <w:p w14:paraId="2558F65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表单：校验规则与错误提示、占位符与帮助文本</w:t>
      </w:r>
    </w:p>
    <w:p w14:paraId="30ABDB9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列表：分页、排序、批量操作与空状态</w:t>
      </w:r>
    </w:p>
    <w:p w14:paraId="0501AD7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反馈：成功/警告/错误提示，阻断式与非阻断式</w:t>
      </w:r>
    </w:p>
    <w:p w14:paraId="2A990357">
      <w:pPr>
        <w:pStyle w:val="2"/>
        <w:spacing w:after="200"/>
      </w:pPr>
      <w:r>
        <w:t>二十、模块设计（关键章节）</w:t>
      </w:r>
    </w:p>
    <w:p w14:paraId="735DDC88">
      <w:pPr>
        <w:pStyle w:val="3"/>
        <w:spacing w:after="200"/>
      </w:pPr>
      <w:r>
        <w:t>20.1 模块边界与依赖</w:t>
      </w:r>
    </w:p>
    <w:p w14:paraId="7C8E138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鉴权模块依赖用户模块与 JWT 密钥配置</w:t>
      </w:r>
    </w:p>
    <w:p w14:paraId="60F403BF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招标模块与投标模块通过 tender_id 关联</w:t>
      </w:r>
    </w:p>
    <w:p w14:paraId="5A44F82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消息模块可与招标/用户双向关联</w:t>
      </w:r>
    </w:p>
    <w:p w14:paraId="2C2BABE5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管理员模块汇总统计与审计日志</w:t>
      </w:r>
    </w:p>
    <w:p w14:paraId="0B2C5746">
      <w:pPr>
        <w:pStyle w:val="3"/>
        <w:spacing w:after="200"/>
      </w:pPr>
      <w:r>
        <w:t>20.2 模块接口清单</w:t>
      </w:r>
    </w:p>
    <w:p w14:paraId="37B8A7D3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/api/admin/users：分页、搜索与状态管理</w:t>
      </w:r>
    </w:p>
    <w:p w14:paraId="6001A159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/api/admin/tenders：列表与状态流转</w:t>
      </w:r>
    </w:p>
    <w:p w14:paraId="389E679E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/api/bids：创建与查询、评分更新</w:t>
      </w:r>
    </w:p>
    <w:p w14:paraId="46C816E2">
      <w:pPr>
        <w:pStyle w:val="14"/>
        <w:numPr>
          <w:ilvl w:val="0"/>
          <w:numId w:val="1"/>
        </w:numPr>
        <w:spacing w:after="60"/>
      </w:pPr>
      <w:r>
        <w:rPr>
          <w:rFonts w:ascii="微软雅黑" w:hAnsi="微软雅黑" w:eastAsia="微软雅黑" w:cs="微软雅黑"/>
        </w:rPr>
        <w:t>/api/messages：留言与回复</w:t>
      </w:r>
    </w:p>
    <w:p w14:paraId="2D3976EF">
      <w:pPr>
        <w:spacing w:after="80"/>
      </w:pPr>
    </w:p>
    <w:bookmarkEnd w:id="0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75F4A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Title"/>
    <w:qFormat/>
    <w:uiPriority w:val="0"/>
    <w:rPr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5019</Words>
  <Characters>6739</Characters>
  <TotalTime>1</TotalTime>
  <ScaleCrop>false</ScaleCrop>
  <LinksUpToDate>false</LinksUpToDate>
  <CharactersWithSpaces>6899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2025-11-13T15:15:00Z</dcterms:created>
  <dc:creator>bidding-system</dc:creator>
  <dc:description>机电设备在线招投标系统设计说明书</dc:description>
  <cp:lastModifiedBy>_</cp:lastModifiedBy>
  <dcterms:modified xsi:type="dcterms:W3CDTF">2025-11-13T15:16:45Z</dcterms:modified>
  <dc:title>机电设备在线招投标系统——设计说明书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eyJoZGlkIjoiM2QxMjgzY2JlZmVlNmNlYTZhYmNiY2QzODk4NTYzYTkiLCJ1c2VySWQiOiIxNTE4Mzk3OTc5In0=</vt:lpwstr>
  </property>
  <property fmtid="{D5CDD505-2E9C-101B-9397-08002B2CF9AE}" pid="3" name="KSOProductBuildVer">
    <vt:lpwstr>2052-12.1.0.23542</vt:lpwstr>
  </property>
  <property fmtid="{D5CDD505-2E9C-101B-9397-08002B2CF9AE}" pid="4" name="ICV">
    <vt:lpwstr>8E26EFF94114486D91493BDC1095775C_12</vt:lpwstr>
  </property>
</Properties>
</file>