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20"/>
        <w:jc w:val="center"/>
      </w:pPr>
      <w:r>
        <w:rPr>
          <w:rFonts w:ascii="黑体" w:hAnsi="黑体"/>
          <w:b/>
          <w:sz w:val="32"/>
        </w:rPr>
        <w:t>基于消费级 LiDAR 设备的果树产量与果实质量预测：系统设计与可行性分析</w:t>
      </w:r>
    </w:p>
    <w:p>
      <w:pPr>
        <w:spacing w:after="120"/>
        <w:jc w:val="center"/>
      </w:pPr>
      <w:r>
        <w:rPr>
          <w:i/>
          <w:sz w:val="24"/>
        </w:rPr>
        <w:t>待填写</w:t>
      </w:r>
    </w:p>
    <w:p>
      <w:pPr>
        <w:spacing w:after="120"/>
        <w:jc w:val="center"/>
      </w:pPr>
      <w:r>
        <w:rPr>
          <w:i/>
          <w:sz w:val="20"/>
        </w:rPr>
        <w:t>待填写</w:t>
      </w:r>
    </w:p>
    <w:p>
      <w:pPr>
        <w:spacing w:after="480"/>
        <w:jc w:val="center"/>
      </w:pPr>
      <w:r>
        <w:rPr>
          <w:sz w:val="20"/>
        </w:rPr>
        <w:t>待填写</w:t>
      </w:r>
    </w:p>
    <w:p>
      <w:pPr>
        <w:spacing w:before="240" w:after="120"/>
      </w:pPr>
      <w:r>
        <w:rPr>
          <w:b/>
          <w:sz w:val="24"/>
        </w:rPr>
        <w:t>摘要</w:t>
      </w:r>
    </w:p>
    <w:p>
      <w:pPr>
        <w:spacing w:after="240"/>
      </w:pPr>
      <w:r>
        <w:rPr>
          <w:i/>
          <w:sz w:val="22"/>
        </w:rPr>
        <w:t>果树产量与果实质量估算对果园管理、采摘计划和市场定价至关重要。传统方法依赖人工经验，存在主观性强、误差大、耗时耗力等问题。近年来，消费级设备（如 iPad Pro、iPhone Pro 系列）内置的固态 LiDAR 传感器为低成本、便携式的三维数据采集提供了新的可能性。本文介绍 FruitTreeScanner 系统的设计与实现，该系统利用 iPad Pro 的 LiDAR 传感器结合 CoreML 图像检测，实现果实的三维重建、检测和产量估算。系统采用多模态融合策略（二维视觉检测 + 三维点云聚类）、自适应 DBSCAN 聚类算法、遮挡校正模型以及双路线产量估算策略，支持 28 种中国常见水果类型。本文重点讨论消费级 LiDAR 在农业场景中的技术可行性、系统架构、算法设计和实现挑战。所有实验数据尚待实地验证。</w:t>
      </w:r>
    </w:p>
    <w:p>
      <w:pPr>
        <w:spacing w:after="480"/>
      </w:pPr>
      <w:r>
        <w:rPr>
          <w:b/>
          <w:sz w:val="22"/>
        </w:rPr>
        <w:t>关键词：</w:t>
      </w:r>
      <w:r>
        <w:rPr>
          <w:sz w:val="22"/>
        </w:rPr>
        <w:t>消费级 LiDAR；果实检测；产量预测；多模态融合；DBSCAN；移动应用；精准农业</w:t>
      </w:r>
    </w:p>
    <w:p>
      <w:r>
        <w:br w:type="page"/>
      </w:r>
    </w:p>
    <w:p>
      <w:pPr>
        <w:pStyle w:val="Heading1"/>
      </w:pPr>
      <w:r>
        <w:rPr>
          <w:b/>
          <w:color w:val="000000"/>
          <w:sz w:val="28"/>
        </w:rPr>
        <w:t>基于消费级 LiDAR 设备的果树产量与果实质量预测：系统设计与可行性分析</w:t>
      </w:r>
    </w:p>
    <w:p/>
    <w:p>
      <w:pPr>
        <w:pStyle w:val="Heading2"/>
      </w:pPr>
      <w:r>
        <w:rPr>
          <w:b/>
          <w:color w:val="000000"/>
          <w:sz w:val="24"/>
        </w:rPr>
        <w:t>摘要</w:t>
      </w:r>
    </w:p>
    <w:p/>
    <w:p>
      <w:r>
        <w:rPr>
          <w:sz w:val="24"/>
        </w:rPr>
        <w:t>果树产量与果实质量估算对果园管理、采摘计划和市场定价至关重要。传统方法依赖人工经验，存在主观性强、误差大、耗时耗力等问题。近年来，消费级设备（如 iPad Pro、iPhone Pro 系列）内置的固态 LiDAR 传感器为低成本、便携式的三维数据采集提供了新的可能性。本文介绍 FruitTreeScanner 系统的设计与实现，该系统利用 iPad Pro 的 LiDAR 传感器结合 CoreML 图像检测，实现果实的三维重建、检测和产量估算。系统采用多模态融合策略（二维视觉检测 + 三维点云聚类）、自适应 DBSCAN 聚类算法、遮挡校正模型以及双路线产量估算策略，支持 28 种中国常见水果类型。本文重点讨论消费级 LiDAR 在农业场景中的技术可行性、系统架构、算法设计和实现挑战。所有实验数据尚待实地验证。</w:t>
      </w:r>
    </w:p>
    <w:p/>
    <w:p>
      <w:pPr>
        <w:spacing w:before="120" w:after="120"/>
        <w:ind w:left="567" w:right="567"/>
        <w:shd w:fill="F0F0F0"/>
      </w:pPr>
      <w:r>
        <w:rPr>
          <w:i/>
          <w:color w:val="555555"/>
          <w:sz w:val="22"/>
        </w:rPr>
        <w:t>**⚠️ 声明**：本文为系统设计与可行性分析。文中描述的算法流程和架构均为实际已实现的代码逻辑。所有性能指标和实验结果均为设计目标，需在实际果园环境中通过真实称重数据验证后方可作为学术结论发表。</w:t>
      </w:r>
    </w:p>
    <w:p/>
    <w:p>
      <w:r>
        <w:rPr>
          <w:b/>
          <w:sz w:val="24"/>
        </w:rPr>
        <w:t>关键词</w:t>
      </w:r>
      <w:r>
        <w:rPr>
          <w:sz w:val="24"/>
        </w:rPr>
        <w:t>：消费级 LiDAR；果实检测；产量预测；多模态融合；DBSCAN；移动应用；精准农业</w:t>
      </w:r>
    </w:p>
    <w:p/>
    <w:p>
      <w:r>
        <w:rPr>
          <w:sz w:val="24"/>
        </w:rPr>
        <w:t>---</w:t>
      </w:r>
    </w:p>
    <w:p/>
    <w:p>
      <w:pPr>
        <w:pStyle w:val="Heading2"/>
      </w:pPr>
      <w:r>
        <w:rPr>
          <w:b/>
          <w:color w:val="000000"/>
          <w:sz w:val="24"/>
        </w:rPr>
        <w:t>1. 引言</w:t>
      </w:r>
    </w:p>
    <w:p/>
    <w:p>
      <w:pPr>
        <w:pStyle w:val="Heading3"/>
      </w:pPr>
      <w:r>
        <w:rPr>
          <w:b/>
          <w:color w:val="000000"/>
          <w:sz w:val="22"/>
        </w:rPr>
        <w:t>1.1 研究背景</w:t>
      </w:r>
    </w:p>
    <w:p/>
    <w:p>
      <w:r>
        <w:rPr>
          <w:sz w:val="24"/>
        </w:rPr>
        <w:t>果树种植是中国农业的重要组成部分。2022 年，中国水果总产量超过 2.5 亿吨，涉及苹果、柑橘、梨、桃等多种品类。果园产量估算是农业生产管理中的基础环节，直接影响以下决策：</w:t>
      </w:r>
    </w:p>
    <w:p/>
    <w:p>
      <w:pPr>
        <w:pStyle w:val="ListNumber"/>
      </w:pPr>
      <w:r>
        <w:rPr>
          <w:b/>
          <w:sz w:val="24"/>
        </w:rPr>
        <w:t>采摘调度</w:t>
      </w:r>
      <w:r>
        <w:rPr>
          <w:sz w:val="24"/>
        </w:rPr>
        <w:t>：确定最佳采摘时间和所需人力</w:t>
      </w:r>
    </w:p>
    <w:p>
      <w:pPr>
        <w:pStyle w:val="ListNumber"/>
      </w:pPr>
      <w:r>
        <w:rPr>
          <w:b/>
          <w:sz w:val="24"/>
        </w:rPr>
        <w:t>仓储物流</w:t>
      </w:r>
      <w:r>
        <w:rPr>
          <w:sz w:val="24"/>
        </w:rPr>
        <w:t>：规划冷库容量和运输安排</w:t>
      </w:r>
    </w:p>
    <w:p>
      <w:pPr>
        <w:pStyle w:val="ListNumber"/>
      </w:pPr>
      <w:r>
        <w:rPr>
          <w:b/>
          <w:sz w:val="24"/>
        </w:rPr>
        <w:t>市场定价</w:t>
      </w:r>
      <w:r>
        <w:rPr>
          <w:sz w:val="24"/>
        </w:rPr>
        <w:t>：预判供应量以制定价格策略</w:t>
      </w:r>
    </w:p>
    <w:p>
      <w:pPr>
        <w:pStyle w:val="ListNumber"/>
      </w:pPr>
      <w:r>
        <w:rPr>
          <w:b/>
          <w:sz w:val="24"/>
        </w:rPr>
        <w:t>病虫害防治</w:t>
      </w:r>
      <w:r>
        <w:rPr>
          <w:sz w:val="24"/>
        </w:rPr>
        <w:t>：通过产量异常早期发现问题</w:t>
      </w:r>
    </w:p>
    <w:p/>
    <w:p>
      <w:r>
        <w:rPr>
          <w:sz w:val="24"/>
        </w:rPr>
        <w:t>传统产量估算方法以人工目测和统计抽样为主。研究表明，人工估算的误差通常在 30-50% 之间，主要原因包括个体经验差异、抽样偏差以及对被遮挡果实的系统性低估。</w:t>
      </w:r>
    </w:p>
    <w:p/>
    <w:p>
      <w:pPr>
        <w:pStyle w:val="Heading3"/>
      </w:pPr>
      <w:r>
        <w:rPr>
          <w:b/>
          <w:color w:val="000000"/>
          <w:sz w:val="22"/>
        </w:rPr>
        <w:t>1.2 消费级 LiDAR 设备的兴起</w:t>
      </w:r>
    </w:p>
    <w:p/>
    <w:p>
      <w:r>
        <w:rPr>
          <w:sz w:val="24"/>
        </w:rPr>
        <w:t>2020 年，Apple 在 iPad Pro 中首次引入固态 LiDAR 传感器，随后扩展到 iPhone 12 Pro 及以上型号。消费级 LiDAR 的特点包括：</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参数</w:t>
            </w:r>
          </w:p>
        </w:tc>
        <w:tc>
          <w:tcPr>
            <w:tcW w:type="dxa" w:w="4150"/>
            <w:vAlign w:val="center"/>
            <w:shd w:fill="D9E2F3"/>
          </w:tcPr>
          <w:p>
            <w:pPr>
              <w:jc w:val="center"/>
            </w:pPr>
            <w:r>
              <w:rPr>
                <w:b/>
                <w:sz w:val="20"/>
              </w:rPr>
              <w:t>数值</w:t>
            </w:r>
          </w:p>
        </w:tc>
      </w:tr>
      <w:tr>
        <w:tc>
          <w:tcPr>
            <w:tcW w:type="dxa" w:w="4150"/>
            <w:vAlign w:val="center"/>
          </w:tcPr>
          <w:p>
            <w:pPr>
              <w:jc w:val="left"/>
            </w:pPr>
            <w:r>
              <w:rPr>
                <w:sz w:val="20"/>
              </w:rPr>
              <w:t>传感器类型</w:t>
            </w:r>
          </w:p>
        </w:tc>
        <w:tc>
          <w:tcPr>
            <w:tcW w:type="dxa" w:w="4150"/>
            <w:vAlign w:val="center"/>
          </w:tcPr>
          <w:p>
            <w:pPr>
              <w:jc w:val="left"/>
            </w:pPr>
            <w:r>
              <w:rPr>
                <w:sz w:val="20"/>
              </w:rPr>
              <w:t>间接飞行时间（iToF）</w:t>
            </w:r>
          </w:p>
        </w:tc>
      </w:tr>
      <w:tr>
        <w:tc>
          <w:tcPr>
            <w:tcW w:type="dxa" w:w="4150"/>
            <w:vAlign w:val="center"/>
          </w:tcPr>
          <w:p>
            <w:pPr>
              <w:jc w:val="left"/>
            </w:pPr>
            <w:r>
              <w:rPr>
                <w:sz w:val="20"/>
              </w:rPr>
              <w:t>有效范围</w:t>
            </w:r>
          </w:p>
        </w:tc>
        <w:tc>
          <w:tcPr>
            <w:tcW w:type="dxa" w:w="4150"/>
            <w:vAlign w:val="center"/>
          </w:tcPr>
          <w:p>
            <w:pPr>
              <w:jc w:val="left"/>
            </w:pPr>
            <w:r>
              <w:rPr>
                <w:sz w:val="20"/>
              </w:rPr>
              <w:t>0.1m — 5.0m</w:t>
            </w:r>
          </w:p>
        </w:tc>
      </w:tr>
      <w:tr>
        <w:tc>
          <w:tcPr>
            <w:tcW w:type="dxa" w:w="4150"/>
            <w:vAlign w:val="center"/>
          </w:tcPr>
          <w:p>
            <w:pPr>
              <w:jc w:val="left"/>
            </w:pPr>
            <w:r>
              <w:rPr>
                <w:sz w:val="20"/>
              </w:rPr>
              <w:t>每帧点数</w:t>
            </w:r>
          </w:p>
        </w:tc>
        <w:tc>
          <w:tcPr>
            <w:tcW w:type="dxa" w:w="4150"/>
            <w:vAlign w:val="center"/>
          </w:tcPr>
          <w:p>
            <w:pPr>
              <w:jc w:val="left"/>
            </w:pPr>
            <w:r>
              <w:rPr>
                <w:sz w:val="20"/>
              </w:rPr>
              <w:t>约 30,000 点</w:t>
            </w:r>
          </w:p>
        </w:tc>
      </w:tr>
      <w:tr>
        <w:tc>
          <w:tcPr>
            <w:tcW w:type="dxa" w:w="4150"/>
            <w:vAlign w:val="center"/>
          </w:tcPr>
          <w:p>
            <w:pPr>
              <w:jc w:val="left"/>
            </w:pPr>
            <w:r>
              <w:rPr>
                <w:sz w:val="20"/>
              </w:rPr>
              <w:t>深度精度</w:t>
            </w:r>
          </w:p>
        </w:tc>
        <w:tc>
          <w:tcPr>
            <w:tcW w:type="dxa" w:w="4150"/>
            <w:vAlign w:val="center"/>
          </w:tcPr>
          <w:p>
            <w:pPr>
              <w:jc w:val="left"/>
            </w:pPr>
            <w:r>
              <w:rPr>
                <w:sz w:val="20"/>
              </w:rPr>
              <w:t>约 ±5mm @ 3m 距离</w:t>
            </w:r>
          </w:p>
        </w:tc>
      </w:tr>
      <w:tr>
        <w:tc>
          <w:tcPr>
            <w:tcW w:type="dxa" w:w="4150"/>
            <w:vAlign w:val="center"/>
          </w:tcPr>
          <w:p>
            <w:pPr>
              <w:jc w:val="left"/>
            </w:pPr>
            <w:r>
              <w:rPr>
                <w:sz w:val="20"/>
              </w:rPr>
              <w:t>设备价格</w:t>
            </w:r>
          </w:p>
        </w:tc>
        <w:tc>
          <w:tcPr>
            <w:tcW w:type="dxa" w:w="4150"/>
            <w:vAlign w:val="center"/>
          </w:tcPr>
          <w:p>
            <w:pPr>
              <w:jc w:val="left"/>
            </w:pPr>
            <w:r>
              <w:rPr>
                <w:sz w:val="20"/>
              </w:rPr>
              <w:t>约 5000 — 10000 元人民币</w:t>
            </w:r>
          </w:p>
        </w:tc>
      </w:tr>
    </w:tbl>
    <w:p/>
    <w:p>
      <w:r>
        <w:rPr>
          <w:sz w:val="24"/>
        </w:rPr>
        <w:t>与专业地面激光扫描仪（TLS）相比，消费级 LiDAR 的精度和点密度较低，但其价格仅为专业设备的 1/25 至 1/50，且具备便携性和实时处理能力。这一价格差异使得消费级 LiDAR 有可能成为农业领域中低成本三维传感的可行方案。</w:t>
      </w:r>
    </w:p>
    <w:p/>
    <w:p>
      <w:pPr>
        <w:pStyle w:val="Heading3"/>
      </w:pPr>
      <w:r>
        <w:rPr>
          <w:b/>
          <w:color w:val="000000"/>
          <w:sz w:val="22"/>
        </w:rPr>
        <w:t>1.3 研究动机与目标</w:t>
      </w:r>
    </w:p>
    <w:p/>
    <w:p>
      <w:r>
        <w:rPr>
          <w:sz w:val="24"/>
        </w:rPr>
        <w:t>尽管消费级 LiDAR 在建筑扫描、室内设计等领域已得到应用（如 Polycam、3D Scanner App 等商业软件），但将其用于农业产量估算是新兴方向。现有文献中，基于 LiDAR 的果实检测研究多使用昂贵的专业设备，而关于消费级 LiDAR 在该领域可行性的系统性评估仍然缺乏。</w:t>
      </w:r>
    </w:p>
    <w:p/>
    <w:p>
      <w:r>
        <w:rPr>
          <w:sz w:val="24"/>
        </w:rPr>
        <w:t>本研究旨在：</w:t>
      </w:r>
    </w:p>
    <w:p/>
    <w:p>
      <w:pPr>
        <w:pStyle w:val="ListNumber"/>
      </w:pPr>
      <w:r>
        <w:rPr>
          <w:sz w:val="24"/>
        </w:rPr>
        <w:t>评估消费级 LiDAR 在果园环境中的技术可行性</w:t>
      </w:r>
    </w:p>
    <w:p>
      <w:pPr>
        <w:pStyle w:val="ListNumber"/>
      </w:pPr>
      <w:r>
        <w:rPr>
          <w:sz w:val="24"/>
        </w:rPr>
        <w:t>设计并实现完整的果实检测与产量估算系统</w:t>
      </w:r>
    </w:p>
    <w:p>
      <w:pPr>
        <w:pStyle w:val="ListNumber"/>
      </w:pPr>
      <w:r>
        <w:rPr>
          <w:sz w:val="24"/>
        </w:rPr>
        <w:t>明确系统的局限性并提出改进方向</w:t>
      </w:r>
    </w:p>
    <w:p>
      <w:pPr>
        <w:pStyle w:val="ListNumber"/>
      </w:pPr>
      <w:r>
        <w:rPr>
          <w:sz w:val="24"/>
        </w:rPr>
        <w:t>为后续实地实验提供框架和基线</w:t>
      </w:r>
    </w:p>
    <w:p/>
    <w:p>
      <w:pPr>
        <w:pStyle w:val="Heading3"/>
      </w:pPr>
      <w:r>
        <w:rPr>
          <w:b/>
          <w:color w:val="000000"/>
          <w:sz w:val="22"/>
        </w:rPr>
        <w:t>1.4 论文结构</w:t>
      </w:r>
    </w:p>
    <w:p/>
    <w:p>
      <w:r>
        <w:rPr>
          <w:sz w:val="24"/>
        </w:rPr>
        <w:t>第二节回顾消费级 LiDAR 和果实检测的相关技术背景。第三节介绍系统架构。第四节详述核心算法设计。第五节讨论实现细节和挑战。第六节说明实验设计框架（数据待实测）。第七节讨论系统优势与局限。第八节总结与展望。</w:t>
      </w:r>
    </w:p>
    <w:p/>
    <w:p>
      <w:r>
        <w:rPr>
          <w:sz w:val="24"/>
        </w:rPr>
        <w:t>---</w:t>
      </w:r>
    </w:p>
    <w:p/>
    <w:p>
      <w:pPr>
        <w:pStyle w:val="Heading2"/>
      </w:pPr>
      <w:r>
        <w:rPr>
          <w:b/>
          <w:color w:val="000000"/>
          <w:sz w:val="24"/>
        </w:rPr>
        <w:t>2. 技术背景</w:t>
      </w:r>
    </w:p>
    <w:p/>
    <w:p>
      <w:pPr>
        <w:pStyle w:val="Heading3"/>
      </w:pPr>
      <w:r>
        <w:rPr>
          <w:b/>
          <w:color w:val="000000"/>
          <w:sz w:val="22"/>
        </w:rPr>
        <w:t>2.1 消费级 LiDAR 传感器</w:t>
      </w:r>
    </w:p>
    <w:p/>
    <w:p>
      <w:r>
        <w:rPr>
          <w:sz w:val="24"/>
        </w:rPr>
        <w:t>Apple 的 LiDAR 传感器采用间接飞行时间（iToF）技术，通过发射调制的红外激光脉冲并测量返回信号的相位差来计算距离。其特点包括：</w:t>
      </w:r>
    </w:p>
    <w:p/>
    <w:p>
      <w:pPr>
        <w:pStyle w:val="ListBullet"/>
      </w:pPr>
      <w:r>
        <w:rPr>
          <w:b/>
          <w:sz w:val="24"/>
        </w:rPr>
        <w:t>低成本</w:t>
      </w:r>
      <w:r>
        <w:rPr>
          <w:sz w:val="24"/>
        </w:rPr>
        <w:t>：集成在消费设备中，无需额外采购</w:t>
      </w:r>
    </w:p>
    <w:p>
      <w:pPr>
        <w:pStyle w:val="ListBullet"/>
      </w:pPr>
      <w:r>
        <w:rPr>
          <w:b/>
          <w:sz w:val="24"/>
        </w:rPr>
        <w:t>便携性</w:t>
      </w:r>
      <w:r>
        <w:rPr>
          <w:sz w:val="24"/>
        </w:rPr>
        <w:t>：手持操作，无需三脚架或外部电源</w:t>
      </w:r>
    </w:p>
    <w:p>
      <w:pPr>
        <w:pStyle w:val="ListBullet"/>
      </w:pPr>
      <w:r>
        <w:rPr>
          <w:b/>
          <w:sz w:val="24"/>
        </w:rPr>
        <w:t>实时输出</w:t>
      </w:r>
      <w:r>
        <w:rPr>
          <w:sz w:val="24"/>
        </w:rPr>
        <w:t>：60 FPS 点云流，通过 ARKit 框架直接访问</w:t>
      </w:r>
    </w:p>
    <w:p>
      <w:pPr>
        <w:pStyle w:val="ListBullet"/>
      </w:pPr>
      <w:r>
        <w:rPr>
          <w:b/>
          <w:sz w:val="24"/>
        </w:rPr>
        <w:t>多传感器融合</w:t>
      </w:r>
      <w:r>
        <w:rPr>
          <w:sz w:val="24"/>
        </w:rPr>
        <w:t>：与 RGB 相机和 IMU 同步，提供彩色点云</w:t>
      </w:r>
    </w:p>
    <w:p/>
    <w:p>
      <w:pPr>
        <w:pStyle w:val="Heading3"/>
      </w:pPr>
      <w:r>
        <w:rPr>
          <w:b/>
          <w:color w:val="000000"/>
          <w:sz w:val="22"/>
        </w:rPr>
        <w:t>2.2 果实检测方法概述</w:t>
      </w:r>
    </w:p>
    <w:p/>
    <w:p>
      <w:r>
        <w:rPr>
          <w:sz w:val="24"/>
        </w:rPr>
        <w:t>果实检测主要分为三大类方法：</w:t>
      </w:r>
    </w:p>
    <w:p/>
    <w:p>
      <w:r>
        <w:rPr>
          <w:b/>
          <w:sz w:val="24"/>
        </w:rPr>
        <w:t>1. 二维图像检测</w:t>
      </w:r>
    </w:p>
    <w:p/>
    <w:p>
      <w:r>
        <w:rPr>
          <w:sz w:val="24"/>
        </w:rPr>
        <w:t>基于 RGB 图像的果实检测方法已有数十年历史。传统方法依赖颜色分割（HSV/Lab 色彩空间）、形状分析（圆度、椭圆度）和纹理特征。深度学习方法（如 CNN）在检测精度上有显著提升。Sa et al. (2016) 提出的 DeepFruits 系统在果园图像中检测苹果的精确率达到约 85%。</w:t>
      </w:r>
    </w:p>
    <w:p/>
    <w:p>
      <w:r>
        <w:rPr>
          <w:b/>
          <w:sz w:val="24"/>
        </w:rPr>
        <w:t>2. 三维点云检测</w:t>
      </w:r>
    </w:p>
    <w:p/>
    <w:p>
      <w:r>
        <w:rPr>
          <w:sz w:val="24"/>
        </w:rPr>
        <w:t>三维传感器（如 TLS、RGB-D 相机）提供几何信息，可用于果实大小估算和空间定位。点云聚类算法（如 DBSCAN、区域生长）是主要的分割方法。</w:t>
      </w:r>
    </w:p>
    <w:p/>
    <w:p>
      <w:r>
        <w:rPr>
          <w:b/>
          <w:sz w:val="24"/>
        </w:rPr>
        <w:t>3. 多模态融合</w:t>
      </w:r>
    </w:p>
    <w:p/>
    <w:p>
      <w:r>
        <w:rPr>
          <w:sz w:val="24"/>
        </w:rPr>
        <w:t>结合二维视觉和三维几何信息的融合方法可以互补各自的局限性。二维检测擅长分类但缺乏深度信息，三维检测擅长定位但对颜色和纹理不敏感。</w:t>
      </w:r>
    </w:p>
    <w:p/>
    <w:p>
      <w:pPr>
        <w:pStyle w:val="Heading3"/>
      </w:pPr>
      <w:r>
        <w:rPr>
          <w:b/>
          <w:color w:val="000000"/>
          <w:sz w:val="22"/>
        </w:rPr>
        <w:t>2.3 DBSCAN 聚类算法</w:t>
      </w:r>
    </w:p>
    <w:p/>
    <w:p>
      <w:r>
        <w:rPr>
          <w:sz w:val="24"/>
        </w:rPr>
        <w:t>DBSCAN（Density-Based Spatial Clustering of Applications with Noise）由 Ester et al. (1996) 提出，是一种基于密度的聚类算法。其核心思想是将密度连通的点归为同一簇，并能自动识别噪声点。算法使用两个参数：</w:t>
      </w:r>
    </w:p>
    <w:p/>
    <w:p>
      <w:pPr>
        <w:pStyle w:val="ListBullet"/>
      </w:pPr>
      <w:r>
        <w:rPr>
          <w:b/>
          <w:sz w:val="24"/>
        </w:rPr>
        <w:t>ε（epsilon）</w:t>
      </w:r>
      <w:r>
        <w:rPr>
          <w:sz w:val="24"/>
        </w:rPr>
        <w:t>：邻域半径</w:t>
      </w:r>
    </w:p>
    <w:p>
      <w:pPr>
        <w:pStyle w:val="ListBullet"/>
      </w:pPr>
      <w:r>
        <w:rPr>
          <w:b/>
          <w:sz w:val="24"/>
        </w:rPr>
        <w:t>MinPts</w:t>
      </w:r>
      <w:r>
        <w:rPr>
          <w:sz w:val="24"/>
        </w:rPr>
        <w:t>：核心点所需的最小邻域点数</w:t>
      </w:r>
    </w:p>
    <w:p/>
    <w:p>
      <w:r>
        <w:rPr>
          <w:sz w:val="24"/>
        </w:rPr>
        <w:t>DBSCAN 的优势在于不需要预设聚类数量，能发现任意形状的聚类，且对噪声具有鲁棒性。然而，标准 DBSCAN 使用固定的 ε 参数，对于点密度随距离显著变化的 LiDAR 数据并非最优。</w:t>
      </w:r>
    </w:p>
    <w:p/>
    <w:p>
      <w:pPr>
        <w:pStyle w:val="Heading3"/>
      </w:pPr>
      <w:r>
        <w:rPr>
          <w:b/>
          <w:color w:val="000000"/>
          <w:sz w:val="22"/>
        </w:rPr>
        <w:t>2.4 遮挡问题</w:t>
      </w:r>
    </w:p>
    <w:p/>
    <w:p>
      <w:r>
        <w:rPr>
          <w:sz w:val="24"/>
        </w:rPr>
        <w:t>果实检测中的遮挡是一个根本性挑战。果树冠层内部的果实被叶片和枝条遮挡，单视角传感器无法检测到。现有的遮挡校正方法包括：</w:t>
      </w:r>
    </w:p>
    <w:p/>
    <w:p>
      <w:pPr>
        <w:pStyle w:val="ListBullet"/>
      </w:pPr>
      <w:r>
        <w:rPr>
          <w:b/>
          <w:sz w:val="24"/>
        </w:rPr>
        <w:t>多视角扫描</w:t>
      </w:r>
      <w:r>
        <w:rPr>
          <w:sz w:val="24"/>
        </w:rPr>
        <w:t>：从多个角度采集数据后融合（耗时但准确）</w:t>
      </w:r>
    </w:p>
    <w:p>
      <w:pPr>
        <w:pStyle w:val="ListBullet"/>
      </w:pPr>
      <w:r>
        <w:rPr>
          <w:b/>
          <w:sz w:val="24"/>
        </w:rPr>
        <w:t>统计校正</w:t>
      </w:r>
      <w:r>
        <w:rPr>
          <w:sz w:val="24"/>
        </w:rPr>
        <w:t>：基于可见果实比例估计总数（需要经验模型）</w:t>
      </w:r>
    </w:p>
    <w:p>
      <w:pPr>
        <w:pStyle w:val="ListBullet"/>
      </w:pPr>
      <w:r>
        <w:rPr>
          <w:b/>
          <w:sz w:val="24"/>
        </w:rPr>
        <w:t>几何模型</w:t>
      </w:r>
      <w:r>
        <w:rPr>
          <w:sz w:val="24"/>
        </w:rPr>
        <w:t>：假设果实均匀分布在球形冠层上，从可见部分推断总量</w:t>
      </w:r>
    </w:p>
    <w:p/>
    <w:p>
      <w:pPr>
        <w:pStyle w:val="Heading3"/>
      </w:pPr>
      <w:r>
        <w:rPr>
          <w:b/>
          <w:color w:val="000000"/>
          <w:sz w:val="22"/>
        </w:rPr>
        <w:t>2.5 参考文献验证说明</w:t>
      </w:r>
    </w:p>
    <w:p/>
    <w:p>
      <w:pPr>
        <w:spacing w:before="120" w:after="120"/>
        <w:ind w:left="567" w:right="567"/>
        <w:shd w:fill="F0F0F0"/>
      </w:pPr>
      <w:r>
        <w:rPr>
          <w:i/>
          <w:color w:val="555555"/>
          <w:sz w:val="22"/>
        </w:rPr>
        <w:t>本节引用的以下文献已验证存在：</w:t>
      </w:r>
    </w:p>
    <w:p>
      <w:r>
        <w:rPr>
          <w:sz w:val="24"/>
        </w:rPr>
        <w:t>&gt;</w:t>
      </w:r>
    </w:p>
    <w:p>
      <w:pPr>
        <w:spacing w:before="120" w:after="120"/>
        <w:ind w:left="567" w:right="567"/>
        <w:shd w:fill="F0F0F0"/>
      </w:pPr>
      <w:r>
        <w:rPr>
          <w:i/>
          <w:color w:val="555555"/>
          <w:sz w:val="22"/>
        </w:rPr>
        <w:t>1. Ester, M., Kriegel, H. P., Sander, J., &amp; Xu, X. (1996). A density-based algorithm for discovering clusters in large spatial databases with noise. KDD, 96(34), 226-231. ✅</w:t>
      </w:r>
    </w:p>
    <w:p>
      <w:pPr>
        <w:spacing w:before="120" w:after="120"/>
        <w:ind w:left="567" w:right="567"/>
        <w:shd w:fill="F0F0F0"/>
      </w:pPr>
      <w:r>
        <w:rPr>
          <w:i/>
          <w:color w:val="555555"/>
          <w:sz w:val="22"/>
        </w:rPr>
        <w:t>2. Sa, I., Ge, Z., Dayoub, F., Upcroft, B., Perez, T., &amp; McCool, C. (2016). DeepFruits: A fruit detection system using deep neural networks. Sensors, 16(8), 1222. DOI: 10.3390/s16081222 ✅</w:t>
      </w:r>
    </w:p>
    <w:p>
      <w:r>
        <w:rPr>
          <w:sz w:val="24"/>
        </w:rPr>
        <w:t>&gt;</w:t>
      </w:r>
    </w:p>
    <w:p>
      <w:pPr>
        <w:spacing w:before="120" w:after="120"/>
        <w:ind w:left="567" w:right="567"/>
        <w:shd w:fill="F0F0F0"/>
      </w:pPr>
      <w:r>
        <w:rPr>
          <w:i/>
          <w:color w:val="555555"/>
          <w:sz w:val="22"/>
        </w:rPr>
        <w:t>本节中提及的其他研究方向和方法论参考，作者将在正式投稿前逐一核实其原始文献来源。</w:t>
      </w:r>
    </w:p>
    <w:p/>
    <w:p>
      <w:r>
        <w:rPr>
          <w:sz w:val="24"/>
        </w:rPr>
        <w:t>---</w:t>
      </w:r>
    </w:p>
    <w:p/>
    <w:p>
      <w:pPr>
        <w:pStyle w:val="Heading2"/>
      </w:pPr>
      <w:r>
        <w:rPr>
          <w:b/>
          <w:color w:val="000000"/>
          <w:sz w:val="24"/>
        </w:rPr>
        <w:t>3. 系统架构</w:t>
      </w:r>
    </w:p>
    <w:p/>
    <w:p>
      <w:pPr>
        <w:pStyle w:val="Heading3"/>
      </w:pPr>
      <w:r>
        <w:rPr>
          <w:b/>
          <w:color w:val="000000"/>
          <w:sz w:val="22"/>
        </w:rPr>
        <w:t>3.1 硬件平台</w:t>
      </w:r>
    </w:p>
    <w:p/>
    <w:p>
      <w:r>
        <w:rPr>
          <w:sz w:val="24"/>
        </w:rPr>
        <w:t>FruitTreeScanner 面向配备固态 LiDAR 传感器的 iOS 设备：</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组件</w:t>
            </w:r>
          </w:p>
        </w:tc>
        <w:tc>
          <w:tcPr>
            <w:tcW w:type="dxa" w:w="4150"/>
            <w:vAlign w:val="center"/>
            <w:shd w:fill="D9E2F3"/>
          </w:tcPr>
          <w:p>
            <w:pPr>
              <w:jc w:val="center"/>
            </w:pPr>
            <w:r>
              <w:rPr>
                <w:b/>
                <w:sz w:val="20"/>
              </w:rPr>
              <w:t>规格</w:t>
            </w:r>
          </w:p>
        </w:tc>
      </w:tr>
      <w:tr>
        <w:tc>
          <w:tcPr>
            <w:tcW w:type="dxa" w:w="4150"/>
            <w:vAlign w:val="center"/>
          </w:tcPr>
          <w:p>
            <w:pPr>
              <w:jc w:val="left"/>
            </w:pPr>
            <w:r>
              <w:rPr>
                <w:sz w:val="20"/>
              </w:rPr>
              <w:t>设备</w:t>
            </w:r>
          </w:p>
        </w:tc>
        <w:tc>
          <w:tcPr>
            <w:tcW w:type="dxa" w:w="4150"/>
            <w:vAlign w:val="center"/>
          </w:tcPr>
          <w:p>
            <w:pPr>
              <w:jc w:val="left"/>
            </w:pPr>
            <w:r>
              <w:rPr>
                <w:sz w:val="20"/>
              </w:rPr>
              <w:t>iPad Pro (2020+) / iPhone 12 Pro 及以上</w:t>
            </w:r>
          </w:p>
        </w:tc>
      </w:tr>
      <w:tr>
        <w:tc>
          <w:tcPr>
            <w:tcW w:type="dxa" w:w="4150"/>
            <w:vAlign w:val="center"/>
          </w:tcPr>
          <w:p>
            <w:pPr>
              <w:jc w:val="left"/>
            </w:pPr>
            <w:r>
              <w:rPr>
                <w:sz w:val="20"/>
              </w:rPr>
              <w:t>LiDAR 传感器</w:t>
            </w:r>
          </w:p>
        </w:tc>
        <w:tc>
          <w:tcPr>
            <w:tcW w:type="dxa" w:w="4150"/>
            <w:vAlign w:val="center"/>
          </w:tcPr>
          <w:p>
            <w:pPr>
              <w:jc w:val="left"/>
            </w:pPr>
            <w:r>
              <w:rPr>
                <w:sz w:val="20"/>
              </w:rPr>
              <w:t>固态，间接飞行时间（iToF）</w:t>
            </w:r>
          </w:p>
        </w:tc>
      </w:tr>
      <w:tr>
        <w:tc>
          <w:tcPr>
            <w:tcW w:type="dxa" w:w="4150"/>
            <w:vAlign w:val="center"/>
          </w:tcPr>
          <w:p>
            <w:pPr>
              <w:jc w:val="left"/>
            </w:pPr>
            <w:r>
              <w:rPr>
                <w:sz w:val="20"/>
              </w:rPr>
              <w:t>点率</w:t>
            </w:r>
          </w:p>
        </w:tc>
        <w:tc>
          <w:tcPr>
            <w:tcW w:type="dxa" w:w="4150"/>
            <w:vAlign w:val="center"/>
          </w:tcPr>
          <w:p>
            <w:pPr>
              <w:jc w:val="left"/>
            </w:pPr>
            <w:r>
              <w:rPr>
                <w:sz w:val="20"/>
              </w:rPr>
              <w:t>约 30,000 点/帧</w:t>
            </w:r>
          </w:p>
        </w:tc>
      </w:tr>
      <w:tr>
        <w:tc>
          <w:tcPr>
            <w:tcW w:type="dxa" w:w="4150"/>
            <w:vAlign w:val="center"/>
          </w:tcPr>
          <w:p>
            <w:pPr>
              <w:jc w:val="left"/>
            </w:pPr>
            <w:r>
              <w:rPr>
                <w:sz w:val="20"/>
              </w:rPr>
              <w:t>有效范围</w:t>
            </w:r>
          </w:p>
        </w:tc>
        <w:tc>
          <w:tcPr>
            <w:tcW w:type="dxa" w:w="4150"/>
            <w:vAlign w:val="center"/>
          </w:tcPr>
          <w:p>
            <w:pPr>
              <w:jc w:val="left"/>
            </w:pPr>
            <w:r>
              <w:rPr>
                <w:sz w:val="20"/>
              </w:rPr>
              <w:t>0.1m 至 5.0m</w:t>
            </w:r>
          </w:p>
        </w:tc>
      </w:tr>
      <w:tr>
        <w:tc>
          <w:tcPr>
            <w:tcW w:type="dxa" w:w="4150"/>
            <w:vAlign w:val="center"/>
          </w:tcPr>
          <w:p>
            <w:pPr>
              <w:jc w:val="left"/>
            </w:pPr>
            <w:r>
              <w:rPr>
                <w:sz w:val="20"/>
              </w:rPr>
              <w:t>深度精度</w:t>
            </w:r>
          </w:p>
        </w:tc>
        <w:tc>
          <w:tcPr>
            <w:tcW w:type="dxa" w:w="4150"/>
            <w:vAlign w:val="center"/>
          </w:tcPr>
          <w:p>
            <w:pPr>
              <w:jc w:val="left"/>
            </w:pPr>
            <w:r>
              <w:rPr>
                <w:sz w:val="20"/>
              </w:rPr>
              <w:t>约 ±5mm @ 3m 距离</w:t>
            </w:r>
          </w:p>
        </w:tc>
      </w:tr>
      <w:tr>
        <w:tc>
          <w:tcPr>
            <w:tcW w:type="dxa" w:w="4150"/>
            <w:vAlign w:val="center"/>
          </w:tcPr>
          <w:p>
            <w:pPr>
              <w:jc w:val="left"/>
            </w:pPr>
            <w:r>
              <w:rPr>
                <w:sz w:val="20"/>
              </w:rPr>
              <w:t>RGB 相机</w:t>
            </w:r>
          </w:p>
        </w:tc>
        <w:tc>
          <w:tcPr>
            <w:tcW w:type="dxa" w:w="4150"/>
            <w:vAlign w:val="center"/>
          </w:tcPr>
          <w:p>
            <w:pPr>
              <w:jc w:val="left"/>
            </w:pPr>
            <w:r>
              <w:rPr>
                <w:sz w:val="20"/>
              </w:rPr>
              <w:t>1200 万像素广角</w:t>
            </w:r>
          </w:p>
        </w:tc>
      </w:tr>
      <w:tr>
        <w:tc>
          <w:tcPr>
            <w:tcW w:type="dxa" w:w="4150"/>
            <w:vAlign w:val="center"/>
          </w:tcPr>
          <w:p>
            <w:pPr>
              <w:jc w:val="left"/>
            </w:pPr>
            <w:r>
              <w:rPr>
                <w:sz w:val="20"/>
              </w:rPr>
              <w:t>处理器</w:t>
            </w:r>
          </w:p>
        </w:tc>
        <w:tc>
          <w:tcPr>
            <w:tcW w:type="dxa" w:w="4150"/>
            <w:vAlign w:val="center"/>
          </w:tcPr>
          <w:p>
            <w:pPr>
              <w:jc w:val="left"/>
            </w:pPr>
            <w:r>
              <w:rPr>
                <w:sz w:val="20"/>
              </w:rPr>
              <w:t>Apple A12Z/A14/A15/M2 Bionic</w:t>
            </w:r>
          </w:p>
        </w:tc>
      </w:tr>
    </w:tbl>
    <w:p/>
    <w:p>
      <w:pPr>
        <w:pStyle w:val="Heading3"/>
      </w:pPr>
      <w:r>
        <w:rPr>
          <w:b/>
          <w:color w:val="000000"/>
          <w:sz w:val="22"/>
        </w:rPr>
        <w:t>3.2 软件架构</w:t>
      </w:r>
    </w:p>
    <w:p/>
    <w:p>
      <w:r>
        <w:rPr>
          <w:sz w:val="24"/>
        </w:rPr>
        <w:t>系统基于 iOS 16+，使用 Swift 和 SwiftUI 构建，分为三层：</w:t>
      </w:r>
    </w:p>
    <w:p/>
    <w:p>
      <w:r>
        <w:rPr>
          <w:b/>
          <w:sz w:val="24"/>
        </w:rPr>
        <w:t>数据采集层</w:t>
      </w:r>
    </w:p>
    <w:p/>
    <w:p>
      <w:r>
        <w:rPr>
          <w:sz w:val="24"/>
        </w:rPr>
        <w:t>通过 ARKit 框架获取 LiDAR 点云和相机帧。ARKit 提供世界坐标系下的点云数据（每个点包含 xyz 坐标和置信度），以及带深度信息的相机帧（CVPixelBuffer 格式）。</w:t>
      </w:r>
    </w:p>
    <w:p/>
    <w:p>
      <w:r>
        <w:rPr>
          <w:b/>
          <w:sz w:val="24"/>
        </w:rPr>
        <w:t>核心算法层</w:t>
      </w:r>
    </w:p>
    <w:p/>
    <w:p>
      <w:r>
        <w:rPr>
          <w:sz w:val="24"/>
        </w:rPr>
        <w:t>包含点云融合、颜色过滤、DBSCAN 聚类、二维检测、多模态融合、遮挡校正和产量估算等模块。</w:t>
      </w:r>
    </w:p>
    <w:p/>
    <w:p>
      <w:r>
        <w:rPr>
          <w:b/>
          <w:sz w:val="24"/>
        </w:rPr>
        <w:t>展示层</w:t>
      </w:r>
    </w:p>
    <w:p/>
    <w:p>
      <w:r>
        <w:rPr>
          <w:sz w:val="24"/>
        </w:rPr>
        <w:t>使用 Metal 加速进行点云实时渲染（60 FPS），提供扫描质量监控 HUD，支持多种数据格式导出（PLY、OBJ、CSV、JSON）。</w:t>
      </w:r>
    </w:p>
    <w:p/>
    <w:p>
      <w:pPr>
        <w:pStyle w:val="Heading3"/>
      </w:pPr>
      <w:r>
        <w:rPr>
          <w:b/>
          <w:color w:val="000000"/>
          <w:sz w:val="22"/>
        </w:rPr>
        <w:t>3.3 数据处理流程</w:t>
      </w:r>
    </w:p>
    <w:p/>
    <w:p>
      <w:pPr>
        <w:pStyle w:val="ListNumber"/>
      </w:pPr>
      <w:r>
        <w:rPr>
          <w:sz w:val="24"/>
        </w:rPr>
        <w:t>用户选择树编号和水果类型</w:t>
      </w:r>
    </w:p>
    <w:p>
      <w:pPr>
        <w:pStyle w:val="ListNumber"/>
      </w:pPr>
      <w:r>
        <w:rPr>
          <w:sz w:val="24"/>
        </w:rPr>
        <w:t>ARKit 以 60 FPS 采集点云，每帧约 30,000 点</w:t>
      </w:r>
    </w:p>
    <w:p>
      <w:pPr>
        <w:pStyle w:val="ListNumber"/>
      </w:pPr>
      <w:r>
        <w:rPr>
          <w:sz w:val="24"/>
        </w:rPr>
        <w:t>新帧累积到统一世界坐标系，运动不足 0.05m 的帧被丢弃</w:t>
      </w:r>
    </w:p>
    <w:p>
      <w:pPr>
        <w:pStyle w:val="ListNumber"/>
      </w:pPr>
      <w:r>
        <w:rPr>
          <w:sz w:val="24"/>
        </w:rPr>
        <w:t>每 10 帧提交一次相机帧给 CoreML 果实检测模型</w:t>
      </w:r>
    </w:p>
    <w:p>
      <w:pPr>
        <w:pStyle w:val="ListNumber"/>
      </w:pPr>
      <w:r>
        <w:rPr>
          <w:sz w:val="24"/>
        </w:rPr>
        <w:t>根据水果类型的 RGB 颜色阈值过滤点云</w:t>
      </w:r>
    </w:p>
    <w:p>
      <w:pPr>
        <w:pStyle w:val="ListNumber"/>
      </w:pPr>
      <w:r>
        <w:rPr>
          <w:sz w:val="24"/>
        </w:rPr>
        <w:t>使用自适应 DBSCAN + KD-Tree 加速对过滤后的点聚类</w:t>
      </w:r>
    </w:p>
    <w:p>
      <w:pPr>
        <w:pStyle w:val="ListNumber"/>
      </w:pPr>
      <w:r>
        <w:rPr>
          <w:sz w:val="24"/>
        </w:rPr>
        <w:t>将二维检测投影到三维空间进行交叉验证</w:t>
      </w:r>
    </w:p>
    <w:p>
      <w:pPr>
        <w:pStyle w:val="ListNumber"/>
      </w:pPr>
      <w:r>
        <w:rPr>
          <w:sz w:val="24"/>
        </w:rPr>
        <w:t>使用二维/三维检测比率进行遮挡校正</w:t>
      </w:r>
    </w:p>
    <w:p>
      <w:pPr>
        <w:pStyle w:val="ListNumber"/>
      </w:pPr>
      <w:r>
        <w:rPr>
          <w:sz w:val="24"/>
        </w:rPr>
        <w:t>计算果实体积并转换为重量</w:t>
      </w:r>
    </w:p>
    <w:p>
      <w:pPr>
        <w:pStyle w:val="ListNumber"/>
      </w:pPr>
      <w:r>
        <w:rPr>
          <w:sz w:val="24"/>
        </w:rPr>
        <w:t>导出结果</w:t>
      </w:r>
    </w:p>
    <w:p/>
    <w:p>
      <w:pPr>
        <w:pStyle w:val="Heading3"/>
      </w:pPr>
      <w:r>
        <w:rPr>
          <w:b/>
          <w:color w:val="000000"/>
          <w:sz w:val="22"/>
        </w:rPr>
        <w:t>3.4 多线程架构</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线程</w:t>
            </w:r>
          </w:p>
        </w:tc>
        <w:tc>
          <w:tcPr>
            <w:tcW w:type="dxa" w:w="2767"/>
            <w:vAlign w:val="center"/>
            <w:shd w:fill="D9E2F3"/>
          </w:tcPr>
          <w:p>
            <w:pPr>
              <w:jc w:val="center"/>
            </w:pPr>
            <w:r>
              <w:rPr>
                <w:b/>
                <w:sz w:val="20"/>
              </w:rPr>
              <w:t>职责</w:t>
            </w:r>
          </w:p>
        </w:tc>
        <w:tc>
          <w:tcPr>
            <w:tcW w:type="dxa" w:w="2767"/>
            <w:vAlign w:val="center"/>
            <w:shd w:fill="D9E2F3"/>
          </w:tcPr>
          <w:p>
            <w:pPr>
              <w:jc w:val="center"/>
            </w:pPr>
            <w:r>
              <w:rPr>
                <w:b/>
                <w:sz w:val="20"/>
              </w:rPr>
              <w:t>QoS 级别</w:t>
            </w:r>
          </w:p>
        </w:tc>
      </w:tr>
      <w:tr>
        <w:tc>
          <w:tcPr>
            <w:tcW w:type="dxa" w:w="2767"/>
            <w:vAlign w:val="center"/>
          </w:tcPr>
          <w:p>
            <w:pPr>
              <w:jc w:val="left"/>
            </w:pPr>
            <w:r>
              <w:rPr>
                <w:sz w:val="20"/>
              </w:rPr>
              <w:t>主线程</w:t>
            </w:r>
          </w:p>
        </w:tc>
        <w:tc>
          <w:tcPr>
            <w:tcW w:type="dxa" w:w="2767"/>
            <w:vAlign w:val="center"/>
          </w:tcPr>
          <w:p>
            <w:pPr>
              <w:jc w:val="left"/>
            </w:pPr>
            <w:r>
              <w:rPr>
                <w:sz w:val="20"/>
              </w:rPr>
              <w:t>UI 渲染、AR 会话回调、用户交互</w:t>
            </w:r>
          </w:p>
        </w:tc>
        <w:tc>
          <w:tcPr>
            <w:tcW w:type="dxa" w:w="2767"/>
            <w:vAlign w:val="center"/>
          </w:tcPr>
          <w:p>
            <w:pPr>
              <w:jc w:val="left"/>
            </w:pPr>
            <w:r>
              <w:rPr>
                <w:sz w:val="20"/>
              </w:rPr>
              <w:t>MainActor</w:t>
            </w:r>
          </w:p>
        </w:tc>
      </w:tr>
      <w:tr>
        <w:tc>
          <w:tcPr>
            <w:tcW w:type="dxa" w:w="2767"/>
            <w:vAlign w:val="center"/>
          </w:tcPr>
          <w:p>
            <w:pPr>
              <w:jc w:val="left"/>
            </w:pPr>
            <w:r>
              <w:rPr>
                <w:sz w:val="20"/>
              </w:rPr>
              <w:t>后台队列</w:t>
            </w:r>
          </w:p>
        </w:tc>
        <w:tc>
          <w:tcPr>
            <w:tcW w:type="dxa" w:w="2767"/>
            <w:vAlign w:val="center"/>
          </w:tcPr>
          <w:p>
            <w:pPr>
              <w:jc w:val="left"/>
            </w:pPr>
            <w:r>
              <w:rPr>
                <w:sz w:val="20"/>
              </w:rPr>
              <w:t>DBSCAN 聚类、产量估算</w:t>
            </w:r>
          </w:p>
        </w:tc>
        <w:tc>
          <w:tcPr>
            <w:tcW w:type="dxa" w:w="2767"/>
            <w:vAlign w:val="center"/>
          </w:tcPr>
          <w:p>
            <w:pPr>
              <w:jc w:val="left"/>
            </w:pPr>
            <w:r>
              <w:rPr>
                <w:sz w:val="20"/>
              </w:rPr>
              <w:t>userInitiated</w:t>
            </w:r>
          </w:p>
        </w:tc>
      </w:tr>
      <w:tr>
        <w:tc>
          <w:tcPr>
            <w:tcW w:type="dxa" w:w="2767"/>
            <w:vAlign w:val="center"/>
          </w:tcPr>
          <w:p>
            <w:pPr>
              <w:jc w:val="left"/>
            </w:pPr>
            <w:r>
              <w:rPr>
                <w:sz w:val="20"/>
              </w:rPr>
              <w:t>导出队列</w:t>
            </w:r>
          </w:p>
        </w:tc>
        <w:tc>
          <w:tcPr>
            <w:tcW w:type="dxa" w:w="2767"/>
            <w:vAlign w:val="center"/>
          </w:tcPr>
          <w:p>
            <w:pPr>
              <w:jc w:val="left"/>
            </w:pPr>
            <w:r>
              <w:rPr>
                <w:sz w:val="20"/>
              </w:rPr>
              <w:t>文件 I/O</w:t>
            </w:r>
          </w:p>
        </w:tc>
        <w:tc>
          <w:tcPr>
            <w:tcW w:type="dxa" w:w="2767"/>
            <w:vAlign w:val="center"/>
          </w:tcPr>
          <w:p>
            <w:pPr>
              <w:jc w:val="left"/>
            </w:pPr>
            <w:r>
              <w:rPr>
                <w:sz w:val="20"/>
              </w:rPr>
              <w:t>utility</w:t>
            </w:r>
          </w:p>
        </w:tc>
      </w:tr>
      <w:tr>
        <w:tc>
          <w:tcPr>
            <w:tcW w:type="dxa" w:w="2767"/>
            <w:vAlign w:val="center"/>
          </w:tcPr>
          <w:p>
            <w:pPr>
              <w:jc w:val="left"/>
            </w:pPr>
            <w:r>
              <w:rPr>
                <w:sz w:val="20"/>
              </w:rPr>
              <w:t>Metal GPU</w:t>
            </w:r>
          </w:p>
        </w:tc>
        <w:tc>
          <w:tcPr>
            <w:tcW w:type="dxa" w:w="2767"/>
            <w:vAlign w:val="center"/>
          </w:tcPr>
          <w:p>
            <w:pPr>
              <w:jc w:val="left"/>
            </w:pPr>
            <w:r>
              <w:rPr>
                <w:sz w:val="20"/>
              </w:rPr>
              <w:t>点云渲染</w:t>
            </w:r>
          </w:p>
        </w:tc>
        <w:tc>
          <w:tcPr>
            <w:tcW w:type="dxa" w:w="2767"/>
            <w:vAlign w:val="center"/>
          </w:tcPr>
          <w:p>
            <w:pPr>
              <w:jc w:val="left"/>
            </w:pPr>
            <w:r>
              <w:rPr>
                <w:sz w:val="20"/>
              </w:rPr>
              <w:t>GPU (MPS)</w:t>
            </w:r>
          </w:p>
        </w:tc>
      </w:tr>
    </w:tbl>
    <w:p/>
    <w:p>
      <w:r>
        <w:rPr>
          <w:sz w:val="24"/>
        </w:rPr>
        <w:t>线程安全措施：所有 `@Published` 属性通过主线程写入；共享数据使用 NSLock 保护；点云快照使用 Metal commandBuffer 完成回调机制避免 GPU/CPU 竞争。</w:t>
      </w:r>
    </w:p>
    <w:p/>
    <w:p>
      <w:r>
        <w:rPr>
          <w:sz w:val="24"/>
        </w:rPr>
        <w:t>---</w:t>
      </w:r>
    </w:p>
    <w:p/>
    <w:p>
      <w:pPr>
        <w:pStyle w:val="Heading2"/>
      </w:pPr>
      <w:r>
        <w:rPr>
          <w:b/>
          <w:color w:val="000000"/>
          <w:sz w:val="24"/>
        </w:rPr>
        <w:t>4. 算法设计</w:t>
      </w:r>
    </w:p>
    <w:p/>
    <w:p>
      <w:pPr>
        <w:pStyle w:val="Heading3"/>
      </w:pPr>
      <w:r>
        <w:rPr>
          <w:b/>
          <w:color w:val="000000"/>
          <w:sz w:val="22"/>
        </w:rPr>
        <w:t>4.1 点云融合</w:t>
      </w:r>
    </w:p>
    <w:p/>
    <w:p>
      <w:r>
        <w:rPr>
          <w:sz w:val="24"/>
        </w:rPr>
        <w:t>单帧 LiDAR 点云稀疏且噪声大。系统通过多帧融合提高密度：</w:t>
      </w:r>
    </w:p>
    <w:p/>
    <w:p>
      <w:r>
        <w:rPr>
          <w:b/>
          <w:sz w:val="24"/>
        </w:rPr>
        <w:t>空间哈希</w:t>
      </w:r>
      <w:r>
        <w:rPr>
          <w:sz w:val="24"/>
        </w:rPr>
        <w:t>：使用 3D 哈希网格（单元格大小 5mm）去重。哈希函数使用三个大质数作为权重。</w:t>
      </w:r>
    </w:p>
    <w:p/>
    <w:p>
      <w:r>
        <w:rPr>
          <w:b/>
          <w:sz w:val="24"/>
        </w:rPr>
        <w:t>环形缓冲区</w:t>
      </w:r>
      <w:r>
        <w:rPr>
          <w:sz w:val="24"/>
        </w:rPr>
        <w:t>：可配置容量的环形缓冲区，缓冲区满时替换最旧的点，防止内存溢出。</w:t>
      </w:r>
    </w:p>
    <w:p/>
    <w:p>
      <w:r>
        <w:rPr>
          <w:b/>
          <w:sz w:val="24"/>
        </w:rPr>
        <w:t>运动阈值</w:t>
      </w:r>
      <w:r>
        <w:rPr>
          <w:sz w:val="24"/>
        </w:rPr>
        <w:t>：相机平移 &lt; 0.05m 或旋转 &lt; 2° 的帧被丢弃，避免累积冗余数据。</w:t>
      </w:r>
    </w:p>
    <w:p/>
    <w:p>
      <w:pPr>
        <w:pStyle w:val="Heading3"/>
      </w:pPr>
      <w:r>
        <w:rPr>
          <w:b/>
          <w:color w:val="000000"/>
          <w:sz w:val="22"/>
        </w:rPr>
        <w:t>4.2 颜色过滤</w:t>
      </w:r>
    </w:p>
    <w:p/>
    <w:p>
      <w:r>
        <w:rPr>
          <w:sz w:val="24"/>
        </w:rPr>
        <w:t>聚类前根据水果类型的 RGB 颜色阈值过滤点云，减少搜索空间并提高聚类精度。</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tblGrid>
      <w:tr>
        <w:tc>
          <w:tcPr>
            <w:tcW w:type="dxa" w:w="2075"/>
            <w:vAlign w:val="center"/>
            <w:shd w:fill="D9E2F3"/>
          </w:tcPr>
          <w:p>
            <w:pPr>
              <w:jc w:val="center"/>
            </w:pPr>
            <w:r>
              <w:rPr>
                <w:b/>
                <w:sz w:val="20"/>
              </w:rPr>
              <w:t>水果类别</w:t>
            </w:r>
          </w:p>
        </w:tc>
        <w:tc>
          <w:tcPr>
            <w:tcW w:type="dxa" w:w="2075"/>
            <w:vAlign w:val="center"/>
            <w:shd w:fill="D9E2F3"/>
          </w:tcPr>
          <w:p>
            <w:pPr>
              <w:jc w:val="center"/>
            </w:pPr>
            <w:r>
              <w:rPr>
                <w:b/>
                <w:sz w:val="20"/>
              </w:rPr>
              <w:t>R 范围</w:t>
            </w:r>
          </w:p>
        </w:tc>
        <w:tc>
          <w:tcPr>
            <w:tcW w:type="dxa" w:w="2075"/>
            <w:vAlign w:val="center"/>
            <w:shd w:fill="D9E2F3"/>
          </w:tcPr>
          <w:p>
            <w:pPr>
              <w:jc w:val="center"/>
            </w:pPr>
            <w:r>
              <w:rPr>
                <w:b/>
                <w:sz w:val="20"/>
              </w:rPr>
              <w:t>G 范围</w:t>
            </w:r>
          </w:p>
        </w:tc>
        <w:tc>
          <w:tcPr>
            <w:tcW w:type="dxa" w:w="2075"/>
            <w:vAlign w:val="center"/>
            <w:shd w:fill="D9E2F3"/>
          </w:tcPr>
          <w:p>
            <w:pPr>
              <w:jc w:val="center"/>
            </w:pPr>
            <w:r>
              <w:rPr>
                <w:b/>
                <w:sz w:val="20"/>
              </w:rPr>
              <w:t>B 范围</w:t>
            </w:r>
          </w:p>
        </w:tc>
      </w:tr>
      <w:tr>
        <w:tc>
          <w:tcPr>
            <w:tcW w:type="dxa" w:w="2075"/>
            <w:vAlign w:val="center"/>
          </w:tcPr>
          <w:p>
            <w:pPr>
              <w:jc w:val="left"/>
            </w:pPr>
            <w:r>
              <w:rPr>
                <w:sz w:val="20"/>
              </w:rPr>
              <w:t>苹果</w:t>
            </w:r>
          </w:p>
        </w:tc>
        <w:tc>
          <w:tcPr>
            <w:tcW w:type="dxa" w:w="2075"/>
            <w:vAlign w:val="center"/>
          </w:tcPr>
          <w:p>
            <w:pPr>
              <w:jc w:val="left"/>
            </w:pPr>
            <w:r>
              <w:rPr>
                <w:sz w:val="20"/>
              </w:rPr>
              <w:t>0.50-1.00</w:t>
            </w:r>
          </w:p>
        </w:tc>
        <w:tc>
          <w:tcPr>
            <w:tcW w:type="dxa" w:w="2075"/>
            <w:vAlign w:val="center"/>
          </w:tcPr>
          <w:p>
            <w:pPr>
              <w:jc w:val="left"/>
            </w:pPr>
            <w:r>
              <w:rPr>
                <w:sz w:val="20"/>
              </w:rPr>
              <w:t>0.00-0.50</w:t>
            </w:r>
          </w:p>
        </w:tc>
        <w:tc>
          <w:tcPr>
            <w:tcW w:type="dxa" w:w="2075"/>
            <w:vAlign w:val="center"/>
          </w:tcPr>
          <w:p>
            <w:pPr>
              <w:jc w:val="left"/>
            </w:pPr>
            <w:r>
              <w:rPr>
                <w:sz w:val="20"/>
              </w:rPr>
              <w:t>0.00-0.35</w:t>
            </w:r>
          </w:p>
        </w:tc>
      </w:tr>
      <w:tr>
        <w:tc>
          <w:tcPr>
            <w:tcW w:type="dxa" w:w="2075"/>
            <w:vAlign w:val="center"/>
          </w:tcPr>
          <w:p>
            <w:pPr>
              <w:jc w:val="left"/>
            </w:pPr>
            <w:r>
              <w:rPr>
                <w:sz w:val="20"/>
              </w:rPr>
              <w:t>柑橘</w:t>
            </w:r>
          </w:p>
        </w:tc>
        <w:tc>
          <w:tcPr>
            <w:tcW w:type="dxa" w:w="2075"/>
            <w:vAlign w:val="center"/>
          </w:tcPr>
          <w:p>
            <w:pPr>
              <w:jc w:val="left"/>
            </w:pPr>
            <w:r>
              <w:rPr>
                <w:sz w:val="20"/>
              </w:rPr>
              <w:t>0.70-1.00</w:t>
            </w:r>
          </w:p>
        </w:tc>
        <w:tc>
          <w:tcPr>
            <w:tcW w:type="dxa" w:w="2075"/>
            <w:vAlign w:val="center"/>
          </w:tcPr>
          <w:p>
            <w:pPr>
              <w:jc w:val="left"/>
            </w:pPr>
            <w:r>
              <w:rPr>
                <w:sz w:val="20"/>
              </w:rPr>
              <w:t>0.35-0.85</w:t>
            </w:r>
          </w:p>
        </w:tc>
        <w:tc>
          <w:tcPr>
            <w:tcW w:type="dxa" w:w="2075"/>
            <w:vAlign w:val="center"/>
          </w:tcPr>
          <w:p>
            <w:pPr>
              <w:jc w:val="left"/>
            </w:pPr>
            <w:r>
              <w:rPr>
                <w:sz w:val="20"/>
              </w:rPr>
              <w:t>0.00-0.30</w:t>
            </w:r>
          </w:p>
        </w:tc>
      </w:tr>
      <w:tr>
        <w:tc>
          <w:tcPr>
            <w:tcW w:type="dxa" w:w="2075"/>
            <w:vAlign w:val="center"/>
          </w:tcPr>
          <w:p>
            <w:pPr>
              <w:jc w:val="left"/>
            </w:pPr>
            <w:r>
              <w:rPr>
                <w:sz w:val="20"/>
              </w:rPr>
              <w:t>梨</w:t>
            </w:r>
          </w:p>
        </w:tc>
        <w:tc>
          <w:tcPr>
            <w:tcW w:type="dxa" w:w="2075"/>
            <w:vAlign w:val="center"/>
          </w:tcPr>
          <w:p>
            <w:pPr>
              <w:jc w:val="left"/>
            </w:pPr>
            <w:r>
              <w:rPr>
                <w:sz w:val="20"/>
              </w:rPr>
              <w:t>0.50-0.85</w:t>
            </w:r>
          </w:p>
        </w:tc>
        <w:tc>
          <w:tcPr>
            <w:tcW w:type="dxa" w:w="2075"/>
            <w:vAlign w:val="center"/>
          </w:tcPr>
          <w:p>
            <w:pPr>
              <w:jc w:val="left"/>
            </w:pPr>
            <w:r>
              <w:rPr>
                <w:sz w:val="20"/>
              </w:rPr>
              <w:t>0.45-0.80</w:t>
            </w:r>
          </w:p>
        </w:tc>
        <w:tc>
          <w:tcPr>
            <w:tcW w:type="dxa" w:w="2075"/>
            <w:vAlign w:val="center"/>
          </w:tcPr>
          <w:p>
            <w:pPr>
              <w:jc w:val="left"/>
            </w:pPr>
            <w:r>
              <w:rPr>
                <w:sz w:val="20"/>
              </w:rPr>
              <w:t>0.00-0.30</w:t>
            </w:r>
          </w:p>
        </w:tc>
      </w:tr>
      <w:tr>
        <w:tc>
          <w:tcPr>
            <w:tcW w:type="dxa" w:w="2075"/>
            <w:vAlign w:val="center"/>
          </w:tcPr>
          <w:p>
            <w:pPr>
              <w:jc w:val="left"/>
            </w:pPr>
            <w:r>
              <w:rPr>
                <w:sz w:val="20"/>
              </w:rPr>
              <w:t>桃</w:t>
            </w:r>
          </w:p>
        </w:tc>
        <w:tc>
          <w:tcPr>
            <w:tcW w:type="dxa" w:w="2075"/>
            <w:vAlign w:val="center"/>
          </w:tcPr>
          <w:p>
            <w:pPr>
              <w:jc w:val="left"/>
            </w:pPr>
            <w:r>
              <w:rPr>
                <w:sz w:val="20"/>
              </w:rPr>
              <w:t>0.60-1.00</w:t>
            </w:r>
          </w:p>
        </w:tc>
        <w:tc>
          <w:tcPr>
            <w:tcW w:type="dxa" w:w="2075"/>
            <w:vAlign w:val="center"/>
          </w:tcPr>
          <w:p>
            <w:pPr>
              <w:jc w:val="left"/>
            </w:pPr>
            <w:r>
              <w:rPr>
                <w:sz w:val="20"/>
              </w:rPr>
              <w:t>0.10-0.55</w:t>
            </w:r>
          </w:p>
        </w:tc>
        <w:tc>
          <w:tcPr>
            <w:tcW w:type="dxa" w:w="2075"/>
            <w:vAlign w:val="center"/>
          </w:tcPr>
          <w:p>
            <w:pPr>
              <w:jc w:val="left"/>
            </w:pPr>
            <w:r>
              <w:rPr>
                <w:sz w:val="20"/>
              </w:rPr>
              <w:t>0.00-0.40</w:t>
            </w:r>
          </w:p>
        </w:tc>
      </w:tr>
    </w:tbl>
    <w:p/>
    <w:p>
      <w:r>
        <w:rPr>
          <w:sz w:val="24"/>
        </w:rPr>
        <w:t>颜色阈值基于经验设定，实际应用中需要根据具体品种和成熟度调整。</w:t>
      </w:r>
    </w:p>
    <w:p/>
    <w:p>
      <w:pPr>
        <w:pStyle w:val="Heading3"/>
      </w:pPr>
      <w:r>
        <w:rPr>
          <w:b/>
          <w:color w:val="000000"/>
          <w:sz w:val="22"/>
        </w:rPr>
        <w:t>4.3 自适应 DBSCAN 聚类</w:t>
      </w:r>
    </w:p>
    <w:p/>
    <w:p>
      <w:r>
        <w:rPr>
          <w:sz w:val="24"/>
        </w:rPr>
        <w:t>标准 DBSCAN 的固定 ε 参数对 LiDAR 数据次优，因为点密度随距离平方衰减（∝ 1/d²）。</w:t>
      </w:r>
    </w:p>
    <w:p/>
    <w:p>
      <w:r>
        <w:rPr>
          <w:b/>
          <w:sz w:val="24"/>
        </w:rPr>
        <w:t>距离因子</w:t>
      </w:r>
      <w:r>
        <w:rPr>
          <w:sz w:val="24"/>
        </w:rPr>
        <w:t>：</w:t>
      </w:r>
    </w:p>
    <w:p>
      <w:pPr>
        <w:spacing w:before="80" w:after="80"/>
        <w:ind w:left="567" w:right="567"/>
        <w:shd w:fill="F5F5F5"/>
      </w:pPr>
      <w:r>
        <w:rPr>
          <w:rFonts w:ascii="Courier New" w:hAnsi="Courier New"/>
          <w:color w:val="2D2D2D"/>
          <w:sz w:val="18"/>
        </w:rPr>
        <w:t>ε_distance = ε_base × √(max(d, 0.3))</w:t>
      </w:r>
    </w:p>
    <w:p>
      <w:r>
        <w:rPr>
          <w:sz w:val="24"/>
        </w:rPr>
        <w:t>其中 d 为传感器到点的距离，0.3m 为 LiDAR 最小可靠范围。</w:t>
      </w:r>
    </w:p>
    <w:p/>
    <w:p>
      <w:r>
        <w:rPr>
          <w:b/>
          <w:sz w:val="24"/>
        </w:rPr>
        <w:t>密度因子</w:t>
      </w:r>
      <w:r>
        <w:rPr>
          <w:sz w:val="24"/>
        </w:rPr>
        <w:t>：</w:t>
      </w:r>
    </w:p>
    <w:p>
      <w:r>
        <w:rPr>
          <w:sz w:val="24"/>
        </w:rPr>
        <w:t>根据扫描区域平均点密度 ρ 调整：</w:t>
      </w:r>
    </w:p>
    <w:p>
      <w:pPr>
        <w:pStyle w:val="ListBullet"/>
      </w:pPr>
      <w:r>
        <w:rPr>
          <w:sz w:val="24"/>
        </w:rPr>
        <w:t>ρ &gt; 500 points/m³ → f_density = 0.8</w:t>
      </w:r>
    </w:p>
    <w:p>
      <w:pPr>
        <w:pStyle w:val="ListBullet"/>
      </w:pPr>
      <w:r>
        <w:rPr>
          <w:sz w:val="24"/>
        </w:rPr>
        <w:t>ρ &lt; 50 points/m³ → f_density = 1.5</w:t>
      </w:r>
    </w:p>
    <w:p>
      <w:pPr>
        <w:pStyle w:val="ListBullet"/>
      </w:pPr>
      <w:r>
        <w:rPr>
          <w:sz w:val="24"/>
        </w:rPr>
        <w:t>否则 f_density = 1.0</w:t>
      </w:r>
    </w:p>
    <w:p/>
    <w:p>
      <w:r>
        <w:rPr>
          <w:b/>
          <w:sz w:val="24"/>
        </w:rPr>
        <w:t>综合自适应 ε</w:t>
      </w:r>
      <w:r>
        <w:rPr>
          <w:sz w:val="24"/>
        </w:rPr>
        <w:t>：</w:t>
      </w:r>
    </w:p>
    <w:p>
      <w:pPr>
        <w:spacing w:before="80" w:after="80"/>
        <w:ind w:left="567" w:right="567"/>
        <w:shd w:fill="F5F5F5"/>
      </w:pPr>
      <w:r>
        <w:rPr>
          <w:rFonts w:ascii="Courier New" w:hAnsi="Courier New"/>
          <w:color w:val="2D2D2D"/>
          <w:sz w:val="18"/>
        </w:rPr>
        <w:t>ε_adaptive = ε_base × √(max(d, 0.3)) × f_density</w:t>
      </w:r>
    </w:p>
    <w:p>
      <w:r>
        <w:rPr>
          <w:sz w:val="24"/>
        </w:rPr>
        <w:t>边界约束：ε_min = ε_base × 0.5，ε_max = min(ε_base × 2.0, 0.08m)</w:t>
      </w:r>
    </w:p>
    <w:p/>
    <w:p>
      <w:r>
        <w:rPr>
          <w:b/>
          <w:sz w:val="24"/>
        </w:rPr>
        <w:t>噪声过滤</w:t>
      </w:r>
      <w:r>
        <w:rPr>
          <w:sz w:val="24"/>
        </w:rPr>
        <w:t>：聚类前移除 k-近邻距离超过平均邻域距离 3 倍的孤立点。</w:t>
      </w:r>
    </w:p>
    <w:p/>
    <w:p>
      <w:r>
        <w:rPr>
          <w:b/>
          <w:sz w:val="24"/>
        </w:rPr>
        <w:t>KD-Tree 加速</w:t>
      </w:r>
      <w:r>
        <w:rPr>
          <w:sz w:val="24"/>
        </w:rPr>
        <w:t>：构建 KD-Tree（O(N log N)）加速邻域查询（O(log N + k)）。</w:t>
      </w:r>
    </w:p>
    <w:p/>
    <w:p>
      <w:pPr>
        <w:pStyle w:val="Heading3"/>
      </w:pPr>
      <w:r>
        <w:rPr>
          <w:b/>
          <w:color w:val="000000"/>
          <w:sz w:val="22"/>
        </w:rPr>
        <w:t>4.4 聚类分析</w:t>
      </w:r>
    </w:p>
    <w:p/>
    <w:p>
      <w:r>
        <w:rPr>
          <w:sz w:val="24"/>
        </w:rPr>
        <w:t>聚类后，每个聚类经过以下验证：</w:t>
      </w:r>
    </w:p>
    <w:p/>
    <w:p>
      <w:pPr>
        <w:pStyle w:val="ListNumber"/>
      </w:pPr>
      <w:r>
        <w:rPr>
          <w:b/>
          <w:sz w:val="24"/>
        </w:rPr>
        <w:t>质心计算</w:t>
      </w:r>
      <w:r>
        <w:rPr>
          <w:sz w:val="24"/>
        </w:rPr>
        <w:t>：所有点位置的均值</w:t>
      </w:r>
    </w:p>
    <w:p>
      <w:pPr>
        <w:pStyle w:val="ListNumber"/>
      </w:pPr>
      <w:r>
        <w:rPr>
          <w:b/>
          <w:sz w:val="24"/>
        </w:rPr>
        <w:t>直径估算</w:t>
      </w:r>
      <w:r>
        <w:rPr>
          <w:sz w:val="24"/>
        </w:rPr>
        <w:t>：使用第 90 百分位距离（抗离群点）</w:t>
      </w:r>
    </w:p>
    <w:p>
      <w:pPr>
        <w:pStyle w:val="ListNumber"/>
      </w:pPr>
      <w:r>
        <w:rPr>
          <w:b/>
          <w:sz w:val="24"/>
        </w:rPr>
        <w:t>球形度计算</w:t>
      </w:r>
      <w:r>
        <w:rPr>
          <w:sz w:val="24"/>
        </w:rPr>
        <w:t>：协方差矩阵特征值比 λ_min / λ_max</w:t>
      </w:r>
    </w:p>
    <w:p>
      <w:pPr>
        <w:pStyle w:val="ListNumber"/>
      </w:pPr>
      <w:r>
        <w:rPr>
          <w:b/>
          <w:sz w:val="24"/>
        </w:rPr>
        <w:t>形状规则性</w:t>
      </w:r>
      <w:r>
        <w:rPr>
          <w:sz w:val="24"/>
        </w:rPr>
        <w:t>：距离标准差 σ_d &lt; 0.3 × r_avg</w:t>
      </w:r>
    </w:p>
    <w:p>
      <w:pPr>
        <w:pStyle w:val="ListNumber"/>
      </w:pPr>
      <w:r>
        <w:rPr>
          <w:b/>
          <w:sz w:val="24"/>
        </w:rPr>
        <w:t>颜色验证</w:t>
      </w:r>
      <w:r>
        <w:rPr>
          <w:sz w:val="24"/>
        </w:rPr>
        <w:t>：平均颜色匹配预期果实颜色</w:t>
      </w:r>
    </w:p>
    <w:p/>
    <w:p>
      <w:r>
        <w:rPr>
          <w:sz w:val="24"/>
        </w:rPr>
        <w:t>验证标准：</w:t>
      </w:r>
    </w:p>
    <w:p>
      <w:pPr>
        <w:pStyle w:val="ListBullet"/>
      </w:pPr>
      <w:r>
        <w:rPr>
          <w:sz w:val="24"/>
        </w:rPr>
        <w:t>尺寸在物种特定范围内</w:t>
      </w:r>
    </w:p>
    <w:p>
      <w:pPr>
        <w:pStyle w:val="ListBullet"/>
      </w:pPr>
      <w:r>
        <w:rPr>
          <w:sz w:val="24"/>
        </w:rPr>
        <w:t>球形度 ≥ 物种特定阈值</w:t>
      </w:r>
    </w:p>
    <w:p>
      <w:pPr>
        <w:pStyle w:val="ListBullet"/>
      </w:pPr>
      <w:r>
        <w:rPr>
          <w:sz w:val="24"/>
        </w:rPr>
        <w:t>颜色匹配</w:t>
      </w:r>
    </w:p>
    <w:p>
      <w:pPr>
        <w:pStyle w:val="ListBullet"/>
      </w:pPr>
      <w:r>
        <w:rPr>
          <w:sz w:val="24"/>
        </w:rPr>
        <w:t>形状规则</w:t>
      </w:r>
    </w:p>
    <w:p/>
    <w:p>
      <w:pPr>
        <w:pStyle w:val="Heading3"/>
      </w:pPr>
      <w:r>
        <w:rPr>
          <w:b/>
          <w:color w:val="000000"/>
          <w:sz w:val="22"/>
        </w:rPr>
        <w:t>4.5 二维视觉检测</w:t>
      </w:r>
    </w:p>
    <w:p/>
    <w:p>
      <w:r>
        <w:rPr>
          <w:sz w:val="24"/>
        </w:rPr>
        <w:t>使用 CoreML 果实检测模型（基于 COCO 类别训练的模型），异步处理相机帧，默认每 10 帧检测一次。</w:t>
      </w:r>
    </w:p>
    <w:p/>
    <w:p>
      <w:r>
        <w:rPr>
          <w:sz w:val="24"/>
        </w:rPr>
        <w:t>类别映射（基于 COCO 类别编号）：</w:t>
      </w:r>
    </w:p>
    <w:p>
      <w:pPr>
        <w:pStyle w:val="ListBullet"/>
      </w:pPr>
      <w:r>
        <w:rPr>
          <w:sz w:val="24"/>
        </w:rPr>
        <w:t>apple（77）→ Apple</w:t>
      </w:r>
    </w:p>
    <w:p>
      <w:pPr>
        <w:pStyle w:val="ListBullet"/>
      </w:pPr>
      <w:r>
        <w:rPr>
          <w:sz w:val="24"/>
        </w:rPr>
        <w:t>orange（78）→ Citrus</w:t>
      </w:r>
    </w:p>
    <w:p/>
    <w:p>
      <w:r>
        <w:rPr>
          <w:sz w:val="24"/>
        </w:rPr>
        <w:t>置信度阈值默认 0.5。</w:t>
      </w:r>
    </w:p>
    <w:p/>
    <w:p>
      <w:pPr>
        <w:pStyle w:val="Heading3"/>
      </w:pPr>
      <w:r>
        <w:rPr>
          <w:b/>
          <w:color w:val="000000"/>
          <w:sz w:val="22"/>
        </w:rPr>
        <w:t>4.6 多模态融合</w:t>
      </w:r>
    </w:p>
    <w:p/>
    <w:p>
      <w:r>
        <w:rPr>
          <w:sz w:val="24"/>
        </w:rPr>
        <w:t>将二维检测边界框投影到三维空间：</w:t>
      </w:r>
    </w:p>
    <w:p>
      <w:pPr>
        <w:pStyle w:val="ListNumber"/>
      </w:pPr>
      <w:r>
        <w:rPr>
          <w:sz w:val="24"/>
        </w:rPr>
        <w:t>计算二维中心点</w:t>
      </w:r>
    </w:p>
    <w:p>
      <w:pPr>
        <w:pStyle w:val="ListNumber"/>
      </w:pPr>
      <w:r>
        <w:rPr>
          <w:sz w:val="24"/>
        </w:rPr>
        <w:t>使用相机内参（fx, fy, cx, cy）计算归一化方向</w:t>
      </w:r>
    </w:p>
    <w:p>
      <w:pPr>
        <w:pStyle w:val="ListNumber"/>
      </w:pPr>
      <w:r>
        <w:rPr>
          <w:sz w:val="24"/>
        </w:rPr>
        <w:t>查询深度图获取距离</w:t>
      </w:r>
    </w:p>
    <w:p>
      <w:pPr>
        <w:pStyle w:val="ListNumber"/>
      </w:pPr>
      <w:r>
        <w:rPr>
          <w:sz w:val="24"/>
        </w:rPr>
        <w:t>构建三维射线</w:t>
      </w:r>
    </w:p>
    <w:p/>
    <w:p>
      <w:r>
        <w:rPr>
          <w:sz w:val="24"/>
        </w:rPr>
        <w:t>匹配策略：计算聚类中心到射线的最短距离，若 &lt; 直径 × 1.5 则匹配。</w:t>
      </w:r>
    </w:p>
    <w:p/>
    <w:p>
      <w:r>
        <w:rPr>
          <w:sz w:val="24"/>
        </w:rPr>
        <w:t>融合结果分类：</w:t>
      </w:r>
    </w:p>
    <w:p>
      <w:pPr>
        <w:pStyle w:val="ListBullet"/>
      </w:pPr>
      <w:r>
        <w:rPr>
          <w:b/>
          <w:sz w:val="24"/>
        </w:rPr>
        <w:t>fused</w:t>
      </w:r>
      <w:r>
        <w:rPr>
          <w:sz w:val="24"/>
        </w:rPr>
        <w:t>：二维和三维都匹配 → 高置信度</w:t>
      </w:r>
    </w:p>
    <w:p>
      <w:pPr>
        <w:pStyle w:val="ListBullet"/>
      </w:pPr>
      <w:r>
        <w:rPr>
          <w:b/>
          <w:sz w:val="24"/>
        </w:rPr>
        <w:t>image_only</w:t>
      </w:r>
      <w:r>
        <w:rPr>
          <w:sz w:val="24"/>
        </w:rPr>
        <w:t>：仅二维匹配 → 中等置信度</w:t>
      </w:r>
    </w:p>
    <w:p>
      <w:pPr>
        <w:pStyle w:val="ListBullet"/>
      </w:pPr>
      <w:r>
        <w:rPr>
          <w:b/>
          <w:sz w:val="24"/>
        </w:rPr>
        <w:t>cloud_only</w:t>
      </w:r>
      <w:r>
        <w:rPr>
          <w:sz w:val="24"/>
        </w:rPr>
        <w:t>：仅三维存在 → 中等置信度</w:t>
      </w:r>
    </w:p>
    <w:p/>
    <w:p>
      <w:pPr>
        <w:pStyle w:val="Heading3"/>
      </w:pPr>
      <w:r>
        <w:rPr>
          <w:b/>
          <w:color w:val="000000"/>
          <w:sz w:val="22"/>
        </w:rPr>
        <w:t>4.7 遮挡校正</w:t>
      </w:r>
    </w:p>
    <w:p/>
    <w:p>
      <w:r>
        <w:rPr>
          <w:sz w:val="24"/>
        </w:rPr>
        <w:t>基于球形壳假设和二维/三维检测比率的校正模型：</w:t>
      </w:r>
    </w:p>
    <w:p/>
    <w:p>
      <w:pPr>
        <w:spacing w:before="80" w:after="80"/>
        <w:ind w:left="567" w:right="567"/>
        <w:shd w:fill="F5F5F5"/>
      </w:pPr>
      <w:r>
        <w:rPr>
          <w:rFonts w:ascii="Courier New" w:hAnsi="Courier New"/>
          <w:color w:val="2D2D2D"/>
          <w:sz w:val="18"/>
        </w:rPr>
        <w:t>K = n_visual / n_lidar</w:t>
      </w:r>
    </w:p>
    <w:p/>
    <w:p>
      <w:r>
        <w:rPr>
          <w:sz w:val="24"/>
        </w:rPr>
        <w:t>其中 n_lidar 为三维聚类检测到的果实数，n_visual 为二维检测到的果实数。K &gt; 1 表明存在被遮挡果实。</w:t>
      </w:r>
    </w:p>
    <w:p/>
    <w:p>
      <w:r>
        <w:rPr>
          <w:sz w:val="24"/>
        </w:rPr>
        <w:t>校正后总产量：</w:t>
      </w:r>
    </w:p>
    <w:p>
      <w:pPr>
        <w:spacing w:before="80" w:after="80"/>
        <w:ind w:left="567" w:right="567"/>
        <w:shd w:fill="F5F5F5"/>
      </w:pPr>
      <w:r>
        <w:rPr>
          <w:rFonts w:ascii="Courier New" w:hAnsi="Courier New"/>
          <w:color w:val="2D2D2D"/>
          <w:sz w:val="18"/>
        </w:rPr>
        <w:t>W_total = Σ Wᵢ × K</w:t>
      </w:r>
    </w:p>
    <w:p/>
    <w:p>
      <w:pPr>
        <w:pStyle w:val="Heading3"/>
      </w:pPr>
      <w:r>
        <w:rPr>
          <w:b/>
          <w:color w:val="000000"/>
          <w:sz w:val="22"/>
        </w:rPr>
        <w:t>4.8 双路线产量估算</w:t>
      </w:r>
    </w:p>
    <w:p/>
    <w:p>
      <w:r>
        <w:rPr>
          <w:b/>
          <w:sz w:val="24"/>
        </w:rPr>
        <w:t>路线 A：冠层结构回归</w:t>
      </w:r>
      <w:r>
        <w:rPr>
          <w:sz w:val="24"/>
        </w:rPr>
        <w:t>（非成熟期）</w:t>
      </w:r>
    </w:p>
    <w:p>
      <w:pPr>
        <w:spacing w:before="80" w:after="80"/>
        <w:ind w:left="567" w:right="567"/>
        <w:shd w:fill="F5F5F5"/>
      </w:pPr>
      <w:r>
        <w:rPr>
          <w:rFonts w:ascii="Courier New" w:hAnsi="Courier New"/>
          <w:color w:val="2D2D2D"/>
          <w:sz w:val="18"/>
        </w:rPr>
        <w:t>Y = b₀ + b₁·DBH + b₂·H + b₃·V_canopy + b₄·D_EW + b₅·D_NS</w:t>
      </w:r>
    </w:p>
    <w:p>
      <w:r>
        <w:rPr>
          <w:sz w:val="24"/>
        </w:rPr>
        <w:t>回归系数需要通过实际收获数据训练。</w:t>
      </w:r>
    </w:p>
    <w:p/>
    <w:p>
      <w:r>
        <w:rPr>
          <w:b/>
          <w:sz w:val="24"/>
        </w:rPr>
        <w:t>路线 B：果实体积法</w:t>
      </w:r>
      <w:r>
        <w:rPr>
          <w:sz w:val="24"/>
        </w:rPr>
        <w:t>（成熟期主路线）</w:t>
      </w:r>
    </w:p>
    <w:p>
      <w:pPr>
        <w:spacing w:before="80" w:after="80"/>
        <w:ind w:left="567" w:right="567"/>
        <w:shd w:fill="F5F5F5"/>
      </w:pPr>
      <w:r>
        <w:rPr>
          <w:rFonts w:ascii="Courier New" w:hAnsi="Courier New"/>
          <w:color w:val="2D2D2D"/>
          <w:sz w:val="18"/>
        </w:rPr>
        <w:t>Vᵢ = (4/3) × π × rᵢ³</w:t>
        <w:br/>
        <w:t>Wᵢ = Vᵢ × ρ_species</w:t>
      </w:r>
    </w:p>
    <w:p/>
    <w:p>
      <w:r>
        <w:rPr>
          <w:b/>
          <w:sz w:val="24"/>
        </w:rPr>
        <w:t>融合策略</w:t>
      </w:r>
      <w:r>
        <w:rPr>
          <w:sz w:val="24"/>
        </w:rPr>
        <w:t>：两条路线估算差异 &lt; 15% 时使用加权平均（A:40%, B:60%）；15-30% 时使用简单平均；&gt; 30% 时标记需人工复核。</w:t>
      </w:r>
    </w:p>
    <w:p/>
    <w:p>
      <w:pPr>
        <w:pStyle w:val="Heading3"/>
      </w:pPr>
      <w:r>
        <w:rPr>
          <w:b/>
          <w:color w:val="000000"/>
          <w:sz w:val="22"/>
        </w:rPr>
        <w:t>4.9 检测结果去重</w:t>
      </w:r>
    </w:p>
    <w:p/>
    <w:p>
      <w:pPr>
        <w:pStyle w:val="ListBullet"/>
      </w:pPr>
      <w:r>
        <w:rPr>
          <w:b/>
          <w:sz w:val="24"/>
        </w:rPr>
        <w:t>二维 IoU 去重</w:t>
      </w:r>
      <w:r>
        <w:rPr>
          <w:sz w:val="24"/>
        </w:rPr>
        <w:t>：5 秒时间窗口内，IoU &gt; 0.5 视为重复</w:t>
      </w:r>
    </w:p>
    <w:p>
      <w:pPr>
        <w:pStyle w:val="ListBullet"/>
      </w:pPr>
      <w:r>
        <w:rPr>
          <w:b/>
          <w:sz w:val="24"/>
        </w:rPr>
        <w:t>三维空间去重</w:t>
      </w:r>
      <w:r>
        <w:rPr>
          <w:sz w:val="24"/>
        </w:rPr>
        <w:t>：聚类中心距离 &lt; 0.8 × 平均直径则合并</w:t>
      </w:r>
    </w:p>
    <w:p/>
    <w:p>
      <w:r>
        <w:rPr>
          <w:sz w:val="24"/>
        </w:rPr>
        <w:t>---</w:t>
      </w:r>
    </w:p>
    <w:p/>
    <w:p>
      <w:pPr>
        <w:pStyle w:val="Heading2"/>
      </w:pPr>
      <w:r>
        <w:rPr>
          <w:b/>
          <w:color w:val="000000"/>
          <w:sz w:val="24"/>
        </w:rPr>
        <w:t>5. 实现细节</w:t>
      </w:r>
    </w:p>
    <w:p/>
    <w:p>
      <w:pPr>
        <w:pStyle w:val="Heading3"/>
      </w:pPr>
      <w:r>
        <w:rPr>
          <w:b/>
          <w:color w:val="000000"/>
          <w:sz w:val="22"/>
        </w:rPr>
        <w:t>5.1 点云渲染优化</w:t>
      </w:r>
    </w:p>
    <w:p/>
    <w:p>
      <w:r>
        <w:rPr>
          <w:sz w:val="24"/>
        </w:rPr>
        <w:t>初始方案使用 SCNNode 逐点渲染，O(N) 复杂度导致大点云时内存溢出（50 万点超过 2GB，应用崩溃）。优化方案使用自定义 SCNGeometry 的 `.point` 基元，单次绘制调用渲染所有点，内存使用降低约 90%，支持 500 万点稳定 60 FPS。</w:t>
      </w:r>
    </w:p>
    <w:p/>
    <w:p>
      <w:pPr>
        <w:pStyle w:val="Heading3"/>
      </w:pPr>
      <w:r>
        <w:rPr>
          <w:b/>
          <w:color w:val="000000"/>
          <w:sz w:val="22"/>
        </w:rPr>
        <w:t>5.2 GPU/CPU 同步</w:t>
      </w:r>
    </w:p>
    <w:p/>
    <w:p>
      <w:r>
        <w:rPr>
          <w:sz w:val="24"/>
        </w:rPr>
        <w:t>渲染器点云数据在 GPU 上更新，导出函数在 CPU 上读取。通过 Metal commandBuffer 回调实现快照机制：commandBuffer 完成后更新快照缓冲区，导出函数从快照读取，避免竞争条件。</w:t>
      </w:r>
    </w:p>
    <w:p/>
    <w:p>
      <w:pPr>
        <w:pStyle w:val="Heading3"/>
      </w:pPr>
      <w:r>
        <w:rPr>
          <w:b/>
          <w:color w:val="000000"/>
          <w:sz w:val="22"/>
        </w:rPr>
        <w:t>5.3 导出格式</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格式</w:t>
            </w:r>
          </w:p>
        </w:tc>
        <w:tc>
          <w:tcPr>
            <w:tcW w:type="dxa" w:w="2767"/>
            <w:vAlign w:val="center"/>
            <w:shd w:fill="D9E2F3"/>
          </w:tcPr>
          <w:p>
            <w:pPr>
              <w:jc w:val="center"/>
            </w:pPr>
            <w:r>
              <w:rPr>
                <w:b/>
                <w:sz w:val="20"/>
              </w:rPr>
              <w:t>描述</w:t>
            </w:r>
          </w:p>
        </w:tc>
        <w:tc>
          <w:tcPr>
            <w:tcW w:type="dxa" w:w="2767"/>
            <w:vAlign w:val="center"/>
            <w:shd w:fill="D9E2F3"/>
          </w:tcPr>
          <w:p>
            <w:pPr>
              <w:jc w:val="center"/>
            </w:pPr>
            <w:r>
              <w:rPr>
                <w:b/>
                <w:sz w:val="20"/>
              </w:rPr>
              <w:t>文件大小</w:t>
            </w:r>
          </w:p>
        </w:tc>
      </w:tr>
      <w:tr>
        <w:tc>
          <w:tcPr>
            <w:tcW w:type="dxa" w:w="2767"/>
            <w:vAlign w:val="center"/>
          </w:tcPr>
          <w:p>
            <w:pPr>
              <w:jc w:val="left"/>
            </w:pPr>
            <w:r>
              <w:rPr>
                <w:sz w:val="20"/>
              </w:rPr>
              <w:t>ASCII PLY</w:t>
            </w:r>
          </w:p>
        </w:tc>
        <w:tc>
          <w:tcPr>
            <w:tcW w:type="dxa" w:w="2767"/>
            <w:vAlign w:val="center"/>
          </w:tcPr>
          <w:p>
            <w:pPr>
              <w:jc w:val="left"/>
            </w:pPr>
            <w:r>
              <w:rPr>
                <w:sz w:val="20"/>
              </w:rPr>
              <w:t>人类可读</w:t>
            </w:r>
          </w:p>
        </w:tc>
        <w:tc>
          <w:tcPr>
            <w:tcW w:type="dxa" w:w="2767"/>
            <w:vAlign w:val="center"/>
          </w:tcPr>
          <w:p>
            <w:pPr>
              <w:jc w:val="left"/>
            </w:pPr>
            <w:r>
              <w:rPr>
                <w:sz w:val="20"/>
              </w:rPr>
              <w:t>~50 字节/点</w:t>
            </w:r>
          </w:p>
        </w:tc>
      </w:tr>
      <w:tr>
        <w:tc>
          <w:tcPr>
            <w:tcW w:type="dxa" w:w="2767"/>
            <w:vAlign w:val="center"/>
          </w:tcPr>
          <w:p>
            <w:pPr>
              <w:jc w:val="left"/>
            </w:pPr>
            <w:r>
              <w:rPr>
                <w:sz w:val="20"/>
              </w:rPr>
              <w:t>Binary PLY</w:t>
            </w:r>
          </w:p>
        </w:tc>
        <w:tc>
          <w:tcPr>
            <w:tcW w:type="dxa" w:w="2767"/>
            <w:vAlign w:val="center"/>
          </w:tcPr>
          <w:p>
            <w:pPr>
              <w:jc w:val="left"/>
            </w:pPr>
            <w:r>
              <w:rPr>
                <w:sz w:val="20"/>
              </w:rPr>
              <w:t>小端二进制</w:t>
            </w:r>
          </w:p>
        </w:tc>
        <w:tc>
          <w:tcPr>
            <w:tcW w:type="dxa" w:w="2767"/>
            <w:vAlign w:val="center"/>
          </w:tcPr>
          <w:p>
            <w:pPr>
              <w:jc w:val="left"/>
            </w:pPr>
            <w:r>
              <w:rPr>
                <w:sz w:val="20"/>
              </w:rPr>
              <w:t>~28 字节/点</w:t>
            </w:r>
          </w:p>
        </w:tc>
      </w:tr>
      <w:tr>
        <w:tc>
          <w:tcPr>
            <w:tcW w:type="dxa" w:w="2767"/>
            <w:vAlign w:val="center"/>
          </w:tcPr>
          <w:p>
            <w:pPr>
              <w:jc w:val="left"/>
            </w:pPr>
            <w:r>
              <w:rPr>
                <w:sz w:val="20"/>
              </w:rPr>
              <w:t>OBJ Mesh</w:t>
            </w:r>
          </w:p>
        </w:tc>
        <w:tc>
          <w:tcPr>
            <w:tcW w:type="dxa" w:w="2767"/>
            <w:vAlign w:val="center"/>
          </w:tcPr>
          <w:p>
            <w:pPr>
              <w:jc w:val="left"/>
            </w:pPr>
            <w:r>
              <w:rPr>
                <w:sz w:val="20"/>
              </w:rPr>
              <w:t>ARKit 网格重建</w:t>
            </w:r>
          </w:p>
        </w:tc>
        <w:tc>
          <w:tcPr>
            <w:tcW w:type="dxa" w:w="2767"/>
            <w:vAlign w:val="center"/>
          </w:tcPr>
          <w:p>
            <w:pPr>
              <w:jc w:val="left"/>
            </w:pPr>
            <w:r>
              <w:rPr>
                <w:sz w:val="20"/>
              </w:rPr>
              <w:t>兼容 Blender/MeshLab</w:t>
            </w:r>
          </w:p>
        </w:tc>
      </w:tr>
      <w:tr>
        <w:tc>
          <w:tcPr>
            <w:tcW w:type="dxa" w:w="2767"/>
            <w:vAlign w:val="center"/>
          </w:tcPr>
          <w:p>
            <w:pPr>
              <w:jc w:val="left"/>
            </w:pPr>
            <w:r>
              <w:rPr>
                <w:sz w:val="20"/>
              </w:rPr>
              <w:t>CSV</w:t>
            </w:r>
          </w:p>
        </w:tc>
        <w:tc>
          <w:tcPr>
            <w:tcW w:type="dxa" w:w="2767"/>
            <w:vAlign w:val="center"/>
          </w:tcPr>
          <w:p>
            <w:pPr>
              <w:jc w:val="left"/>
            </w:pPr>
            <w:r>
              <w:rPr>
                <w:sz w:val="20"/>
              </w:rPr>
              <w:t>扫描记录</w:t>
            </w:r>
          </w:p>
        </w:tc>
        <w:tc>
          <w:tcPr>
            <w:tcW w:type="dxa" w:w="2767"/>
            <w:vAlign w:val="center"/>
          </w:tcPr>
          <w:p>
            <w:pPr>
              <w:jc w:val="left"/>
            </w:pPr>
            <w:r>
              <w:rPr>
                <w:sz w:val="20"/>
              </w:rPr>
              <w:t>—</w:t>
            </w:r>
          </w:p>
        </w:tc>
      </w:tr>
      <w:tr>
        <w:tc>
          <w:tcPr>
            <w:tcW w:type="dxa" w:w="2767"/>
            <w:vAlign w:val="center"/>
          </w:tcPr>
          <w:p>
            <w:pPr>
              <w:jc w:val="left"/>
            </w:pPr>
            <w:r>
              <w:rPr>
                <w:sz w:val="20"/>
              </w:rPr>
              <w:t>JSON</w:t>
            </w:r>
          </w:p>
        </w:tc>
        <w:tc>
          <w:tcPr>
            <w:tcW w:type="dxa" w:w="2767"/>
            <w:vAlign w:val="center"/>
          </w:tcPr>
          <w:p>
            <w:pPr>
              <w:jc w:val="left"/>
            </w:pPr>
            <w:r>
              <w:rPr>
                <w:sz w:val="20"/>
              </w:rPr>
              <w:t>含每果详情</w:t>
            </w:r>
          </w:p>
        </w:tc>
        <w:tc>
          <w:tcPr>
            <w:tcW w:type="dxa" w:w="2767"/>
            <w:vAlign w:val="center"/>
          </w:tcPr>
          <w:p>
            <w:pPr>
              <w:jc w:val="left"/>
            </w:pPr>
            <w:r>
              <w:rPr>
                <w:sz w:val="20"/>
              </w:rPr>
              <w:t>—</w:t>
            </w:r>
          </w:p>
        </w:tc>
      </w:tr>
    </w:tbl>
    <w:p/>
    <w:p>
      <w:pPr>
        <w:pStyle w:val="Heading3"/>
      </w:pPr>
      <w:r>
        <w:rPr>
          <w:b/>
          <w:color w:val="000000"/>
          <w:sz w:val="22"/>
        </w:rPr>
        <w:t>5.4 扫描质量监控</w:t>
      </w:r>
    </w:p>
    <w:p/>
    <w:p>
      <w:r>
        <w:rPr>
          <w:sz w:val="24"/>
        </w:rPr>
        <w:t>实时监控五项指标并给出综合质量评分（0-100 分）：</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指标</w:t>
            </w:r>
          </w:p>
        </w:tc>
        <w:tc>
          <w:tcPr>
            <w:tcW w:type="dxa" w:w="4150"/>
            <w:vAlign w:val="center"/>
            <w:shd w:fill="D9E2F3"/>
          </w:tcPr>
          <w:p>
            <w:pPr>
              <w:jc w:val="center"/>
            </w:pPr>
            <w:r>
              <w:rPr>
                <w:b/>
                <w:sz w:val="20"/>
              </w:rPr>
              <w:t>评分</w:t>
            </w:r>
          </w:p>
        </w:tc>
      </w:tr>
      <w:tr>
        <w:tc>
          <w:tcPr>
            <w:tcW w:type="dxa" w:w="4150"/>
            <w:vAlign w:val="center"/>
          </w:tcPr>
          <w:p>
            <w:pPr>
              <w:jc w:val="left"/>
            </w:pPr>
            <w:r>
              <w:rPr>
                <w:sz w:val="20"/>
              </w:rPr>
              <w:t>点密度</w:t>
            </w:r>
          </w:p>
        </w:tc>
        <w:tc>
          <w:tcPr>
            <w:tcW w:type="dxa" w:w="4150"/>
            <w:vAlign w:val="center"/>
          </w:tcPr>
          <w:p>
            <w:pPr>
              <w:jc w:val="left"/>
            </w:pPr>
            <w:r>
              <w:rPr>
                <w:sz w:val="20"/>
              </w:rPr>
              <w:t>0-30 分</w:t>
            </w:r>
          </w:p>
        </w:tc>
      </w:tr>
      <w:tr>
        <w:tc>
          <w:tcPr>
            <w:tcW w:type="dxa" w:w="4150"/>
            <w:vAlign w:val="center"/>
          </w:tcPr>
          <w:p>
            <w:pPr>
              <w:jc w:val="left"/>
            </w:pPr>
            <w:r>
              <w:rPr>
                <w:sz w:val="20"/>
              </w:rPr>
              <w:t>光照水平</w:t>
            </w:r>
          </w:p>
        </w:tc>
        <w:tc>
          <w:tcPr>
            <w:tcW w:type="dxa" w:w="4150"/>
            <w:vAlign w:val="center"/>
          </w:tcPr>
          <w:p>
            <w:pPr>
              <w:jc w:val="left"/>
            </w:pPr>
            <w:r>
              <w:rPr>
                <w:sz w:val="20"/>
              </w:rPr>
              <w:t>0-25 分</w:t>
            </w:r>
          </w:p>
        </w:tc>
      </w:tr>
      <w:tr>
        <w:tc>
          <w:tcPr>
            <w:tcW w:type="dxa" w:w="4150"/>
            <w:vAlign w:val="center"/>
          </w:tcPr>
          <w:p>
            <w:pPr>
              <w:jc w:val="left"/>
            </w:pPr>
            <w:r>
              <w:rPr>
                <w:sz w:val="20"/>
              </w:rPr>
              <w:t>扫描角度</w:t>
            </w:r>
          </w:p>
        </w:tc>
        <w:tc>
          <w:tcPr>
            <w:tcW w:type="dxa" w:w="4150"/>
            <w:vAlign w:val="center"/>
          </w:tcPr>
          <w:p>
            <w:pPr>
              <w:jc w:val="left"/>
            </w:pPr>
            <w:r>
              <w:rPr>
                <w:sz w:val="20"/>
              </w:rPr>
              <w:t>0-20 分</w:t>
            </w:r>
          </w:p>
        </w:tc>
      </w:tr>
      <w:tr>
        <w:tc>
          <w:tcPr>
            <w:tcW w:type="dxa" w:w="4150"/>
            <w:vAlign w:val="center"/>
          </w:tcPr>
          <w:p>
            <w:pPr>
              <w:jc w:val="left"/>
            </w:pPr>
            <w:r>
              <w:rPr>
                <w:sz w:val="20"/>
              </w:rPr>
              <w:t>追踪状态</w:t>
            </w:r>
          </w:p>
        </w:tc>
        <w:tc>
          <w:tcPr>
            <w:tcW w:type="dxa" w:w="4150"/>
            <w:vAlign w:val="center"/>
          </w:tcPr>
          <w:p>
            <w:pPr>
              <w:jc w:val="left"/>
            </w:pPr>
            <w:r>
              <w:rPr>
                <w:sz w:val="20"/>
              </w:rPr>
              <w:t>0-25 分</w:t>
            </w:r>
          </w:p>
        </w:tc>
      </w:tr>
    </w:tbl>
    <w:p/>
    <w:p>
      <w:r>
        <w:rPr>
          <w:sz w:val="24"/>
        </w:rPr>
        <w:t>评分范围：0-29 差，30-49 一般，50-69 良好，70-89 优秀，90-100 极佳。</w:t>
      </w:r>
    </w:p>
    <w:p/>
    <w:p>
      <w:pPr>
        <w:pStyle w:val="Heading3"/>
      </w:pPr>
      <w:r>
        <w:rPr>
          <w:b/>
          <w:color w:val="000000"/>
          <w:sz w:val="22"/>
        </w:rPr>
        <w:t>5.5 水果类型支持</w:t>
      </w:r>
    </w:p>
    <w:p/>
    <w:p>
      <w:r>
        <w:rPr>
          <w:sz w:val="24"/>
        </w:rPr>
        <w:t>系统支持 28 种水果，每种配置独立物理参数：</w:t>
      </w:r>
    </w:p>
    <w:p/>
    <w:p>
      <w:r>
        <w:rPr>
          <w:sz w:val="24"/>
        </w:rPr>
        <w:t>苹果、柑橘、柑、柚子、梨、桃子、樱桃、葡萄、柿子、芒果、猕猴桃、李子、石榴、枇杷、荔枝、龙眼、杨梅、枣、山楂、无花果、木瓜、板栗、桑葚、蓝莓、草莓、椰子</w:t>
      </w:r>
    </w:p>
    <w:p/>
    <w:p>
      <w:r>
        <w:rPr>
          <w:sz w:val="24"/>
        </w:rPr>
        <w:t>每种水果配置包含：密度（g/cm³）、最小直径、最大直径、球形度阈值、颜色过滤器。</w:t>
      </w:r>
    </w:p>
    <w:p/>
    <w:p>
      <w:r>
        <w:rPr>
          <w:sz w:val="24"/>
        </w:rPr>
        <w:t>---</w:t>
      </w:r>
    </w:p>
    <w:p/>
    <w:p>
      <w:pPr>
        <w:pStyle w:val="Heading2"/>
      </w:pPr>
      <w:r>
        <w:rPr>
          <w:b/>
          <w:color w:val="000000"/>
          <w:sz w:val="24"/>
        </w:rPr>
        <w:t>6. 实验设计框架 ⚠️ 待实测</w:t>
      </w:r>
    </w:p>
    <w:p/>
    <w:p>
      <w:pPr>
        <w:spacing w:before="120" w:after="120"/>
        <w:ind w:left="567" w:right="567"/>
        <w:shd w:fill="F0F0F0"/>
      </w:pPr>
      <w:r>
        <w:rPr>
          <w:i/>
          <w:color w:val="555555"/>
          <w:sz w:val="22"/>
        </w:rPr>
        <w:t>**⚠️ 重要声明**：本节描述实验设计方案。所有实验数据需要在实际果园环境中通过真实称重数据收集后方可填写。目前系统处于开发完成阶段，尚未进行实地实验验证。</w:t>
      </w:r>
    </w:p>
    <w:p/>
    <w:p>
      <w:pPr>
        <w:pStyle w:val="Heading3"/>
      </w:pPr>
      <w:r>
        <w:rPr>
          <w:b/>
          <w:color w:val="000000"/>
          <w:sz w:val="22"/>
        </w:rPr>
        <w:t>6.1 实验目标</w:t>
      </w:r>
    </w:p>
    <w:p/>
    <w:p>
      <w:r>
        <w:rPr>
          <w:sz w:val="24"/>
        </w:rPr>
        <w:t>评估 FruitTreeScanner 系统在果园环境中的果实检测和产量估算性能，验证消费级 LiDAR 在农业场景中的技术可行性。</w:t>
      </w:r>
    </w:p>
    <w:p/>
    <w:p>
      <w:pPr>
        <w:pStyle w:val="Heading3"/>
      </w:pPr>
      <w:r>
        <w:rPr>
          <w:b/>
          <w:color w:val="000000"/>
          <w:sz w:val="22"/>
        </w:rPr>
        <w:t>6.2 实验设计</w:t>
      </w:r>
    </w:p>
    <w:p/>
    <w:p>
      <w:r>
        <w:rPr>
          <w:b/>
          <w:sz w:val="24"/>
        </w:rPr>
        <w:t>硬件</w:t>
      </w:r>
      <w:r>
        <w:rPr>
          <w:sz w:val="24"/>
        </w:rPr>
        <w:t>：iPad Pro 12.9 英寸（2022，M2 芯片）</w:t>
      </w:r>
    </w:p>
    <w:p/>
    <w:p>
      <w:r>
        <w:rPr>
          <w:b/>
          <w:sz w:val="24"/>
        </w:rPr>
        <w:t>测试场景</w:t>
      </w:r>
      <w:r>
        <w:rPr>
          <w:sz w:val="24"/>
        </w:rPr>
        <w:t>：待选定果园（建议至少包含两种水果类型、不同生长阶段）</w:t>
      </w:r>
    </w:p>
    <w:p/>
    <w:p>
      <w:r>
        <w:rPr>
          <w:b/>
          <w:sz w:val="24"/>
        </w:rPr>
        <w:t>真实值采集</w:t>
      </w:r>
      <w:r>
        <w:rPr>
          <w:sz w:val="24"/>
        </w:rPr>
        <w:t>：每棵树果实被人工计数并逐个称重，作为检测和产量估算精度的参考标准</w:t>
      </w:r>
    </w:p>
    <w:p/>
    <w:p>
      <w:r>
        <w:rPr>
          <w:b/>
          <w:sz w:val="24"/>
        </w:rPr>
        <w:t>评估指标</w:t>
      </w:r>
      <w:r>
        <w:rPr>
          <w:sz w:val="24"/>
        </w:rPr>
        <w:t>：</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指标</w:t>
            </w:r>
          </w:p>
        </w:tc>
        <w:tc>
          <w:tcPr>
            <w:tcW w:type="dxa" w:w="4150"/>
            <w:vAlign w:val="center"/>
            <w:shd w:fill="D9E2F3"/>
          </w:tcPr>
          <w:p>
            <w:pPr>
              <w:jc w:val="center"/>
            </w:pPr>
            <w:r>
              <w:rPr>
                <w:b/>
                <w:sz w:val="20"/>
              </w:rPr>
              <w:t>定义</w:t>
            </w:r>
          </w:p>
        </w:tc>
      </w:tr>
      <w:tr>
        <w:tc>
          <w:tcPr>
            <w:tcW w:type="dxa" w:w="4150"/>
            <w:vAlign w:val="center"/>
          </w:tcPr>
          <w:p>
            <w:pPr>
              <w:jc w:val="left"/>
            </w:pPr>
            <w:r>
              <w:rPr>
                <w:sz w:val="20"/>
              </w:rPr>
              <w:t>检测率</w:t>
            </w:r>
          </w:p>
        </w:tc>
        <w:tc>
          <w:tcPr>
            <w:tcW w:type="dxa" w:w="4150"/>
            <w:vAlign w:val="center"/>
          </w:tcPr>
          <w:p>
            <w:pPr>
              <w:jc w:val="left"/>
            </w:pPr>
            <w:r>
              <w:rPr>
                <w:sz w:val="20"/>
              </w:rPr>
              <w:t>TP / (TP + FN)</w:t>
            </w:r>
          </w:p>
        </w:tc>
      </w:tr>
      <w:tr>
        <w:tc>
          <w:tcPr>
            <w:tcW w:type="dxa" w:w="4150"/>
            <w:vAlign w:val="center"/>
          </w:tcPr>
          <w:p>
            <w:pPr>
              <w:jc w:val="left"/>
            </w:pPr>
            <w:r>
              <w:rPr>
                <w:sz w:val="20"/>
              </w:rPr>
              <w:t>精确率</w:t>
            </w:r>
          </w:p>
        </w:tc>
        <w:tc>
          <w:tcPr>
            <w:tcW w:type="dxa" w:w="4150"/>
            <w:vAlign w:val="center"/>
          </w:tcPr>
          <w:p>
            <w:pPr>
              <w:jc w:val="left"/>
            </w:pPr>
            <w:r>
              <w:rPr>
                <w:sz w:val="20"/>
              </w:rPr>
              <w:t>TP / (TP + FP)</w:t>
            </w:r>
          </w:p>
        </w:tc>
      </w:tr>
      <w:tr>
        <w:tc>
          <w:tcPr>
            <w:tcW w:type="dxa" w:w="4150"/>
            <w:vAlign w:val="center"/>
          </w:tcPr>
          <w:p>
            <w:pPr>
              <w:jc w:val="left"/>
            </w:pPr>
            <w:r>
              <w:rPr>
                <w:sz w:val="20"/>
              </w:rPr>
              <w:t>F1 Score</w:t>
            </w:r>
          </w:p>
        </w:tc>
        <w:tc>
          <w:tcPr>
            <w:tcW w:type="dxa" w:w="4150"/>
            <w:vAlign w:val="center"/>
          </w:tcPr>
          <w:p>
            <w:pPr>
              <w:jc w:val="left"/>
            </w:pPr>
            <w:r>
              <w:rPr>
                <w:sz w:val="20"/>
              </w:rPr>
              <w:t>2 × (Precision × Recall) / (Precision + Recall)</w:t>
            </w:r>
          </w:p>
        </w:tc>
      </w:tr>
      <w:tr>
        <w:tc>
          <w:tcPr>
            <w:tcW w:type="dxa" w:w="4150"/>
            <w:vAlign w:val="center"/>
          </w:tcPr>
          <w:p>
            <w:pPr>
              <w:jc w:val="left"/>
            </w:pPr>
            <w:r>
              <w:rPr>
                <w:sz w:val="20"/>
              </w:rPr>
              <w:t>产量估算误差</w:t>
            </w:r>
          </w:p>
        </w:tc>
        <w:tc>
          <w:tcPr>
            <w:tcW w:type="dxa" w:w="4150"/>
            <w:vAlign w:val="center"/>
          </w:tcPr>
          <w:p>
            <w:pPr>
              <w:jc w:val="left"/>
            </w:pPr>
            <w:r>
              <w:rPr>
                <w:sz w:val="20"/>
              </w:rPr>
            </w:r>
          </w:p>
        </w:tc>
      </w:tr>
      <w:tr>
        <w:tc>
          <w:tcPr>
            <w:tcW w:type="dxa" w:w="4150"/>
            <w:vAlign w:val="center"/>
          </w:tcPr>
          <w:p>
            <w:pPr>
              <w:jc w:val="left"/>
            </w:pPr>
            <w:r>
              <w:rPr>
                <w:sz w:val="20"/>
              </w:rPr>
              <w:t>estimated - actual</w:t>
            </w:r>
            <w:r>
              <w:rPr>
                <w:sz w:val="20"/>
              </w:rPr>
              <w:t>处理时间</w:t>
            </w:r>
          </w:p>
        </w:tc>
        <w:tc>
          <w:tcPr>
            <w:tcW w:type="dxa" w:w="4150"/>
            <w:vAlign w:val="center"/>
          </w:tcPr>
          <w:p>
            <w:pPr>
              <w:jc w:val="left"/>
            </w:pPr>
            <w:r>
              <w:rPr>
                <w:sz w:val="20"/>
              </w:rPr>
              <w:t>/ actual × 100%</w:t>
            </w:r>
            <w:r>
              <w:rPr>
                <w:sz w:val="20"/>
              </w:rPr>
              <w:t>从扫描开始到产量估算输出</w:t>
            </w:r>
          </w:p>
        </w:tc>
      </w:tr>
    </w:tbl>
    <w:p/>
    <w:p>
      <w:pPr>
        <w:pStyle w:val="Heading3"/>
      </w:pPr>
      <w:r>
        <w:rPr>
          <w:b/>
          <w:color w:val="000000"/>
          <w:sz w:val="22"/>
        </w:rPr>
        <w:t>6.3 设计目标</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指标</w:t>
            </w:r>
          </w:p>
        </w:tc>
        <w:tc>
          <w:tcPr>
            <w:tcW w:type="dxa" w:w="2767"/>
            <w:vAlign w:val="center"/>
            <w:shd w:fill="D9E2F3"/>
          </w:tcPr>
          <w:p>
            <w:pPr>
              <w:jc w:val="center"/>
            </w:pPr>
            <w:r>
              <w:rPr>
                <w:b/>
                <w:sz w:val="20"/>
              </w:rPr>
              <w:t>目标值</w:t>
            </w:r>
          </w:p>
        </w:tc>
        <w:tc>
          <w:tcPr>
            <w:tcW w:type="dxa" w:w="2767"/>
            <w:vAlign w:val="center"/>
            <w:shd w:fill="D9E2F3"/>
          </w:tcPr>
          <w:p>
            <w:pPr>
              <w:jc w:val="center"/>
            </w:pPr>
            <w:r>
              <w:rPr>
                <w:b/>
                <w:sz w:val="20"/>
              </w:rPr>
              <w:t>状态</w:t>
            </w:r>
          </w:p>
        </w:tc>
      </w:tr>
      <w:tr>
        <w:tc>
          <w:tcPr>
            <w:tcW w:type="dxa" w:w="2767"/>
            <w:vAlign w:val="center"/>
          </w:tcPr>
          <w:p>
            <w:pPr>
              <w:jc w:val="left"/>
            </w:pPr>
            <w:r>
              <w:rPr>
                <w:sz w:val="20"/>
              </w:rPr>
              <w:t>检测率</w:t>
            </w:r>
          </w:p>
        </w:tc>
        <w:tc>
          <w:tcPr>
            <w:tcW w:type="dxa" w:w="2767"/>
            <w:vAlign w:val="center"/>
          </w:tcPr>
          <w:p>
            <w:pPr>
              <w:jc w:val="left"/>
            </w:pPr>
            <w:r>
              <w:rPr>
                <w:sz w:val="20"/>
              </w:rPr>
              <w:t>&gt; 85%</w:t>
            </w:r>
          </w:p>
        </w:tc>
        <w:tc>
          <w:tcPr>
            <w:tcW w:type="dxa" w:w="2767"/>
            <w:vAlign w:val="center"/>
          </w:tcPr>
          <w:p>
            <w:pPr>
              <w:jc w:val="left"/>
            </w:pPr>
            <w:r>
              <w:rPr>
                <w:sz w:val="20"/>
              </w:rPr>
              <w:t>⏳ 待实测</w:t>
            </w:r>
          </w:p>
        </w:tc>
      </w:tr>
      <w:tr>
        <w:tc>
          <w:tcPr>
            <w:tcW w:type="dxa" w:w="2767"/>
            <w:vAlign w:val="center"/>
          </w:tcPr>
          <w:p>
            <w:pPr>
              <w:jc w:val="left"/>
            </w:pPr>
            <w:r>
              <w:rPr>
                <w:sz w:val="20"/>
              </w:rPr>
              <w:t>精确率</w:t>
            </w:r>
          </w:p>
        </w:tc>
        <w:tc>
          <w:tcPr>
            <w:tcW w:type="dxa" w:w="2767"/>
            <w:vAlign w:val="center"/>
          </w:tcPr>
          <w:p>
            <w:pPr>
              <w:jc w:val="left"/>
            </w:pPr>
            <w:r>
              <w:rPr>
                <w:sz w:val="20"/>
              </w:rPr>
              <w:t>&gt; 90%</w:t>
            </w:r>
          </w:p>
        </w:tc>
        <w:tc>
          <w:tcPr>
            <w:tcW w:type="dxa" w:w="2767"/>
            <w:vAlign w:val="center"/>
          </w:tcPr>
          <w:p>
            <w:pPr>
              <w:jc w:val="left"/>
            </w:pPr>
            <w:r>
              <w:rPr>
                <w:sz w:val="20"/>
              </w:rPr>
              <w:t>⏳ 待实测</w:t>
            </w:r>
          </w:p>
        </w:tc>
      </w:tr>
      <w:tr>
        <w:tc>
          <w:tcPr>
            <w:tcW w:type="dxa" w:w="2767"/>
            <w:vAlign w:val="center"/>
          </w:tcPr>
          <w:p>
            <w:pPr>
              <w:jc w:val="left"/>
            </w:pPr>
            <w:r>
              <w:rPr>
                <w:sz w:val="20"/>
              </w:rPr>
              <w:t>F1 Score</w:t>
            </w:r>
          </w:p>
        </w:tc>
        <w:tc>
          <w:tcPr>
            <w:tcW w:type="dxa" w:w="2767"/>
            <w:vAlign w:val="center"/>
          </w:tcPr>
          <w:p>
            <w:pPr>
              <w:jc w:val="left"/>
            </w:pPr>
            <w:r>
              <w:rPr>
                <w:sz w:val="20"/>
              </w:rPr>
              <w:t>&gt; 0.85</w:t>
            </w:r>
          </w:p>
        </w:tc>
        <w:tc>
          <w:tcPr>
            <w:tcW w:type="dxa" w:w="2767"/>
            <w:vAlign w:val="center"/>
          </w:tcPr>
          <w:p>
            <w:pPr>
              <w:jc w:val="left"/>
            </w:pPr>
            <w:r>
              <w:rPr>
                <w:sz w:val="20"/>
              </w:rPr>
              <w:t>⏳ 待实测</w:t>
            </w:r>
          </w:p>
        </w:tc>
      </w:tr>
      <w:tr>
        <w:tc>
          <w:tcPr>
            <w:tcW w:type="dxa" w:w="2767"/>
            <w:vAlign w:val="center"/>
          </w:tcPr>
          <w:p>
            <w:pPr>
              <w:jc w:val="left"/>
            </w:pPr>
            <w:r>
              <w:rPr>
                <w:sz w:val="20"/>
              </w:rPr>
              <w:t>产量估算误差</w:t>
            </w:r>
          </w:p>
        </w:tc>
        <w:tc>
          <w:tcPr>
            <w:tcW w:type="dxa" w:w="2767"/>
            <w:vAlign w:val="center"/>
          </w:tcPr>
          <w:p>
            <w:pPr>
              <w:jc w:val="left"/>
            </w:pPr>
            <w:r>
              <w:rPr>
                <w:sz w:val="20"/>
              </w:rPr>
              <w:t>10-15%</w:t>
            </w:r>
          </w:p>
        </w:tc>
        <w:tc>
          <w:tcPr>
            <w:tcW w:type="dxa" w:w="2767"/>
            <w:vAlign w:val="center"/>
          </w:tcPr>
          <w:p>
            <w:pPr>
              <w:jc w:val="left"/>
            </w:pPr>
            <w:r>
              <w:rPr>
                <w:sz w:val="20"/>
              </w:rPr>
              <w:t>⏳ 待实测</w:t>
            </w:r>
          </w:p>
        </w:tc>
      </w:tr>
      <w:tr>
        <w:tc>
          <w:tcPr>
            <w:tcW w:type="dxa" w:w="2767"/>
            <w:vAlign w:val="center"/>
          </w:tcPr>
          <w:p>
            <w:pPr>
              <w:jc w:val="left"/>
            </w:pPr>
            <w:r>
              <w:rPr>
                <w:sz w:val="20"/>
              </w:rPr>
              <w:t>处理时间（60 秒扫描）</w:t>
            </w:r>
          </w:p>
        </w:tc>
        <w:tc>
          <w:tcPr>
            <w:tcW w:type="dxa" w:w="2767"/>
            <w:vAlign w:val="center"/>
          </w:tcPr>
          <w:p>
            <w:pPr>
              <w:jc w:val="left"/>
            </w:pPr>
            <w:r>
              <w:rPr>
                <w:sz w:val="20"/>
              </w:rPr>
              <w:t>&lt; 15 秒</w:t>
            </w:r>
          </w:p>
        </w:tc>
        <w:tc>
          <w:tcPr>
            <w:tcW w:type="dxa" w:w="2767"/>
            <w:vAlign w:val="center"/>
          </w:tcPr>
          <w:p>
            <w:pPr>
              <w:jc w:val="left"/>
            </w:pPr>
            <w:r>
              <w:rPr>
                <w:sz w:val="20"/>
              </w:rPr>
              <w:t>⏳ 待实测</w:t>
            </w:r>
          </w:p>
        </w:tc>
      </w:tr>
      <w:tr>
        <w:tc>
          <w:tcPr>
            <w:tcW w:type="dxa" w:w="2767"/>
            <w:vAlign w:val="center"/>
          </w:tcPr>
          <w:p>
            <w:pPr>
              <w:jc w:val="left"/>
            </w:pPr>
            <w:r>
              <w:rPr>
                <w:sz w:val="20"/>
              </w:rPr>
              <w:t>峰值内存</w:t>
            </w:r>
          </w:p>
        </w:tc>
        <w:tc>
          <w:tcPr>
            <w:tcW w:type="dxa" w:w="2767"/>
            <w:vAlign w:val="center"/>
          </w:tcPr>
          <w:p>
            <w:pPr>
              <w:jc w:val="left"/>
            </w:pPr>
            <w:r>
              <w:rPr>
                <w:sz w:val="20"/>
              </w:rPr>
              <w:t>&lt; 500 MB</w:t>
            </w:r>
          </w:p>
        </w:tc>
        <w:tc>
          <w:tcPr>
            <w:tcW w:type="dxa" w:w="2767"/>
            <w:vAlign w:val="center"/>
          </w:tcPr>
          <w:p>
            <w:pPr>
              <w:jc w:val="left"/>
            </w:pPr>
            <w:r>
              <w:rPr>
                <w:sz w:val="20"/>
              </w:rPr>
              <w:t>⏳ 待实测</w:t>
            </w:r>
          </w:p>
        </w:tc>
      </w:tr>
    </w:tbl>
    <w:p/>
    <w:p>
      <w:pPr>
        <w:pStyle w:val="Heading3"/>
      </w:pPr>
      <w:r>
        <w:rPr>
          <w:b/>
          <w:color w:val="000000"/>
          <w:sz w:val="22"/>
        </w:rPr>
        <w:t>6.4 消融实验设计</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配置</w:t>
            </w:r>
          </w:p>
        </w:tc>
        <w:tc>
          <w:tcPr>
            <w:tcW w:type="dxa" w:w="2767"/>
            <w:vAlign w:val="center"/>
            <w:shd w:fill="D9E2F3"/>
          </w:tcPr>
          <w:p>
            <w:pPr>
              <w:jc w:val="center"/>
            </w:pPr>
            <w:r>
              <w:rPr>
                <w:b/>
                <w:sz w:val="20"/>
              </w:rPr>
              <w:t>检测率</w:t>
            </w:r>
          </w:p>
        </w:tc>
        <w:tc>
          <w:tcPr>
            <w:tcW w:type="dxa" w:w="2767"/>
            <w:vAlign w:val="center"/>
            <w:shd w:fill="D9E2F3"/>
          </w:tcPr>
          <w:p>
            <w:pPr>
              <w:jc w:val="center"/>
            </w:pPr>
            <w:r>
              <w:rPr>
                <w:b/>
                <w:sz w:val="20"/>
              </w:rPr>
              <w:t>产量误差</w:t>
            </w:r>
          </w:p>
        </w:tc>
      </w:tr>
      <w:tr>
        <w:tc>
          <w:tcPr>
            <w:tcW w:type="dxa" w:w="2767"/>
            <w:vAlign w:val="center"/>
          </w:tcPr>
          <w:p>
            <w:pPr>
              <w:jc w:val="left"/>
            </w:pPr>
            <w:r>
              <w:rPr>
                <w:sz w:val="20"/>
              </w:rPr>
              <w:t>仅 3D 聚类</w:t>
            </w:r>
          </w:p>
        </w:tc>
        <w:tc>
          <w:tcPr>
            <w:tcW w:type="dxa" w:w="2767"/>
            <w:vAlign w:val="center"/>
          </w:tcPr>
          <w:p>
            <w:pPr>
              <w:jc w:val="left"/>
            </w:pPr>
            <w:r>
              <w:rPr>
                <w:sz w:val="20"/>
              </w:rPr>
              <w:t>⏳ 待测</w:t>
            </w:r>
          </w:p>
        </w:tc>
        <w:tc>
          <w:tcPr>
            <w:tcW w:type="dxa" w:w="2767"/>
            <w:vAlign w:val="center"/>
          </w:tcPr>
          <w:p>
            <w:pPr>
              <w:jc w:val="left"/>
            </w:pPr>
            <w:r>
              <w:rPr>
                <w:sz w:val="20"/>
              </w:rPr>
              <w:t>⏳ 待测</w:t>
            </w:r>
          </w:p>
        </w:tc>
      </w:tr>
      <w:tr>
        <w:tc>
          <w:tcPr>
            <w:tcW w:type="dxa" w:w="2767"/>
            <w:vAlign w:val="center"/>
          </w:tcPr>
          <w:p>
            <w:pPr>
              <w:jc w:val="left"/>
            </w:pPr>
            <w:r>
              <w:rPr>
                <w:sz w:val="20"/>
              </w:rPr>
              <w:t>仅 2D 检测</w:t>
            </w:r>
          </w:p>
        </w:tc>
        <w:tc>
          <w:tcPr>
            <w:tcW w:type="dxa" w:w="2767"/>
            <w:vAlign w:val="center"/>
          </w:tcPr>
          <w:p>
            <w:pPr>
              <w:jc w:val="left"/>
            </w:pPr>
            <w:r>
              <w:rPr>
                <w:sz w:val="20"/>
              </w:rPr>
              <w:t>⏳ 待测</w:t>
            </w:r>
          </w:p>
        </w:tc>
        <w:tc>
          <w:tcPr>
            <w:tcW w:type="dxa" w:w="2767"/>
            <w:vAlign w:val="center"/>
          </w:tcPr>
          <w:p>
            <w:pPr>
              <w:jc w:val="left"/>
            </w:pPr>
            <w:r>
              <w:rPr>
                <w:sz w:val="20"/>
              </w:rPr>
              <w:t>⏳ 待测</w:t>
            </w:r>
          </w:p>
        </w:tc>
      </w:tr>
      <w:tr>
        <w:tc>
          <w:tcPr>
            <w:tcW w:type="dxa" w:w="2767"/>
            <w:vAlign w:val="center"/>
          </w:tcPr>
          <w:p>
            <w:pPr>
              <w:jc w:val="left"/>
            </w:pPr>
            <w:r>
              <w:rPr>
                <w:sz w:val="20"/>
              </w:rPr>
              <w:t>多模态融合（无遮挡校正）</w:t>
            </w:r>
          </w:p>
        </w:tc>
        <w:tc>
          <w:tcPr>
            <w:tcW w:type="dxa" w:w="2767"/>
            <w:vAlign w:val="center"/>
          </w:tcPr>
          <w:p>
            <w:pPr>
              <w:jc w:val="left"/>
            </w:pPr>
            <w:r>
              <w:rPr>
                <w:sz w:val="20"/>
              </w:rPr>
              <w:t>⏳ 待测</w:t>
            </w:r>
          </w:p>
        </w:tc>
        <w:tc>
          <w:tcPr>
            <w:tcW w:type="dxa" w:w="2767"/>
            <w:vAlign w:val="center"/>
          </w:tcPr>
          <w:p>
            <w:pPr>
              <w:jc w:val="left"/>
            </w:pPr>
            <w:r>
              <w:rPr>
                <w:sz w:val="20"/>
              </w:rPr>
              <w:t>⏳ 待测</w:t>
            </w:r>
          </w:p>
        </w:tc>
      </w:tr>
      <w:tr>
        <w:tc>
          <w:tcPr>
            <w:tcW w:type="dxa" w:w="2767"/>
            <w:vAlign w:val="center"/>
          </w:tcPr>
          <w:p>
            <w:pPr>
              <w:jc w:val="left"/>
            </w:pPr>
            <w:r>
              <w:rPr>
                <w:sz w:val="20"/>
              </w:rPr>
              <w:t>多模态融合 + 遮挡校正</w:t>
            </w:r>
          </w:p>
        </w:tc>
        <w:tc>
          <w:tcPr>
            <w:tcW w:type="dxa" w:w="2767"/>
            <w:vAlign w:val="center"/>
          </w:tcPr>
          <w:p>
            <w:pPr>
              <w:jc w:val="left"/>
            </w:pPr>
            <w:r>
              <w:rPr>
                <w:sz w:val="20"/>
              </w:rPr>
              <w:t>⏳ 待测</w:t>
            </w:r>
          </w:p>
        </w:tc>
        <w:tc>
          <w:tcPr>
            <w:tcW w:type="dxa" w:w="2767"/>
            <w:vAlign w:val="center"/>
          </w:tcPr>
          <w:p>
            <w:pPr>
              <w:jc w:val="left"/>
            </w:pPr>
            <w:r>
              <w:rPr>
                <w:sz w:val="20"/>
              </w:rPr>
              <w:t>⏳ 待测</w:t>
            </w:r>
          </w:p>
        </w:tc>
      </w:tr>
      <w:tr>
        <w:tc>
          <w:tcPr>
            <w:tcW w:type="dxa" w:w="2767"/>
            <w:vAlign w:val="center"/>
          </w:tcPr>
          <w:p>
            <w:pPr>
              <w:jc w:val="left"/>
            </w:pPr>
            <w:r>
              <w:rPr>
                <w:sz w:val="20"/>
              </w:rPr>
              <w:t>+ 自适应 DBSCAN</w:t>
            </w:r>
          </w:p>
        </w:tc>
        <w:tc>
          <w:tcPr>
            <w:tcW w:type="dxa" w:w="2767"/>
            <w:vAlign w:val="center"/>
          </w:tcPr>
          <w:p>
            <w:pPr>
              <w:jc w:val="left"/>
            </w:pPr>
            <w:r>
              <w:rPr>
                <w:sz w:val="20"/>
              </w:rPr>
              <w:t>⏳ 待测</w:t>
            </w:r>
          </w:p>
        </w:tc>
        <w:tc>
          <w:tcPr>
            <w:tcW w:type="dxa" w:w="2767"/>
            <w:vAlign w:val="center"/>
          </w:tcPr>
          <w:p>
            <w:pPr>
              <w:jc w:val="left"/>
            </w:pPr>
            <w:r>
              <w:rPr>
                <w:sz w:val="20"/>
              </w:rPr>
              <w:t>⏳ 待测</w:t>
            </w:r>
          </w:p>
        </w:tc>
      </w:tr>
      <w:tr>
        <w:tc>
          <w:tcPr>
            <w:tcW w:type="dxa" w:w="2767"/>
            <w:vAlign w:val="center"/>
          </w:tcPr>
          <w:p>
            <w:pPr>
              <w:jc w:val="left"/>
            </w:pPr>
            <w:r>
              <w:rPr>
                <w:sz w:val="20"/>
              </w:rPr>
              <w:t>**完整系统**</w:t>
            </w:r>
          </w:p>
        </w:tc>
        <w:tc>
          <w:tcPr>
            <w:tcW w:type="dxa" w:w="2767"/>
            <w:vAlign w:val="center"/>
          </w:tcPr>
          <w:p>
            <w:pPr>
              <w:jc w:val="left"/>
            </w:pPr>
            <w:r>
              <w:rPr>
                <w:sz w:val="20"/>
              </w:rPr>
              <w:t>⏳ 待测</w:t>
            </w:r>
          </w:p>
        </w:tc>
        <w:tc>
          <w:tcPr>
            <w:tcW w:type="dxa" w:w="2767"/>
            <w:vAlign w:val="center"/>
          </w:tcPr>
          <w:p>
            <w:pPr>
              <w:jc w:val="left"/>
            </w:pPr>
            <w:r>
              <w:rPr>
                <w:sz w:val="20"/>
              </w:rPr>
              <w:t>⏳ 待测</w:t>
            </w:r>
          </w:p>
        </w:tc>
      </w:tr>
    </w:tbl>
    <w:p/>
    <w:p>
      <w:r>
        <w:rPr>
          <w:sz w:val="24"/>
        </w:rPr>
        <w:t>---</w:t>
      </w:r>
    </w:p>
    <w:p/>
    <w:p>
      <w:pPr>
        <w:pStyle w:val="Heading2"/>
      </w:pPr>
      <w:r>
        <w:rPr>
          <w:b/>
          <w:color w:val="000000"/>
          <w:sz w:val="24"/>
        </w:rPr>
        <w:t>7. 讨论</w:t>
      </w:r>
    </w:p>
    <w:p/>
    <w:p>
      <w:pPr>
        <w:pStyle w:val="Heading3"/>
      </w:pPr>
      <w:r>
        <w:rPr>
          <w:b/>
          <w:color w:val="000000"/>
          <w:sz w:val="22"/>
        </w:rPr>
        <w:t>7.1 系统优势</w:t>
      </w:r>
    </w:p>
    <w:p/>
    <w:p>
      <w:pPr>
        <w:pStyle w:val="ListNumber"/>
      </w:pPr>
      <w:r>
        <w:rPr>
          <w:b/>
          <w:sz w:val="24"/>
        </w:rPr>
        <w:t>低成本</w:t>
      </w:r>
      <w:r>
        <w:rPr>
          <w:sz w:val="24"/>
        </w:rPr>
        <w:t>：设备价格约 5000-10000 元人民币，远低于专业 TLS 设备（数十万元）</w:t>
      </w:r>
    </w:p>
    <w:p>
      <w:pPr>
        <w:pStyle w:val="ListNumber"/>
      </w:pPr>
      <w:r>
        <w:rPr>
          <w:b/>
          <w:sz w:val="24"/>
        </w:rPr>
        <w:t>便携性</w:t>
      </w:r>
      <w:r>
        <w:rPr>
          <w:sz w:val="24"/>
        </w:rPr>
        <w:t>：手持操作，无需外部设备或电源</w:t>
      </w:r>
    </w:p>
    <w:p>
      <w:pPr>
        <w:pStyle w:val="ListNumber"/>
      </w:pPr>
      <w:r>
        <w:rPr>
          <w:b/>
          <w:sz w:val="24"/>
        </w:rPr>
        <w:t>离线运行</w:t>
      </w:r>
      <w:r>
        <w:rPr>
          <w:sz w:val="24"/>
        </w:rPr>
        <w:t>：全部处理在设备端完成，无需网络连接</w:t>
      </w:r>
    </w:p>
    <w:p>
      <w:pPr>
        <w:pStyle w:val="ListNumber"/>
      </w:pPr>
      <w:r>
        <w:rPr>
          <w:b/>
          <w:sz w:val="24"/>
        </w:rPr>
        <w:t>多格式导出</w:t>
      </w:r>
      <w:r>
        <w:rPr>
          <w:sz w:val="24"/>
        </w:rPr>
        <w:t>：支持 PLY、OBJ、CSV、JSON 等多种格式</w:t>
      </w:r>
    </w:p>
    <w:p>
      <w:pPr>
        <w:pStyle w:val="ListNumber"/>
      </w:pPr>
      <w:r>
        <w:rPr>
          <w:b/>
          <w:sz w:val="24"/>
        </w:rPr>
        <w:t>多品种支持</w:t>
      </w:r>
      <w:r>
        <w:rPr>
          <w:sz w:val="24"/>
        </w:rPr>
        <w:t>：28 种水果，针对中国常见品种配置参数</w:t>
      </w:r>
    </w:p>
    <w:p/>
    <w:p>
      <w:pPr>
        <w:pStyle w:val="Heading3"/>
      </w:pPr>
      <w:r>
        <w:rPr>
          <w:b/>
          <w:color w:val="000000"/>
          <w:sz w:val="22"/>
        </w:rPr>
        <w:t>7.2 局限性</w:t>
      </w:r>
    </w:p>
    <w:p/>
    <w:p>
      <w:pPr>
        <w:pStyle w:val="ListNumber"/>
      </w:pPr>
      <w:r>
        <w:rPr>
          <w:b/>
          <w:sz w:val="24"/>
        </w:rPr>
        <w:t>精度限制</w:t>
      </w:r>
      <w:r>
        <w:rPr>
          <w:sz w:val="24"/>
        </w:rPr>
        <w:t>：消费级 LiDAR 深度精度约 ±5mm @ 3m，低于专业 TLS 的亚毫米精度。对小果实（&lt; 3cm 直径）的检测能力有限</w:t>
      </w:r>
    </w:p>
    <w:p>
      <w:pPr>
        <w:pStyle w:val="ListNumber"/>
      </w:pPr>
      <w:r>
        <w:rPr>
          <w:b/>
          <w:sz w:val="24"/>
        </w:rPr>
        <w:t>球形壳假设</w:t>
      </w:r>
      <w:r>
        <w:rPr>
          <w:sz w:val="24"/>
        </w:rPr>
        <w:t>：遮挡校正假设果实均匀分布在球形冠层上。树冠形状不规则或果实聚类分布时估算误差可能较大</w:t>
      </w:r>
    </w:p>
    <w:p>
      <w:pPr>
        <w:pStyle w:val="ListNumber"/>
      </w:pPr>
      <w:r>
        <w:rPr>
          <w:b/>
          <w:sz w:val="24"/>
        </w:rPr>
        <w:t>颜色过滤依赖</w:t>
      </w:r>
      <w:r>
        <w:rPr>
          <w:sz w:val="24"/>
        </w:rPr>
        <w:t>：颜色阈值基于经验设定。与叶片颜色相似的果实（如青苹果、未成熟柑橘）检测率可能降低</w:t>
      </w:r>
    </w:p>
    <w:p>
      <w:pPr>
        <w:pStyle w:val="ListNumber"/>
      </w:pPr>
      <w:r>
        <w:rPr>
          <w:b/>
          <w:sz w:val="24"/>
        </w:rPr>
        <w:t>回归系数缺失</w:t>
      </w:r>
      <w:r>
        <w:rPr>
          <w:sz w:val="24"/>
        </w:rPr>
        <w:t>：冠层回归模型（路线 A）的回归系数需通过实际收获数据训练，目前 28 种水果的系数均未标定</w:t>
      </w:r>
    </w:p>
    <w:p>
      <w:pPr>
        <w:pStyle w:val="ListNumber"/>
      </w:pPr>
      <w:r>
        <w:rPr>
          <w:b/>
          <w:sz w:val="24"/>
        </w:rPr>
        <w:t>单视角扫描</w:t>
      </w:r>
      <w:r>
        <w:rPr>
          <w:sz w:val="24"/>
        </w:rPr>
        <w:t>：需要用户围绕树行走实现全覆盖。自动化扫描可提高效率</w:t>
      </w:r>
    </w:p>
    <w:p/>
    <w:p>
      <w:pPr>
        <w:pStyle w:val="Heading3"/>
      </w:pPr>
      <w:r>
        <w:rPr>
          <w:b/>
          <w:color w:val="000000"/>
          <w:sz w:val="22"/>
        </w:rPr>
        <w:t>7.3 未来方向</w:t>
      </w:r>
    </w:p>
    <w:p/>
    <w:p>
      <w:pPr>
        <w:pStyle w:val="ListNumber"/>
      </w:pPr>
      <w:r>
        <w:rPr>
          <w:b/>
          <w:sz w:val="24"/>
        </w:rPr>
        <w:t>实地实验</w:t>
      </w:r>
      <w:r>
        <w:rPr>
          <w:sz w:val="24"/>
        </w:rPr>
        <w:t>：在真实果园中进行系统性实验，收集检测和产量估算数据</w:t>
      </w:r>
    </w:p>
    <w:p>
      <w:pPr>
        <w:pStyle w:val="ListNumber"/>
      </w:pPr>
      <w:r>
        <w:rPr>
          <w:b/>
          <w:sz w:val="24"/>
        </w:rPr>
        <w:t>模型训练</w:t>
      </w:r>
      <w:r>
        <w:rPr>
          <w:sz w:val="24"/>
        </w:rPr>
        <w:t>：训练专门针对果园环境的 CoreML 检测模型</w:t>
      </w:r>
    </w:p>
    <w:p>
      <w:pPr>
        <w:pStyle w:val="ListNumber"/>
      </w:pPr>
      <w:r>
        <w:rPr>
          <w:b/>
          <w:sz w:val="24"/>
        </w:rPr>
        <w:t>回归系数标定</w:t>
      </w:r>
      <w:r>
        <w:rPr>
          <w:sz w:val="24"/>
        </w:rPr>
        <w:t>：通过多季收获数据标定冠层回归系数</w:t>
      </w:r>
    </w:p>
    <w:p>
      <w:pPr>
        <w:pStyle w:val="ListNumber"/>
      </w:pPr>
      <w:r>
        <w:rPr>
          <w:b/>
          <w:sz w:val="24"/>
        </w:rPr>
        <w:t>自动化扫描</w:t>
      </w:r>
      <w:r>
        <w:rPr>
          <w:sz w:val="24"/>
        </w:rPr>
        <w:t>：与无人机或机器人平台集成</w:t>
      </w:r>
    </w:p>
    <w:p>
      <w:pPr>
        <w:pStyle w:val="ListNumber"/>
      </w:pPr>
      <w:r>
        <w:rPr>
          <w:b/>
          <w:sz w:val="24"/>
        </w:rPr>
        <w:t>树冠健康评估</w:t>
      </w:r>
      <w:r>
        <w:rPr>
          <w:sz w:val="24"/>
        </w:rPr>
        <w:t>：通过叶片颜色分析扩展系统功能</w:t>
      </w:r>
    </w:p>
    <w:p/>
    <w:p>
      <w:r>
        <w:rPr>
          <w:sz w:val="24"/>
        </w:rPr>
        <w:t>---</w:t>
      </w:r>
    </w:p>
    <w:p/>
    <w:p>
      <w:pPr>
        <w:pStyle w:val="Heading2"/>
      </w:pPr>
      <w:r>
        <w:rPr>
          <w:b/>
          <w:color w:val="000000"/>
          <w:sz w:val="24"/>
        </w:rPr>
        <w:t>8. 结论</w:t>
      </w:r>
    </w:p>
    <w:p/>
    <w:p>
      <w:r>
        <w:rPr>
          <w:sz w:val="24"/>
        </w:rPr>
        <w:t>本文介绍了 FruitTreeScanner 系统的设计与实现，该系统利用 iPad Pro 的 LiDAR 传感器进行果实检测和产量估算。系统实现了多模态融合（二维视觉 + 三维点云）、自适应 DBSCAN 聚类、遮挡校正和双路线产量估算，支持 28 种水果。</w:t>
      </w:r>
    </w:p>
    <w:p/>
    <w:p>
      <w:r>
        <w:rPr>
          <w:sz w:val="24"/>
        </w:rPr>
        <w:t>消费级 LiDAR 在农业应用中具有显著的</w:t>
      </w:r>
      <w:r>
        <w:rPr>
          <w:b/>
          <w:sz w:val="24"/>
        </w:rPr>
        <w:t>成本优势</w:t>
      </w:r>
      <w:r>
        <w:rPr>
          <w:sz w:val="24"/>
        </w:rPr>
        <w:t>（约为专业设备的 1/25 至 1/50），但其</w:t>
      </w:r>
      <w:r>
        <w:rPr>
          <w:b/>
          <w:sz w:val="24"/>
        </w:rPr>
        <w:t>精度限制</w:t>
      </w:r>
      <w:r>
        <w:rPr>
          <w:sz w:val="24"/>
        </w:rPr>
        <w:t>需要在实验中得到客观评估。本文提出的系统架构和算法设计为后续实地实验提供了框架。所有性能指标需要通过实际果园中的真实称重数据验证后，方可作为学术结论发表。</w:t>
      </w:r>
    </w:p>
    <w:p/>
    <w:p>
      <w:pPr>
        <w:spacing w:before="120" w:after="120"/>
        <w:ind w:left="567" w:right="567"/>
        <w:shd w:fill="F0F0F0"/>
      </w:pPr>
      <w:r>
        <w:rPr>
          <w:i/>
          <w:color w:val="555555"/>
          <w:sz w:val="22"/>
        </w:rPr>
        <w:t>**⚠️ 最终声明**：本文为系统设计与可行性分析，不是实验研究论文。所有性能指标（检测率、精确率、产量误差等）均为设计目标，尚未通过实地实验验证。作者计划在后续工作中进行实地实验，收集真实数据后撰写实验研究论文。</w:t>
      </w:r>
    </w:p>
    <w:p/>
    <w:p>
      <w:r>
        <w:rPr>
          <w:sz w:val="24"/>
        </w:rPr>
        <w:t>---</w:t>
      </w:r>
    </w:p>
    <w:p/>
    <w:p>
      <w:pPr>
        <w:pStyle w:val="Heading2"/>
      </w:pPr>
      <w:r>
        <w:rPr>
          <w:b/>
          <w:color w:val="000000"/>
          <w:sz w:val="24"/>
        </w:rPr>
        <w:t>参考文献</w:t>
      </w:r>
    </w:p>
    <w:p/>
    <w:p>
      <w:pPr>
        <w:spacing w:before="120" w:after="120"/>
        <w:ind w:left="567" w:right="567"/>
        <w:shd w:fill="F0F0F0"/>
      </w:pPr>
      <w:r>
        <w:rPr>
          <w:i/>
          <w:color w:val="555555"/>
          <w:sz w:val="22"/>
        </w:rPr>
        <w:t>以下参考文献经逐一验证确认存在。所有引用均标注了可查证的来源信息。</w:t>
      </w:r>
    </w:p>
    <w:p/>
    <w:p>
      <w:pPr>
        <w:pStyle w:val="ListNumber"/>
      </w:pPr>
      <w:r>
        <w:rPr>
          <w:sz w:val="24"/>
        </w:rPr>
        <w:t>Ester, M., Kriegel, H. P., Sander, J., &amp; Xu, X. (1996). A density-based algorithm for discovering clusters in large spatial databases with noise. *Proceedings of the Second International Conference on Knowledge Discovery and Data Mining (KDD-96)*, 226-231. ✅ 已验证 — KDD Test of Time Award 2014</w:t>
      </w:r>
    </w:p>
    <w:p/>
    <w:p>
      <w:pPr>
        <w:pStyle w:val="ListNumber"/>
      </w:pPr>
      <w:r>
        <w:rPr>
          <w:sz w:val="24"/>
        </w:rPr>
        <w:t>Sa, I., Ge, Z., Dayoub, F., Upcroft, B., Perez, T., &amp; McCool, C. (2016). DeepFruits: A fruit detection system using deep neural networks. *Sensors*, 16(8), 1222. https://doi.org/10.3390/s16081222 ✅ 已验证</w:t>
      </w:r>
    </w:p>
    <w:p/>
    <w:p>
      <w:r>
        <w:rPr>
          <w:sz w:val="24"/>
        </w:rPr>
        <w:t>---</w:t>
      </w:r>
    </w:p>
    <w:p/>
    <w:p>
      <w:pPr>
        <w:spacing w:before="120" w:after="120"/>
        <w:ind w:left="567" w:right="567"/>
        <w:shd w:fill="F0F0F0"/>
      </w:pPr>
      <w:r>
        <w:rPr>
          <w:i/>
          <w:color w:val="555555"/>
          <w:sz w:val="22"/>
        </w:rPr>
        <w:t>以下研究方向的相关文献需要作者进一步查找和核实。建议通过 Google Scholar（https://scholar.google.com）搜索以下关键词获取准确文献：</w:t>
      </w:r>
    </w:p>
    <w:p/>
    <w:p>
      <w:pPr>
        <w:pStyle w:val="ListBullet"/>
      </w:pPr>
      <w:r>
        <w:rPr>
          <w:sz w:val="24"/>
        </w:rPr>
        <w:t>"fruit detection deep learning orchard" — 查找深度学习在果园果实检测中的最新研究</w:t>
      </w:r>
    </w:p>
    <w:p>
      <w:pPr>
        <w:pStyle w:val="ListBullet"/>
      </w:pPr>
      <w:r>
        <w:rPr>
          <w:sz w:val="24"/>
        </w:rPr>
        <w:t>"LiDAR fruit counting yield estimation" — 查找基于 LiDAR 的果实计数与产量估算研究</w:t>
      </w:r>
    </w:p>
    <w:p>
      <w:pPr>
        <w:pStyle w:val="ListBullet"/>
      </w:pPr>
      <w:r>
        <w:rPr>
          <w:sz w:val="24"/>
        </w:rPr>
        <w:t>"terrestrial laser scanning orchard canopy" — 查找 TLS 在果园树冠三维重建中的应用</w:t>
      </w:r>
    </w:p>
    <w:p>
      <w:pPr>
        <w:pStyle w:val="ListBullet"/>
      </w:pPr>
      <w:r>
        <w:rPr>
          <w:sz w:val="24"/>
        </w:rPr>
        <w:t>"RGB-D fruit detection occlusion" — 查找 RGB-D 相机在果实遮挡检测中的应用</w:t>
      </w:r>
    </w:p>
    <w:p>
      <w:pPr>
        <w:pStyle w:val="ListBullet"/>
      </w:pPr>
      <w:r>
        <w:rPr>
          <w:sz w:val="24"/>
        </w:rPr>
        <w:t>"DBSCAN clustering fruit point cloud" — 查找 DBSCAN 在果实点云聚类中的应用</w:t>
      </w:r>
    </w:p>
    <w:p>
      <w:pPr>
        <w:pStyle w:val="ListBullet"/>
      </w:pPr>
      <w:r>
        <w:rPr>
          <w:sz w:val="24"/>
        </w:rPr>
        <w:t>"multi-modal fusion fruit detection" — 查找多模态融合在果实检测中的应用</w:t>
      </w:r>
    </w:p>
    <w:sectPr w:rsidR="00FC693F" w:rsidRPr="0006063C" w:rsidSect="00034616">
      <w:pgSz w:w="11906" w:h="16838"/>
      <w:pgMar w:top="1440" w:right="1803"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color w:val="000000"/>
      <w:sz w:val="24"/>
      <w:rFonts w:ascii="Times New Roman" w:eastAsia="宋体"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b/>
      <w:bCs/>
      <w:color w:val="000000"/>
      <w:sz w:val="28"/>
      <w:szCs w:val="28"/>
      <w:rFonts w:ascii="Times New Roman" w:eastAsia="黑体" w:hAnsi="Times New Roman"/>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b/>
      <w:bCs/>
      <w:color w:val="000000"/>
      <w:sz w:val="24"/>
      <w:szCs w:val="26"/>
      <w:rFonts w:ascii="Times New Roman" w:eastAsia="黑体" w:hAnsi="Times New Roman"/>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b/>
      <w:bCs/>
      <w:color w:val="000000"/>
      <w:sz w:val="22"/>
      <w:rFonts w:ascii="Times New Roman" w:eastAsia="黑体" w:hAnsi="Times New Roman"/>
    </w:rPr>
  </w:style>
  <w:style w:type="paragraph" w:styleId="Heading4">
    <w:name w:val="heading 4"/>
    <w:basedOn w:val="Normal"/>
    <w:next w:val="Normal"/>
    <w:link w:val="Heading4Char"/>
    <w:uiPriority w:val="9"/>
    <w:semiHidden/>
    <w:unhideWhenUsed/>
    <w:qFormat/>
    <w:rsid w:val="00FC693F"/>
    <w:pPr>
      <w:keepNext/>
      <w:keepLines/>
      <w:spacing w:before="160" w:after="80"/>
      <w:jc w:val="left"/>
      <w:outlineLvl w:val="3"/>
    </w:pPr>
    <w:rPr>
      <w:b w:val="0"/>
      <w:bCs/>
      <w:i/>
      <w:iCs/>
      <w:color w:val="000000"/>
      <w:sz w:val="22"/>
      <w:rFonts w:ascii="Times New Roman" w:eastAsia="黑体" w:hAnsi="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