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jc w:val="center"/>
      </w:pPr>
      <w:r>
        <w:rPr>
          <w:rFonts w:ascii="Times New Roman" w:hAnsi="Times New Roman"/>
          <w:b/>
          <w:i w:val="0"/>
          <w:color w:val="000000"/>
          <w:sz w:val="28"/>
        </w:rPr>
        <w:t>INFORME DE GUÍA PRÁCTICA</w:t>
      </w:r>
    </w:p>
    <w:p>
      <w:pPr>
        <w:keepNext/>
        <w:spacing w:before="240" w:after="80"/>
        <w:jc w:val="left"/>
      </w:pPr>
      <w:r>
        <w:rPr>
          <w:rFonts w:ascii="Times New Roman" w:hAnsi="Times New Roman"/>
          <w:b/>
          <w:i w:val="0"/>
          <w:color w:val="000000"/>
          <w:sz w:val="25"/>
        </w:rPr>
        <w:t>I. PORTADA</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4399"/>
        <w:gridCol w:w="4399"/>
      </w:tblGrid>
      <w:tr>
        <w:trPr>
          <w:tblHeader/>
          <w:cantSplit/>
        </w:trPr>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Campo Institucional</w:t>
            </w:r>
          </w:p>
        </w:tc>
        <w:tc>
          <w:tcPr>
            <w:tcW w:type="dxa" w:w="5630"/>
            <w:vAlign w:val="center"/>
            <w:tcBorders>
              <w:bottom w:val="single" w:sz="6" w:space="0" w:color="000000"/>
            </w:tcBorders>
          </w:tcPr>
          <w:p>
            <w:pPr>
              <w:spacing w:before="0" w:after="0" w:line="252" w:lineRule="auto"/>
              <w:jc w:val="center"/>
            </w:pPr>
            <w:r>
              <w:rPr>
                <w:rFonts w:ascii="Times New Roman" w:hAnsi="Times New Roman"/>
                <w:b/>
                <w:i w:val="0"/>
                <w:color w:val="000000"/>
                <w:sz w:val="18"/>
              </w:rPr>
              <w:t>Detalle de la Práctica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Tema:</w:t>
            </w:r>
          </w:p>
        </w:tc>
        <w:tc>
          <w:tcPr>
            <w:tcW w:type="dxa" w:w="5630"/>
            <w:vAlign w:val="center"/>
          </w:tcPr>
          <w:p>
            <w:pPr>
              <w:spacing w:before="0" w:after="0" w:line="252" w:lineRule="auto"/>
              <w:jc w:val="left"/>
            </w:pPr>
            <w:r>
              <w:rPr>
                <w:rFonts w:ascii="Times New Roman" w:hAnsi="Times New Roman"/>
                <w:b w:val="0"/>
                <w:i w:val="0"/>
                <w:color w:val="000000"/>
                <w:sz w:val="18"/>
              </w:rPr>
              <w:t>Tomando como base los datos que están siendo tratados genere al menos un sistema de recomendación de cada uno de los algoritmos revisados en clases (Financial_ijs):</w:t>
              <w:br/>
              <w:br/>
              <w:t>Utilizando los datos con los que se encuentra trabajando genere:</w:t>
              <w:br/>
              <w:t>1. Uno o varios dataframe a partir de un datamart</w:t>
              <w:br/>
              <w:t>2. Organizar</w:t>
              <w:br/>
              <w:t>3. Clasificar</w:t>
              <w:br/>
              <w:t>4. Filtrar la información</w:t>
              <w:br/>
              <w:t>5. Generar un sistema de recomendación Slope One</w:t>
              <w:br/>
              <w:t>6. Modele productos, comportamientos, perfiles</w:t>
              <w:br/>
              <w:t>7. Sistema de recomendación item to item (similitud de cosenos y Pearson)</w:t>
              <w:br/>
              <w:t>8. Sistema de recomendación basado en contenidos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Unidad de Organización Curricular:</w:t>
            </w:r>
          </w:p>
        </w:tc>
        <w:tc>
          <w:tcPr>
            <w:tcW w:type="dxa" w:w="5630"/>
            <w:vAlign w:val="center"/>
          </w:tcPr>
          <w:p>
            <w:pPr>
              <w:spacing w:before="0" w:after="0" w:line="252" w:lineRule="auto"/>
              <w:jc w:val="left"/>
            </w:pPr>
            <w:r>
              <w:rPr>
                <w:rFonts w:ascii="Times New Roman" w:hAnsi="Times New Roman"/>
                <w:b w:val="0"/>
                <w:i w:val="0"/>
                <w:color w:val="000000"/>
                <w:sz w:val="18"/>
              </w:rPr>
              <w:t>Unidad Profesional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Nivel y Paralelo:</w:t>
            </w:r>
          </w:p>
        </w:tc>
        <w:tc>
          <w:tcPr>
            <w:tcW w:type="dxa" w:w="5630"/>
            <w:vAlign w:val="center"/>
          </w:tcPr>
          <w:p>
            <w:pPr>
              <w:spacing w:before="0" w:after="0" w:line="252" w:lineRule="auto"/>
              <w:jc w:val="left"/>
            </w:pPr>
            <w:r>
              <w:rPr>
                <w:rFonts w:ascii="Times New Roman" w:hAnsi="Times New Roman"/>
                <w:b w:val="0"/>
                <w:i w:val="0"/>
                <w:color w:val="000000"/>
                <w:sz w:val="18"/>
              </w:rPr>
              <w:t>Sexto Semestre – Software "A"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Alumnos participantes:</w:t>
            </w:r>
          </w:p>
        </w:tc>
        <w:tc>
          <w:tcPr>
            <w:tcW w:type="dxa" w:w="5630"/>
            <w:vAlign w:val="center"/>
          </w:tcPr>
          <w:p>
            <w:pPr>
              <w:spacing w:before="0" w:after="0" w:line="252" w:lineRule="auto"/>
              <w:jc w:val="left"/>
            </w:pPr>
            <w:r>
              <w:rPr>
                <w:rFonts w:ascii="Times New Roman" w:hAnsi="Times New Roman"/>
                <w:b w:val="0"/>
                <w:i w:val="0"/>
                <w:color w:val="000000"/>
                <w:sz w:val="18"/>
              </w:rPr>
              <w:t>Cobos Taco Alison Marcela</w:t>
              <w:br/>
              <w:t>Lagua Flores Henry Daniel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Asignatura:</w:t>
            </w:r>
          </w:p>
        </w:tc>
        <w:tc>
          <w:tcPr>
            <w:tcW w:type="dxa" w:w="5630"/>
            <w:vAlign w:val="center"/>
          </w:tcPr>
          <w:p>
            <w:pPr>
              <w:spacing w:before="0" w:after="0" w:line="252" w:lineRule="auto"/>
              <w:jc w:val="left"/>
            </w:pPr>
            <w:r>
              <w:rPr>
                <w:rFonts w:ascii="Times New Roman" w:hAnsi="Times New Roman"/>
                <w:b w:val="0"/>
                <w:i w:val="0"/>
                <w:color w:val="000000"/>
                <w:sz w:val="18"/>
              </w:rPr>
              <w:t>Inteligencia de Negocios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Docente:</w:t>
            </w:r>
          </w:p>
        </w:tc>
        <w:tc>
          <w:tcPr>
            <w:tcW w:type="dxa" w:w="5630"/>
            <w:vAlign w:val="center"/>
          </w:tcPr>
          <w:p>
            <w:pPr>
              <w:spacing w:before="0" w:after="0" w:line="252" w:lineRule="auto"/>
              <w:jc w:val="left"/>
            </w:pPr>
            <w:r>
              <w:rPr>
                <w:rFonts w:ascii="Times New Roman" w:hAnsi="Times New Roman"/>
                <w:b w:val="0"/>
                <w:i w:val="0"/>
                <w:color w:val="000000"/>
                <w:sz w:val="18"/>
              </w:rPr>
              <w:t>Ing. Rubén Nogales, Mg.</w:t>
            </w:r>
          </w:p>
        </w:tc>
      </w:tr>
    </w:tbl>
    <w:p>
      <w:pPr>
        <w:spacing w:before="0" w:after="120"/>
      </w:pPr>
    </w:p>
    <w:p>
      <w:pPr>
        <w:keepNext/>
        <w:spacing w:before="240" w:after="80"/>
        <w:jc w:val="left"/>
      </w:pPr>
      <w:r>
        <w:rPr>
          <w:rFonts w:ascii="Times New Roman" w:hAnsi="Times New Roman"/>
          <w:b/>
          <w:i w:val="0"/>
          <w:color w:val="000000"/>
          <w:sz w:val="25"/>
        </w:rPr>
        <w:t>II. INFORME DE GUÍA PRÁCTICA</w:t>
      </w:r>
    </w:p>
    <w:p>
      <w:pPr>
        <w:keepNext/>
        <w:spacing w:before="180" w:after="60"/>
        <w:jc w:val="left"/>
      </w:pPr>
      <w:r>
        <w:rPr>
          <w:rFonts w:ascii="Times New Roman" w:hAnsi="Times New Roman"/>
          <w:b/>
          <w:i w:val="0"/>
          <w:color w:val="000000"/>
          <w:sz w:val="23"/>
        </w:rPr>
        <w:t>2.1 Objetivos</w:t>
      </w:r>
    </w:p>
    <w:p>
      <w:pPr>
        <w:keepNext/>
        <w:spacing w:before="140" w:after="40"/>
        <w:jc w:val="left"/>
      </w:pPr>
      <w:r>
        <w:rPr>
          <w:rFonts w:ascii="Times New Roman" w:hAnsi="Times New Roman"/>
          <w:b/>
          <w:i w:val="0"/>
          <w:color w:val="000000"/>
          <w:sz w:val="22"/>
        </w:rPr>
        <w:t>General:</w:t>
      </w:r>
    </w:p>
    <w:p>
      <w:pPr>
        <w:spacing w:line="276" w:lineRule="auto" w:before="0" w:after="90"/>
        <w:jc w:val="both"/>
      </w:pPr>
      <w:r>
        <w:rPr>
          <w:rFonts w:ascii="Times New Roman" w:hAnsi="Times New Roman"/>
          <w:b w:val="0"/>
          <w:i w:val="0"/>
          <w:color w:val="000000"/>
          <w:sz w:val="22"/>
        </w:rPr>
        <w:t>Tomando como base los datos que están siendo tratados de la entidad bancaria Financial_ijs (PKDD'99 Financial Discovery Challenge), generar al menos un sistema de recomendación de cada uno de los algoritmos revisados en clases, modelando DataFrames desde un DataMart, organizando, clasificando y filtrando la información, generando un sistema de recomendación Slope One, modelando productos, comportamientos y perfiles, implementando sistemas ítem a ítem (similitud de cosenos y Pearson) y sistemas basados en contenidos y utilidades financieras, evaluando exhaustivamente sus métricas predictivas, ranking Top-N y viabilidad matemática.</w:t>
      </w:r>
    </w:p>
    <w:p>
      <w:pPr>
        <w:keepNext/>
        <w:spacing w:before="140" w:after="40"/>
        <w:jc w:val="left"/>
      </w:pPr>
      <w:r>
        <w:rPr>
          <w:rFonts w:ascii="Times New Roman" w:hAnsi="Times New Roman"/>
          <w:b/>
          <w:i w:val="0"/>
          <w:color w:val="000000"/>
          <w:sz w:val="22"/>
        </w:rPr>
        <w:t>Específicos: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Objetivo Específico 1 (Puntos 1 y 2): </w:t>
      </w:r>
      <w:r>
        <w:rPr>
          <w:rFonts w:ascii="Times New Roman" w:hAnsi="Times New Roman"/>
          <w:b w:val="0"/>
          <w:i w:val="0"/>
          <w:color w:val="000000"/>
          <w:sz w:val="22"/>
        </w:rPr>
        <w:t>Generar y estructurar cuatro DataFrames limpios a partir del DataMart bancario de Ralph Kimball (df_transacciones, df_ordenes, df_prestamos y df_cliente_consolidado), resolviendo inconsistencias de grano y auditando las claves foráneas.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Objetivo Específico 2 (Puntos 2, 3 y 4): </w:t>
      </w:r>
      <w:r>
        <w:rPr>
          <w:rFonts w:ascii="Times New Roman" w:hAnsi="Times New Roman"/>
          <w:b w:val="0"/>
          <w:i w:val="0"/>
          <w:color w:val="000000"/>
          <w:sz w:val="22"/>
        </w:rPr>
        <w:t>Organizar, clasificar y filtrar la información operativa aplicando taxonomías funcionales de servicios, arquetipos demográficos, estabilización logarítmica de Pareto y compuertas prudenciales de solvencia crediticia.</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Objetivo Específico 3 (Punto 5): </w:t>
      </w:r>
      <w:r>
        <w:rPr>
          <w:rFonts w:ascii="Times New Roman" w:hAnsi="Times New Roman"/>
          <w:b w:val="0"/>
          <w:i w:val="0"/>
          <w:color w:val="000000"/>
          <w:sz w:val="22"/>
        </w:rPr>
        <w:t>Generar e implementar el algoritmo de recomendación Slope One con su formulación matemática rigurosa, matriz de desviaciones medias y soportes conjuntos, trazabilidad manual paso a paso con clientes reales (#2 y #45), validación cruzada 5-fold (MAE, RMSE) y evaluación de ranking Top-N Leave-One-Out.</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Objetivo Específico 4 (Punto 6): </w:t>
      </w:r>
      <w:r>
        <w:rPr>
          <w:rFonts w:ascii="Times New Roman" w:hAnsi="Times New Roman"/>
          <w:b w:val="0"/>
          <w:i w:val="0"/>
          <w:color w:val="000000"/>
          <w:sz w:val="22"/>
        </w:rPr>
        <w:t>Modelar productos (espacio tridimensional Z-Score y cláusulas contractuales), comportamientos (dinámica mensual de tesorería y frecuencia inversa ITF) y perfiles sociodemográficos (estereotipos y vecindarios kNN) resolviendo el problema de arranque en frío.</w:t>
      </w:r>
    </w:p>
    <w:p>
      <w:pPr>
        <w:spacing w:line="276" w:lineRule="auto" w:before="0" w:after="70"/>
        <w:ind w:left="403" w:hanging="403"/>
        <w:jc w:val="both"/>
      </w:pPr>
      <w:r>
        <w:rPr>
          <w:rFonts w:ascii="Times New Roman" w:hAnsi="Times New Roman"/>
          <w:b/>
          <w:sz w:val="22"/>
        </w:rPr>
        <w:t xml:space="preserve">5.  </w:t>
      </w:r>
      <w:r>
        <w:rPr>
          <w:rFonts w:ascii="Times New Roman" w:hAnsi="Times New Roman"/>
          <w:b/>
          <w:sz w:val="22"/>
        </w:rPr>
        <w:t xml:space="preserve">Objetivo Específico 5 (Punto 7): </w:t>
      </w:r>
      <w:r>
        <w:rPr>
          <w:rFonts w:ascii="Times New Roman" w:hAnsi="Times New Roman"/>
          <w:b w:val="0"/>
          <w:i w:val="0"/>
          <w:color w:val="000000"/>
          <w:sz w:val="22"/>
        </w:rPr>
        <w:t>Implementar sistemas de recomendación ítem a ítem mediante similitud de cosenos (ajustado, binario e ITF) y correlación de Pearson sobre ratings continuos y contratos domiciliados, contrastando empíricamente sus niveles de dispersión.</w:t>
      </w:r>
    </w:p>
    <w:p>
      <w:pPr>
        <w:spacing w:line="276" w:lineRule="auto" w:before="0" w:after="70"/>
        <w:ind w:left="403" w:hanging="403"/>
        <w:jc w:val="both"/>
      </w:pPr>
      <w:r>
        <w:rPr>
          <w:rFonts w:ascii="Times New Roman" w:hAnsi="Times New Roman"/>
          <w:b/>
          <w:sz w:val="22"/>
        </w:rPr>
        <w:t xml:space="preserve">6.  </w:t>
      </w:r>
      <w:r>
        <w:rPr>
          <w:rFonts w:ascii="Times New Roman" w:hAnsi="Times New Roman"/>
          <w:b/>
          <w:sz w:val="22"/>
        </w:rPr>
        <w:t xml:space="preserve">Objetivo Específico 6 (Punto 8): </w:t>
      </w:r>
      <w:r>
        <w:rPr>
          <w:rFonts w:ascii="Times New Roman" w:hAnsi="Times New Roman"/>
          <w:b w:val="0"/>
          <w:i w:val="0"/>
          <w:color w:val="000000"/>
          <w:sz w:val="22"/>
        </w:rPr>
        <w:t>Desarrollar sistemas de recomendación basados en contenidos mediante vectorización léxica TF-IDF sobre cláusulas legales con validación Leave-One-Product-Out (LOPO), integrando compuertas de gobernanza y reglas de utilidad financiera.</w:t>
      </w:r>
    </w:p>
    <w:p>
      <w:pPr>
        <w:keepNext/>
        <w:spacing w:before="180" w:after="60"/>
        <w:jc w:val="left"/>
      </w:pPr>
      <w:r>
        <w:rPr>
          <w:rFonts w:ascii="Times New Roman" w:hAnsi="Times New Roman"/>
          <w:b/>
          <w:i w:val="0"/>
          <w:color w:val="000000"/>
          <w:sz w:val="23"/>
        </w:rPr>
        <w:t>2.2 Modalidad</w:t>
      </w:r>
    </w:p>
    <w:p>
      <w:pPr>
        <w:spacing w:line="276" w:lineRule="auto" w:before="0" w:after="90"/>
        <w:jc w:val="both"/>
      </w:pPr>
      <w:r>
        <w:rPr>
          <w:rFonts w:ascii="Times New Roman" w:hAnsi="Times New Roman"/>
          <w:b w:val="0"/>
          <w:i w:val="0"/>
          <w:color w:val="000000"/>
          <w:sz w:val="22"/>
        </w:rPr>
        <w:t>Práctica de laboratorio desarrollada en modalidad presencial, complementada con sesiones autónomas de modelado matemático, programación analítica en Python, validación cruzada 5-fold, pruebas de hipótesis estadísticas y verificación cruzada de matrices de cálculo.</w:t>
      </w:r>
    </w:p>
    <w:p>
      <w:pPr>
        <w:keepNext/>
        <w:spacing w:before="180" w:after="60"/>
        <w:jc w:val="left"/>
      </w:pPr>
      <w:r>
        <w:rPr>
          <w:rFonts w:ascii="Times New Roman" w:hAnsi="Times New Roman"/>
          <w:b/>
          <w:i w:val="0"/>
          <w:color w:val="000000"/>
          <w:sz w:val="23"/>
        </w:rPr>
        <w:t>2.3 Tiempo de duración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Presenciales: </w:t>
      </w:r>
      <w:r>
        <w:rPr>
          <w:rFonts w:ascii="Times New Roman" w:hAnsi="Times New Roman"/>
          <w:b w:val="0"/>
          <w:i w:val="0"/>
          <w:color w:val="000000"/>
          <w:sz w:val="22"/>
        </w:rPr>
        <w:t>horas de sesión guiada en laboratorio para la calibración del entorno analítico, discusión de requisitos de negocio y presentación de la arquitectura de datos.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No presenciales: </w:t>
      </w:r>
      <w:r>
        <w:rPr>
          <w:rFonts w:ascii="Times New Roman" w:hAnsi="Times New Roman"/>
          <w:b w:val="0"/>
          <w:i w:val="0"/>
          <w:color w:val="000000"/>
          <w:sz w:val="22"/>
        </w:rPr>
        <w:t>horas de trabajo autónomo dedicadas a la ingeniería de características, procesamiento matricial intensivo, validación cruzada de pliegues, cálculo de métricas de ranking y redacción del informe técnico.</w:t>
      </w:r>
    </w:p>
    <w:p>
      <w:pPr>
        <w:keepNext/>
        <w:spacing w:before="180" w:after="60"/>
        <w:jc w:val="left"/>
      </w:pPr>
      <w:r>
        <w:rPr>
          <w:rFonts w:ascii="Times New Roman" w:hAnsi="Times New Roman"/>
          <w:b/>
          <w:i w:val="0"/>
          <w:color w:val="000000"/>
          <w:sz w:val="23"/>
        </w:rPr>
        <w:t>2.4 Instrucciones</w:t>
      </w:r>
    </w:p>
    <w:p>
      <w:pPr>
        <w:spacing w:line="276" w:lineRule="auto" w:before="0" w:after="90"/>
        <w:jc w:val="both"/>
      </w:pPr>
      <w:r>
        <w:rPr>
          <w:rFonts w:ascii="Times New Roman" w:hAnsi="Times New Roman"/>
          <w:b w:val="0"/>
          <w:i w:val="0"/>
          <w:color w:val="000000"/>
          <w:sz w:val="22"/>
        </w:rPr>
        <w:t>Tomando como base los cuatro DataFrames analíticos limpios y consolidados de la entidad bancaria Financial_ijs, estructurar para cada algoritmo la matriz de datos que proporcione la señal analítica adecuada. Desarrollar cada uno de los 8 puntos requeridos por la consigna docente de forma secuencial, programando los motores de recomendación respetando los estándares de reproducibilidad científica (semilla aleatoria fijada seed = 42), evaluando los errores predictivos y niveles de afinidad, e interpretando los hallazgos en función de la toma de decisiones comerciales, la fidelización del cliente y la gestión prudencial del riesgo de la institución bancaria.</w:t>
      </w:r>
    </w:p>
    <w:p>
      <w:pPr>
        <w:keepNext/>
        <w:spacing w:before="180" w:after="60"/>
        <w:jc w:val="left"/>
      </w:pPr>
      <w:r>
        <w:rPr>
          <w:rFonts w:ascii="Times New Roman" w:hAnsi="Times New Roman"/>
          <w:b/>
          <w:i w:val="0"/>
          <w:color w:val="000000"/>
          <w:sz w:val="23"/>
        </w:rPr>
        <w:t>2.5 Listado de equipos, materiales y recursos</w:t>
      </w:r>
    </w:p>
    <w:p>
      <w:pPr>
        <w:keepNext/>
        <w:spacing w:before="140" w:after="40"/>
        <w:jc w:val="left"/>
      </w:pPr>
      <w:r>
        <w:rPr>
          <w:rFonts w:ascii="Times New Roman" w:hAnsi="Times New Roman"/>
          <w:b/>
          <w:i w:val="0"/>
          <w:color w:val="000000"/>
          <w:sz w:val="22"/>
        </w:rPr>
        <w:t>Listado de equipos y materiales generales empleados en la guía práctica: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Hardware: </w:t>
      </w:r>
      <w:r>
        <w:rPr>
          <w:rFonts w:ascii="Times New Roman" w:hAnsi="Times New Roman"/>
          <w:b w:val="0"/>
          <w:i w:val="0"/>
          <w:color w:val="000000"/>
          <w:sz w:val="22"/>
        </w:rPr>
        <w:t>Computador personal con arquitectura x86_64, 16 GB de memoria RAM, procesador multi-núcleo de alta velocidad y sistema operativo Microsoft Windows 11.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Software y Entorno Científico: </w:t>
      </w:r>
      <w:r>
        <w:rPr>
          <w:rFonts w:ascii="Times New Roman" w:hAnsi="Times New Roman"/>
          <w:b w:val="0"/>
          <w:i w:val="0"/>
          <w:color w:val="000000"/>
          <w:sz w:val="22"/>
        </w:rPr>
        <w:t>Entorno de desarrollo integrado VS Code, terminal PowerShell y distribución científica Python 3.12 con librerías analíticas especializadas: Pandas (manipulación de datos), NumPy (álgebra matricial), Scikit-Learn (vectorización y métricas de evaluación), SciPy (tests estadísticos y distribuciones), Matplotlib y Seaborn (renderizado gráfico en alta resolución a 300 DPI).</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Conjuntos de Datos: </w:t>
      </w:r>
      <w:r>
        <w:rPr>
          <w:rFonts w:ascii="Times New Roman" w:hAnsi="Times New Roman"/>
          <w:b w:val="0"/>
          <w:i w:val="0"/>
          <w:color w:val="000000"/>
          <w:sz w:val="22"/>
        </w:rPr>
        <w:t>Los cuatro DataFrames analíticos limpios y consolidados de la entidad bancaria Financial_ijs (PKDD'99 Financial Discovery Challenge) en formatos CSV estructurados y comprimidos.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Herramientas de Auditoría: </w:t>
      </w:r>
      <w:r>
        <w:rPr>
          <w:rFonts w:ascii="Times New Roman" w:hAnsi="Times New Roman"/>
          <w:b w:val="0"/>
          <w:i w:val="0"/>
          <w:color w:val="000000"/>
          <w:sz w:val="22"/>
        </w:rPr>
        <w:t>Microsoft Excel para la auditoría manual independiente, verificación cruzada de sumas y comprobación de productos matriciales.</w:t>
      </w:r>
    </w:p>
    <w:p>
      <w:pPr>
        <w:keepNext/>
        <w:spacing w:before="140" w:after="40"/>
        <w:jc w:val="left"/>
      </w:pPr>
      <w:r>
        <w:rPr>
          <w:rFonts w:ascii="Times New Roman" w:hAnsi="Times New Roman"/>
          <w:b/>
          <w:i w:val="0"/>
          <w:color w:val="000000"/>
          <w:sz w:val="22"/>
        </w:rPr>
        <w:t>TAC (Tecnologías para el Aprendizaje y Conocimiento) empleados en la guía práctica: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Plataformas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Simuladores y laboratorios virtuales (Jupyter Lab, Entornos Interactivos en Python)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Aplicaciones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Recursos audiovisuales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Gamificación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Inteligencia Artificial (Asistentes de programación científica y verificación estadística)</w:t>
      </w:r>
    </w:p>
    <w:p>
      <w:pPr>
        <w:spacing w:line="276" w:lineRule="auto" w:before="0" w:after="90"/>
        <w:jc w:val="both"/>
      </w:pPr>
      <w:r>
        <w:rPr>
          <w:rFonts w:ascii="Times New Roman" w:hAnsi="Times New Roman"/>
          <w:b w:val="0"/>
          <w:i w:val="0"/>
          <w:color w:val="000000"/>
          <w:sz w:val="22"/>
        </w:rPr>
        <w:t>Otros (Especifique): Sistema de control de versiones distribuido Git y bibliotecas de procesamiento matricial optimizado.</w:t>
      </w:r>
    </w:p>
    <w:p>
      <w:pPr>
        <w:keepNext/>
        <w:spacing w:before="180" w:after="60"/>
        <w:jc w:val="left"/>
      </w:pPr>
      <w:r>
        <w:rPr>
          <w:rFonts w:ascii="Times New Roman" w:hAnsi="Times New Roman"/>
          <w:b/>
          <w:i w:val="0"/>
          <w:color w:val="000000"/>
          <w:sz w:val="23"/>
        </w:rPr>
        <w:t>2.6 Actividades por desarrollar</w:t>
      </w:r>
    </w:p>
    <w:p>
      <w:pPr>
        <w:spacing w:line="276" w:lineRule="auto" w:before="0" w:after="90"/>
        <w:jc w:val="both"/>
      </w:pPr>
      <w:r>
        <w:rPr>
          <w:rFonts w:ascii="Times New Roman" w:hAnsi="Times New Roman"/>
          <w:b w:val="0"/>
          <w:i w:val="0"/>
          <w:color w:val="000000"/>
          <w:sz w:val="22"/>
        </w:rPr>
        <w:t>En estricto cumplimiento de la consigna establecida por el docente, la investigación experimental y el modelado analítico se articularon a través de los ocho puntos secuenciales solicitados: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Punto 1: </w:t>
      </w:r>
      <w:r>
        <w:rPr>
          <w:rFonts w:ascii="Times New Roman" w:hAnsi="Times New Roman"/>
          <w:b w:val="0"/>
          <w:i w:val="0"/>
          <w:color w:val="000000"/>
          <w:sz w:val="22"/>
        </w:rPr>
        <w:t>Generación de uno o varios DataFrames a partir de un DataMart: Modelar y extraer los cuatro DataFrames canónicos desde el Data Warehouse bancario en esquema estrella de Ralph Kimball.</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Punto 2: </w:t>
      </w:r>
      <w:r>
        <w:rPr>
          <w:rFonts w:ascii="Times New Roman" w:hAnsi="Times New Roman"/>
          <w:b w:val="0"/>
          <w:i w:val="0"/>
          <w:color w:val="000000"/>
          <w:sz w:val="22"/>
        </w:rPr>
        <w:t>Organizar la información: Elevar el grano desde eventos atómicos a cuentas/titulares, auditar claves foráneas y evaluar la viabilidad técnica de las 20 combinaciones algoritmo × DataFrame.</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Punto 3: </w:t>
      </w:r>
      <w:r>
        <w:rPr>
          <w:rFonts w:ascii="Times New Roman" w:hAnsi="Times New Roman"/>
          <w:b w:val="0"/>
          <w:i w:val="0"/>
          <w:color w:val="000000"/>
          <w:sz w:val="22"/>
        </w:rPr>
        <w:t>Clasificar la información: Definir la taxonomía formal de servicios financieros transaccionales, tipologías de órdenes, arquetipos sociodemográficos y familias metodológicas de recomendadores.</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Punto 4: </w:t>
      </w:r>
      <w:r>
        <w:rPr>
          <w:rFonts w:ascii="Times New Roman" w:hAnsi="Times New Roman"/>
          <w:b w:val="0"/>
          <w:i w:val="0"/>
          <w:color w:val="000000"/>
          <w:sz w:val="22"/>
        </w:rPr>
        <w:t>Filtrar la información: Aplicar estabilización logarítmica de Pareto, escalamiento a rango [1, 5], filtrado de cuentas secundarias y compuertas prudenciales de solvencia crediticia.</w:t>
      </w:r>
    </w:p>
    <w:p>
      <w:pPr>
        <w:spacing w:line="276" w:lineRule="auto" w:before="0" w:after="70"/>
        <w:ind w:left="403" w:hanging="403"/>
        <w:jc w:val="both"/>
      </w:pPr>
      <w:r>
        <w:rPr>
          <w:rFonts w:ascii="Times New Roman" w:hAnsi="Times New Roman"/>
          <w:b/>
          <w:sz w:val="22"/>
        </w:rPr>
        <w:t xml:space="preserve">5.  </w:t>
      </w:r>
      <w:r>
        <w:rPr>
          <w:rFonts w:ascii="Times New Roman" w:hAnsi="Times New Roman"/>
          <w:b/>
          <w:sz w:val="22"/>
        </w:rPr>
        <w:t xml:space="preserve">Punto 5: </w:t>
      </w:r>
      <w:r>
        <w:rPr>
          <w:rFonts w:ascii="Times New Roman" w:hAnsi="Times New Roman"/>
          <w:b w:val="0"/>
          <w:i w:val="0"/>
          <w:color w:val="000000"/>
          <w:sz w:val="22"/>
        </w:rPr>
        <w:t>Generar un sistema de recomendación Slope One: Implementar el algoritmo con cálculo de desviaciones medias, soportes, validación cruzada 5-fold, ranking Top-N y trazabilidad manual paso a paso con clientes reales.</w:t>
      </w:r>
    </w:p>
    <w:p>
      <w:pPr>
        <w:spacing w:line="276" w:lineRule="auto" w:before="0" w:after="70"/>
        <w:ind w:left="403" w:hanging="403"/>
        <w:jc w:val="both"/>
      </w:pPr>
      <w:r>
        <w:rPr>
          <w:rFonts w:ascii="Times New Roman" w:hAnsi="Times New Roman"/>
          <w:b/>
          <w:sz w:val="22"/>
        </w:rPr>
        <w:t xml:space="preserve">6.  </w:t>
      </w:r>
      <w:r>
        <w:rPr>
          <w:rFonts w:ascii="Times New Roman" w:hAnsi="Times New Roman"/>
          <w:b/>
          <w:sz w:val="22"/>
        </w:rPr>
        <w:t xml:space="preserve">Punto 6: </w:t>
      </w:r>
      <w:r>
        <w:rPr>
          <w:rFonts w:ascii="Times New Roman" w:hAnsi="Times New Roman"/>
          <w:b w:val="0"/>
          <w:i w:val="0"/>
          <w:color w:val="000000"/>
          <w:sz w:val="22"/>
        </w:rPr>
        <w:t>Modele productos, comportamientos, perfiles: Modelar productos (espacio Z-Score y TF-IDF), comportamientos (dinámica mensual de tesorería y frecuencia inversa ITF) y perfiles (estereotipos demográficos y vecindarios kNN).</w:t>
      </w:r>
    </w:p>
    <w:p>
      <w:pPr>
        <w:spacing w:line="276" w:lineRule="auto" w:before="0" w:after="70"/>
        <w:ind w:left="403" w:hanging="403"/>
        <w:jc w:val="both"/>
      </w:pPr>
      <w:r>
        <w:rPr>
          <w:rFonts w:ascii="Times New Roman" w:hAnsi="Times New Roman"/>
          <w:b/>
          <w:sz w:val="22"/>
        </w:rPr>
        <w:t xml:space="preserve">7.  </w:t>
      </w:r>
      <w:r>
        <w:rPr>
          <w:rFonts w:ascii="Times New Roman" w:hAnsi="Times New Roman"/>
          <w:b/>
          <w:sz w:val="22"/>
        </w:rPr>
        <w:t xml:space="preserve">Punto 7: </w:t>
      </w:r>
      <w:r>
        <w:rPr>
          <w:rFonts w:ascii="Times New Roman" w:hAnsi="Times New Roman"/>
          <w:b w:val="0"/>
          <w:i w:val="0"/>
          <w:color w:val="000000"/>
          <w:sz w:val="22"/>
        </w:rPr>
        <w:t>Sistema de recomendación item to item (similitud de cosenos y Pearson): Implementar Coseno Ajustado, Coseno Binario, ponderación ITF y correlación de Pearson sobre ratings y órdenes domiciliadas.</w:t>
      </w:r>
    </w:p>
    <w:p>
      <w:pPr>
        <w:spacing w:line="276" w:lineRule="auto" w:before="0" w:after="70"/>
        <w:ind w:left="403" w:hanging="403"/>
        <w:jc w:val="both"/>
      </w:pPr>
      <w:r>
        <w:rPr>
          <w:rFonts w:ascii="Times New Roman" w:hAnsi="Times New Roman"/>
          <w:b/>
          <w:sz w:val="22"/>
        </w:rPr>
        <w:t xml:space="preserve">8.  </w:t>
      </w:r>
      <w:r>
        <w:rPr>
          <w:rFonts w:ascii="Times New Roman" w:hAnsi="Times New Roman"/>
          <w:b/>
          <w:sz w:val="22"/>
        </w:rPr>
        <w:t xml:space="preserve">Punto 8: </w:t>
      </w:r>
      <w:r>
        <w:rPr>
          <w:rFonts w:ascii="Times New Roman" w:hAnsi="Times New Roman"/>
          <w:b w:val="0"/>
          <w:i w:val="0"/>
          <w:color w:val="000000"/>
          <w:sz w:val="22"/>
        </w:rPr>
        <w:t>Sistema de recomendación basado en contenidos: Desarrollar vectorización léxica TF-IDF con validación Leave-One-Product-Out (LOPO) y reglas de scoring con función de utilidad financiera.</w:t>
      </w:r>
    </w:p>
    <w:p>
      <w:pPr>
        <w:keepNext/>
        <w:spacing w:before="180" w:after="60"/>
        <w:jc w:val="left"/>
      </w:pPr>
      <w:r>
        <w:rPr>
          <w:rFonts w:ascii="Times New Roman" w:hAnsi="Times New Roman"/>
          <w:b/>
          <w:i w:val="0"/>
          <w:color w:val="000000"/>
          <w:sz w:val="23"/>
        </w:rPr>
        <w:t>2.7 Resultados obtenidos</w:t>
      </w:r>
    </w:p>
    <w:p>
      <w:pPr>
        <w:spacing w:line="276" w:lineRule="auto" w:before="0" w:after="90"/>
        <w:jc w:val="both"/>
      </w:pPr>
      <w:r>
        <w:rPr>
          <w:rFonts w:ascii="Times New Roman" w:hAnsi="Times New Roman"/>
          <w:b w:val="0"/>
          <w:i w:val="0"/>
          <w:color w:val="000000"/>
          <w:sz w:val="22"/>
        </w:rPr>
        <w:t>Los resultados analíticos y computacionales obtenidos en la práctica de laboratorio se estructuran a continuación respondiendo con rigor científico a cada uno de los ocho requerimientos de la consigna docente:</w:t>
      </w:r>
    </w:p>
    <w:p>
      <w:pPr>
        <w:keepNext/>
        <w:spacing w:before="140" w:after="40"/>
        <w:jc w:val="left"/>
      </w:pPr>
      <w:r>
        <w:rPr>
          <w:rFonts w:ascii="Times New Roman" w:hAnsi="Times New Roman"/>
          <w:b/>
          <w:i w:val="0"/>
          <w:color w:val="000000"/>
          <w:sz w:val="22"/>
        </w:rPr>
        <w:t>2.7.1 Uno o varios DataFrames a partir de un DataMart</w:t>
      </w:r>
    </w:p>
    <w:p>
      <w:pPr>
        <w:spacing w:line="276" w:lineRule="auto" w:before="0" w:after="90"/>
        <w:jc w:val="both"/>
      </w:pPr>
      <w:r>
        <w:rPr>
          <w:rFonts w:ascii="Times New Roman" w:hAnsi="Times New Roman"/>
          <w:b w:val="0"/>
          <w:i w:val="0"/>
          <w:color w:val="000000"/>
          <w:sz w:val="22"/>
        </w:rPr>
        <w:t>Marco conceptual y origen de datos: Para el desarrollo experimental de la práctica se tomó como fuente la base de datos bancaria Financial_ijs (correspondiente al benchmark internacional PKDD'99 Financial Discovery Challenge), la cual contiene registros operacionales, cuentas, contratos y clientes de un banco comercial a lo largo de un período de seis años (1993 a 1998). A partir de este repositorio relacional transaccional, se construyó un Data Warehouse bajo la metodología dimensional de Ralph Kimball en esquema de estrella con dimensiones conformadas compartidas, desde el cual se extrajeron y consolidaron los cuatro DataFrames analíticos limpios utilizados en los modelos de recomendación: df_transacciones (1,056,320 movimientos contables y pagos), df_ordenes (6,471 órdenes de débito permanente domiciliadas en 3,758 cuentas), df_prestamos (682 contratos de crédito con sus plazos y cuotas) y df_cliente_consolidado (visión 360° sociodemográfica y financiera de 5,369 clientes).</w:t>
      </w:r>
    </w:p>
    <w:p>
      <w:pPr>
        <w:spacing w:line="276" w:lineRule="auto" w:before="0" w:after="90"/>
        <w:jc w:val="both"/>
      </w:pPr>
      <w:r>
        <w:rPr>
          <w:rFonts w:ascii="Times New Roman" w:hAnsi="Times New Roman"/>
          <w:b w:val="0"/>
          <w:i w:val="0"/>
          <w:color w:val="000000"/>
          <w:sz w:val="22"/>
        </w:rPr>
        <w:t>Matriz de Trazabilidad Metodológica de la Consigna: Para facilitar la verificación exhaustiva de los ocho requerimientos técnicos estipulados en la guía práctica académica, la Tabla 1-A establece el mapeo directo entre cada punto de la consigna y su sección de desarrollo detallada:</w:t>
      </w:r>
    </w:p>
    <w:p>
      <w:pPr>
        <w:keepNext/>
        <w:spacing w:before="200" w:after="80"/>
        <w:jc w:val="center"/>
      </w:pPr>
      <w:r>
        <w:rPr>
          <w:rFonts w:ascii="Times New Roman" w:hAnsi="Times New Roman"/>
          <w:b/>
          <w:i w:val="0"/>
          <w:color w:val="000000"/>
          <w:sz w:val="21"/>
        </w:rPr>
        <w:t>Tabla 1</w:t>
      </w:r>
      <w:r>
        <w:rPr>
          <w:rFonts w:ascii="Times New Roman" w:hAnsi="Times New Roman"/>
          <w:sz w:val="21"/>
        </w:rPr>
        <w:t>-A: Matriz de Trazabilidad Metodológica: Puntos de la Consigna de la Guía Práctica → Secciones del Informe.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200"/>
        <w:gridCol w:w="2200"/>
        <w:gridCol w:w="2200"/>
        <w:gridCol w:w="2200"/>
      </w:tblGrid>
      <w:tr>
        <w:trPr>
          <w:tblHeader/>
          <w:cantSplit/>
        </w:trPr>
        <w:tc>
          <w:tcPr>
            <w:tcW w:type="dxa" w:w="1872"/>
            <w:vAlign w:val="center"/>
            <w:tcBorders>
              <w:bottom w:val="single" w:sz="6" w:space="0" w:color="000000"/>
            </w:tcBorders>
          </w:tcPr>
          <w:p>
            <w:pPr>
              <w:spacing w:before="0" w:after="0" w:line="252" w:lineRule="auto"/>
              <w:jc w:val="center"/>
            </w:pPr>
            <w:r>
              <w:rPr>
                <w:rFonts w:ascii="Times New Roman" w:hAnsi="Times New Roman"/>
                <w:b/>
                <w:i w:val="0"/>
                <w:color w:val="000000"/>
                <w:sz w:val="18"/>
              </w:rPr>
              <w:t>Punto de la Consigna</w:t>
            </w:r>
          </w:p>
        </w:tc>
        <w:tc>
          <w:tcPr>
            <w:tcW w:type="dxa" w:w="2880"/>
            <w:vAlign w:val="center"/>
            <w:tcBorders>
              <w:bottom w:val="single" w:sz="6" w:space="0" w:color="000000"/>
            </w:tcBorders>
          </w:tcPr>
          <w:p>
            <w:pPr>
              <w:spacing w:before="0" w:after="0" w:line="252" w:lineRule="auto"/>
              <w:jc w:val="center"/>
            </w:pPr>
            <w:r>
              <w:rPr>
                <w:rFonts w:ascii="Times New Roman" w:hAnsi="Times New Roman"/>
                <w:b/>
                <w:i w:val="0"/>
                <w:color w:val="000000"/>
                <w:sz w:val="18"/>
              </w:rPr>
              <w:t>Requerimiento Técnico Evaluado</w:t>
            </w:r>
          </w:p>
        </w:tc>
        <w:tc>
          <w:tcPr>
            <w:tcW w:type="dxa" w:w="2160"/>
            <w:vAlign w:val="center"/>
            <w:tcBorders>
              <w:bottom w:val="single" w:sz="6" w:space="0" w:color="000000"/>
            </w:tcBorders>
          </w:tcPr>
          <w:p>
            <w:pPr>
              <w:spacing w:before="0" w:after="0" w:line="252" w:lineRule="auto"/>
              <w:jc w:val="center"/>
            </w:pPr>
            <w:r>
              <w:rPr>
                <w:rFonts w:ascii="Times New Roman" w:hAnsi="Times New Roman"/>
                <w:b/>
                <w:i w:val="0"/>
                <w:color w:val="000000"/>
                <w:sz w:val="18"/>
              </w:rPr>
              <w:t>Sección(es) del Informe</w:t>
            </w:r>
          </w:p>
        </w:tc>
        <w:tc>
          <w:tcPr>
            <w:tcW w:type="dxa" w:w="1886"/>
            <w:vAlign w:val="center"/>
            <w:tcBorders>
              <w:bottom w:val="single" w:sz="6" w:space="0" w:color="000000"/>
            </w:tcBorders>
          </w:tcPr>
          <w:p>
            <w:pPr>
              <w:spacing w:before="0" w:after="0" w:line="252" w:lineRule="auto"/>
              <w:jc w:val="center"/>
            </w:pPr>
            <w:r>
              <w:rPr>
                <w:rFonts w:ascii="Times New Roman" w:hAnsi="Times New Roman"/>
                <w:b/>
                <w:i w:val="0"/>
                <w:color w:val="000000"/>
                <w:sz w:val="18"/>
              </w:rPr>
              <w:t>Evidencia / Tablas y Figuras</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1. DataFrames desde DataMart</w:t>
            </w:r>
          </w:p>
        </w:tc>
        <w:tc>
          <w:tcPr>
            <w:tcW w:type="dxa" w:w="2880"/>
            <w:vAlign w:val="center"/>
          </w:tcPr>
          <w:p>
            <w:pPr>
              <w:spacing w:before="0" w:after="0" w:line="252" w:lineRule="auto"/>
              <w:jc w:val="left"/>
            </w:pPr>
            <w:r>
              <w:rPr>
                <w:rFonts w:ascii="Times New Roman" w:hAnsi="Times New Roman"/>
                <w:b w:val="0"/>
                <w:i w:val="0"/>
                <w:color w:val="000000"/>
                <w:sz w:val="18"/>
              </w:rPr>
              <w:t>Derivar uno o varios DataFrames analíticos limpios a partir de un DataMart/DW relacional.</w:t>
            </w:r>
          </w:p>
        </w:tc>
        <w:tc>
          <w:tcPr>
            <w:tcW w:type="dxa" w:w="2160"/>
            <w:vAlign w:val="center"/>
          </w:tcPr>
          <w:p>
            <w:pPr>
              <w:spacing w:before="0" w:after="0" w:line="252" w:lineRule="auto"/>
              <w:jc w:val="left"/>
            </w:pPr>
            <w:r>
              <w:rPr>
                <w:rFonts w:ascii="Times New Roman" w:hAnsi="Times New Roman"/>
                <w:b w:val="0"/>
                <w:i w:val="0"/>
                <w:color w:val="000000"/>
                <w:sz w:val="18"/>
              </w:rPr>
              <w:t>Sección 2.7.1 (Punto 1)</w:t>
            </w:r>
          </w:p>
        </w:tc>
        <w:tc>
          <w:tcPr>
            <w:tcW w:type="dxa" w:w="1886"/>
            <w:vAlign w:val="center"/>
          </w:tcPr>
          <w:p>
            <w:pPr>
              <w:spacing w:before="0" w:after="0" w:line="252" w:lineRule="auto"/>
              <w:jc w:val="left"/>
            </w:pPr>
            <w:r>
              <w:rPr>
                <w:rFonts w:ascii="Times New Roman" w:hAnsi="Times New Roman"/>
                <w:b w:val="0"/>
                <w:i w:val="0"/>
                <w:color w:val="000000"/>
                <w:sz w:val="18"/>
              </w:rPr>
              <w:t>Tabla 1-B, Tabla 1-C y scripts ETL (00)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2. Organizar la información</w:t>
            </w:r>
          </w:p>
        </w:tc>
        <w:tc>
          <w:tcPr>
            <w:tcW w:type="dxa" w:w="2880"/>
            <w:vAlign w:val="center"/>
          </w:tcPr>
          <w:p>
            <w:pPr>
              <w:spacing w:before="0" w:after="0" w:line="252" w:lineRule="auto"/>
              <w:jc w:val="left"/>
            </w:pPr>
            <w:r>
              <w:rPr>
                <w:rFonts w:ascii="Times New Roman" w:hAnsi="Times New Roman"/>
                <w:b w:val="0"/>
                <w:i w:val="0"/>
                <w:color w:val="000000"/>
                <w:sz w:val="18"/>
              </w:rPr>
              <w:t>Estructurar la información con diccionario de variables y matriz de viabilidad algoritmo × DataFrame.</w:t>
            </w:r>
          </w:p>
        </w:tc>
        <w:tc>
          <w:tcPr>
            <w:tcW w:type="dxa" w:w="2160"/>
            <w:vAlign w:val="center"/>
          </w:tcPr>
          <w:p>
            <w:pPr>
              <w:spacing w:before="0" w:after="0" w:line="252" w:lineRule="auto"/>
              <w:jc w:val="left"/>
            </w:pPr>
            <w:r>
              <w:rPr>
                <w:rFonts w:ascii="Times New Roman" w:hAnsi="Times New Roman"/>
                <w:b w:val="0"/>
                <w:i w:val="0"/>
                <w:color w:val="000000"/>
                <w:sz w:val="18"/>
              </w:rPr>
              <w:t>Sección 2.7.2 (Punto 2)</w:t>
            </w:r>
          </w:p>
        </w:tc>
        <w:tc>
          <w:tcPr>
            <w:tcW w:type="dxa" w:w="1886"/>
            <w:vAlign w:val="center"/>
          </w:tcPr>
          <w:p>
            <w:pPr>
              <w:spacing w:before="0" w:after="0" w:line="252" w:lineRule="auto"/>
              <w:jc w:val="left"/>
            </w:pPr>
            <w:r>
              <w:rPr>
                <w:rFonts w:ascii="Times New Roman" w:hAnsi="Times New Roman"/>
                <w:b w:val="0"/>
                <w:i w:val="0"/>
                <w:color w:val="000000"/>
                <w:sz w:val="18"/>
              </w:rPr>
              <w:t>Tabla 3 (Diccionario), Tabla 4 (Matriz 5×4) y Figura 16</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3. Clasificar la información</w:t>
            </w:r>
          </w:p>
        </w:tc>
        <w:tc>
          <w:tcPr>
            <w:tcW w:type="dxa" w:w="2880"/>
            <w:vAlign w:val="center"/>
          </w:tcPr>
          <w:p>
            <w:pPr>
              <w:spacing w:before="0" w:after="0" w:line="252" w:lineRule="auto"/>
              <w:jc w:val="left"/>
            </w:pPr>
            <w:r>
              <w:rPr>
                <w:rFonts w:ascii="Times New Roman" w:hAnsi="Times New Roman"/>
                <w:b w:val="0"/>
                <w:i w:val="0"/>
                <w:color w:val="000000"/>
                <w:sz w:val="18"/>
              </w:rPr>
              <w:t>Taxonomía formal de servicios financieros transaccionales y segmentación demográfica por arquetipos.</w:t>
            </w:r>
          </w:p>
        </w:tc>
        <w:tc>
          <w:tcPr>
            <w:tcW w:type="dxa" w:w="2160"/>
            <w:vAlign w:val="center"/>
          </w:tcPr>
          <w:p>
            <w:pPr>
              <w:spacing w:before="0" w:after="0" w:line="252" w:lineRule="auto"/>
              <w:jc w:val="left"/>
            </w:pPr>
            <w:r>
              <w:rPr>
                <w:rFonts w:ascii="Times New Roman" w:hAnsi="Times New Roman"/>
                <w:b w:val="0"/>
                <w:i w:val="0"/>
                <w:color w:val="000000"/>
                <w:sz w:val="18"/>
              </w:rPr>
              <w:t>Sección 2.7.3 (Punto 3)</w:t>
            </w:r>
          </w:p>
        </w:tc>
        <w:tc>
          <w:tcPr>
            <w:tcW w:type="dxa" w:w="1886"/>
            <w:vAlign w:val="center"/>
          </w:tcPr>
          <w:p>
            <w:pPr>
              <w:spacing w:before="0" w:after="0" w:line="252" w:lineRule="auto"/>
              <w:jc w:val="left"/>
            </w:pPr>
            <w:r>
              <w:rPr>
                <w:rFonts w:ascii="Times New Roman" w:hAnsi="Times New Roman"/>
                <w:b w:val="0"/>
                <w:i w:val="0"/>
                <w:color w:val="000000"/>
                <w:sz w:val="18"/>
              </w:rPr>
              <w:t>Taxonomías 5 servicios y 4 órdenes, 4 familias RS</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4. Filtrar la información</w:t>
            </w:r>
          </w:p>
        </w:tc>
        <w:tc>
          <w:tcPr>
            <w:tcW w:type="dxa" w:w="2880"/>
            <w:vAlign w:val="center"/>
          </w:tcPr>
          <w:p>
            <w:pPr>
              <w:spacing w:before="0" w:after="0" w:line="252" w:lineRule="auto"/>
              <w:jc w:val="left"/>
            </w:pPr>
            <w:r>
              <w:rPr>
                <w:rFonts w:ascii="Times New Roman" w:hAnsi="Times New Roman"/>
                <w:b w:val="0"/>
                <w:i w:val="0"/>
                <w:color w:val="000000"/>
                <w:sz w:val="18"/>
              </w:rPr>
              <w:t>Conectar el filtrado con escala [1, 5], mitigación de Pareto y compuertas de solvencia.</w:t>
            </w:r>
          </w:p>
        </w:tc>
        <w:tc>
          <w:tcPr>
            <w:tcW w:type="dxa" w:w="2160"/>
            <w:vAlign w:val="center"/>
          </w:tcPr>
          <w:p>
            <w:pPr>
              <w:spacing w:before="0" w:after="0" w:line="252" w:lineRule="auto"/>
              <w:jc w:val="left"/>
            </w:pPr>
            <w:r>
              <w:rPr>
                <w:rFonts w:ascii="Times New Roman" w:hAnsi="Times New Roman"/>
                <w:b w:val="0"/>
                <w:i w:val="0"/>
                <w:color w:val="000000"/>
                <w:sz w:val="18"/>
              </w:rPr>
              <w:t>Sección 2.7.4 (Punto 4)</w:t>
            </w:r>
          </w:p>
        </w:tc>
        <w:tc>
          <w:tcPr>
            <w:tcW w:type="dxa" w:w="1886"/>
            <w:vAlign w:val="center"/>
          </w:tcPr>
          <w:p>
            <w:pPr>
              <w:spacing w:before="0" w:after="0" w:line="252" w:lineRule="auto"/>
              <w:jc w:val="left"/>
            </w:pPr>
            <w:r>
              <w:rPr>
                <w:rFonts w:ascii="Times New Roman" w:hAnsi="Times New Roman"/>
                <w:b w:val="0"/>
                <w:i w:val="0"/>
                <w:color w:val="000000"/>
                <w:sz w:val="18"/>
              </w:rPr>
              <w:t>Filtro Pareto, escala [1, 5], exclusión disponentes y regla 30%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5. Sistema Slope One completo</w:t>
            </w:r>
          </w:p>
        </w:tc>
        <w:tc>
          <w:tcPr>
            <w:tcW w:type="dxa" w:w="2880"/>
            <w:vAlign w:val="center"/>
          </w:tcPr>
          <w:p>
            <w:pPr>
              <w:spacing w:before="0" w:after="0" w:line="252" w:lineRule="auto"/>
              <w:jc w:val="left"/>
            </w:pPr>
            <w:r>
              <w:rPr>
                <w:rFonts w:ascii="Times New Roman" w:hAnsi="Times New Roman"/>
                <w:b w:val="0"/>
                <w:i w:val="0"/>
                <w:color w:val="000000"/>
                <w:sz w:val="18"/>
              </w:rPr>
              <w:t>Formulación formal f(x)=x+b, matriz antisimétrica con soportes y ejemplo numérico paso a paso con trazabilidad.</w:t>
            </w:r>
          </w:p>
        </w:tc>
        <w:tc>
          <w:tcPr>
            <w:tcW w:type="dxa" w:w="2160"/>
            <w:vAlign w:val="center"/>
          </w:tcPr>
          <w:p>
            <w:pPr>
              <w:spacing w:before="0" w:after="0" w:line="252" w:lineRule="auto"/>
              <w:jc w:val="left"/>
            </w:pPr>
            <w:r>
              <w:rPr>
                <w:rFonts w:ascii="Times New Roman" w:hAnsi="Times New Roman"/>
                <w:b w:val="0"/>
                <w:i w:val="0"/>
                <w:color w:val="000000"/>
                <w:sz w:val="18"/>
              </w:rPr>
              <w:t>Sección 2.7.5 (Punto 5)</w:t>
            </w:r>
          </w:p>
        </w:tc>
        <w:tc>
          <w:tcPr>
            <w:tcW w:type="dxa" w:w="1886"/>
            <w:vAlign w:val="center"/>
          </w:tcPr>
          <w:p>
            <w:pPr>
              <w:spacing w:before="0" w:after="0" w:line="252" w:lineRule="auto"/>
              <w:jc w:val="left"/>
            </w:pPr>
            <w:r>
              <w:rPr>
                <w:rFonts w:ascii="Times New Roman" w:hAnsi="Times New Roman"/>
                <w:b w:val="0"/>
                <w:i w:val="0"/>
                <w:color w:val="000000"/>
                <w:sz w:val="18"/>
              </w:rPr>
              <w:t>Tabla 2 (Trazabilidad Clientes #2 y #45), Tabla 5 (Matriz 5×5) y Figura 1</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6. Modelado de entidades</w:t>
            </w:r>
          </w:p>
        </w:tc>
        <w:tc>
          <w:tcPr>
            <w:tcW w:type="dxa" w:w="2880"/>
            <w:vAlign w:val="center"/>
          </w:tcPr>
          <w:p>
            <w:pPr>
              <w:spacing w:before="0" w:after="0" w:line="252" w:lineRule="auto"/>
              <w:jc w:val="left"/>
            </w:pPr>
            <w:r>
              <w:rPr>
                <w:rFonts w:ascii="Times New Roman" w:hAnsi="Times New Roman"/>
                <w:b w:val="0"/>
                <w:i w:val="0"/>
                <w:color w:val="000000"/>
                <w:sz w:val="18"/>
              </w:rPr>
              <w:t>Modelar productos (contenidos), comportamientos (transacciones/ratings) y perfiles (demográficos).</w:t>
            </w:r>
          </w:p>
        </w:tc>
        <w:tc>
          <w:tcPr>
            <w:tcW w:type="dxa" w:w="2160"/>
            <w:vAlign w:val="center"/>
          </w:tcPr>
          <w:p>
            <w:pPr>
              <w:spacing w:before="0" w:after="0" w:line="252" w:lineRule="auto"/>
              <w:jc w:val="left"/>
            </w:pPr>
            <w:r>
              <w:rPr>
                <w:rFonts w:ascii="Times New Roman" w:hAnsi="Times New Roman"/>
                <w:b w:val="0"/>
                <w:i w:val="0"/>
                <w:color w:val="000000"/>
                <w:sz w:val="18"/>
              </w:rPr>
              <w:t>Sección 2.7.6 (Punto 6)</w:t>
            </w:r>
          </w:p>
        </w:tc>
        <w:tc>
          <w:tcPr>
            <w:tcW w:type="dxa" w:w="1886"/>
            <w:vAlign w:val="center"/>
          </w:tcPr>
          <w:p>
            <w:pPr>
              <w:spacing w:before="0" w:after="0" w:line="252" w:lineRule="auto"/>
              <w:jc w:val="left"/>
            </w:pPr>
            <w:r>
              <w:rPr>
                <w:rFonts w:ascii="Times New Roman" w:hAnsi="Times New Roman"/>
                <w:b w:val="0"/>
                <w:i w:val="0"/>
                <w:color w:val="000000"/>
                <w:sz w:val="18"/>
              </w:rPr>
              <w:t>Productos: 3B/3A | Comportamientos: 1B/1C/2B | Perfiles: 4A/4B/4C</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7. Ítem-a-ítem con Coseno y Pearson</w:t>
            </w:r>
          </w:p>
        </w:tc>
        <w:tc>
          <w:tcPr>
            <w:tcW w:type="dxa" w:w="2880"/>
            <w:vAlign w:val="center"/>
          </w:tcPr>
          <w:p>
            <w:pPr>
              <w:spacing w:before="0" w:after="0" w:line="252" w:lineRule="auto"/>
              <w:jc w:val="left"/>
            </w:pPr>
            <w:r>
              <w:rPr>
                <w:rFonts w:ascii="Times New Roman" w:hAnsi="Times New Roman"/>
                <w:b w:val="0"/>
                <w:i w:val="0"/>
                <w:color w:val="000000"/>
                <w:sz w:val="18"/>
              </w:rPr>
              <w:t>Sistema ítem-a-ítem con Coseno Ajustado / Binario y Pearson sobre ratings (matriz 5×5 y cálculo de clase).</w:t>
            </w:r>
          </w:p>
        </w:tc>
        <w:tc>
          <w:tcPr>
            <w:tcW w:type="dxa" w:w="2160"/>
            <w:vAlign w:val="center"/>
          </w:tcPr>
          <w:p>
            <w:pPr>
              <w:spacing w:before="0" w:after="0" w:line="252" w:lineRule="auto"/>
              <w:jc w:val="left"/>
            </w:pPr>
            <w:r>
              <w:rPr>
                <w:rFonts w:ascii="Times New Roman" w:hAnsi="Times New Roman"/>
                <w:b w:val="0"/>
                <w:i w:val="0"/>
                <w:color w:val="000000"/>
                <w:sz w:val="18"/>
              </w:rPr>
              <w:t>Sección 2.7.7 (Punto 7)</w:t>
            </w:r>
          </w:p>
        </w:tc>
        <w:tc>
          <w:tcPr>
            <w:tcW w:type="dxa" w:w="1886"/>
            <w:vAlign w:val="center"/>
          </w:tcPr>
          <w:p>
            <w:pPr>
              <w:spacing w:before="0" w:after="0" w:line="252" w:lineRule="auto"/>
              <w:jc w:val="left"/>
            </w:pPr>
            <w:r>
              <w:rPr>
                <w:rFonts w:ascii="Times New Roman" w:hAnsi="Times New Roman"/>
                <w:b w:val="0"/>
                <w:i w:val="0"/>
                <w:color w:val="000000"/>
                <w:sz w:val="18"/>
              </w:rPr>
              <w:t>Tabla 6 (Coseno Ajustado), Tabla 7-A (Pearson ratings), Tablas 8, 9, 10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8. Sistema basado en contenidos</w:t>
            </w:r>
          </w:p>
        </w:tc>
        <w:tc>
          <w:tcPr>
            <w:tcW w:type="dxa" w:w="2880"/>
            <w:vAlign w:val="center"/>
          </w:tcPr>
          <w:p>
            <w:pPr>
              <w:spacing w:before="0" w:after="0" w:line="252" w:lineRule="auto"/>
              <w:jc w:val="left"/>
            </w:pPr>
            <w:r>
              <w:rPr>
                <w:rFonts w:ascii="Times New Roman" w:hAnsi="Times New Roman"/>
                <w:b w:val="0"/>
                <w:i w:val="0"/>
                <w:color w:val="000000"/>
                <w:sz w:val="18"/>
              </w:rPr>
              <w:t>Filtrado basado en contenidos con TF-IDF sobre cláusulas textuales con LOPO y reglas de utilidad.</w:t>
            </w:r>
          </w:p>
        </w:tc>
        <w:tc>
          <w:tcPr>
            <w:tcW w:type="dxa" w:w="2160"/>
            <w:vAlign w:val="center"/>
          </w:tcPr>
          <w:p>
            <w:pPr>
              <w:spacing w:before="0" w:after="0" w:line="252" w:lineRule="auto"/>
              <w:jc w:val="left"/>
            </w:pPr>
            <w:r>
              <w:rPr>
                <w:rFonts w:ascii="Times New Roman" w:hAnsi="Times New Roman"/>
                <w:b w:val="0"/>
                <w:i w:val="0"/>
                <w:color w:val="000000"/>
                <w:sz w:val="18"/>
              </w:rPr>
              <w:t>Sección 2.7.8 (Punto 8)</w:t>
            </w:r>
          </w:p>
        </w:tc>
        <w:tc>
          <w:tcPr>
            <w:tcW w:type="dxa" w:w="1886"/>
            <w:vAlign w:val="center"/>
          </w:tcPr>
          <w:p>
            <w:pPr>
              <w:spacing w:before="0" w:after="0" w:line="252" w:lineRule="auto"/>
              <w:jc w:val="left"/>
            </w:pPr>
            <w:r>
              <w:rPr>
                <w:rFonts w:ascii="Times New Roman" w:hAnsi="Times New Roman"/>
                <w:b w:val="0"/>
                <w:i w:val="0"/>
                <w:color w:val="000000"/>
                <w:sz w:val="18"/>
              </w:rPr>
              <w:t>Tabla 11 (TF-IDF LOPO 8/8), Tabla 13 (Mora y Utilidad) y Figuras 7 y 9</w:t>
            </w:r>
          </w:p>
        </w:tc>
      </w:tr>
    </w:tbl>
    <w:p>
      <w:pPr>
        <w:spacing w:before="0" w:after="120"/>
      </w:pPr>
    </w:p>
    <w:p>
      <w:pPr>
        <w:spacing w:line="276" w:lineRule="auto" w:before="0" w:after="90"/>
        <w:jc w:val="both"/>
      </w:pPr>
      <w:r>
        <w:rPr>
          <w:rFonts w:ascii="Times New Roman" w:hAnsi="Times New Roman"/>
          <w:b w:val="0"/>
          <w:i w:val="0"/>
          <w:color w:val="000000"/>
          <w:sz w:val="22"/>
        </w:rPr>
        <w:t>Las características de las entidades originales del Data Warehouse transaccional se detallan en la Tabla 1-B:</w:t>
      </w:r>
    </w:p>
    <w:p>
      <w:pPr>
        <w:keepNext/>
        <w:spacing w:before="200" w:after="80"/>
        <w:jc w:val="center"/>
      </w:pPr>
      <w:r>
        <w:rPr>
          <w:rFonts w:ascii="Times New Roman" w:hAnsi="Times New Roman"/>
          <w:b/>
          <w:i w:val="0"/>
          <w:color w:val="000000"/>
          <w:sz w:val="21"/>
        </w:rPr>
        <w:t>Tabla 1</w:t>
      </w:r>
      <w:r>
        <w:rPr>
          <w:rFonts w:ascii="Times New Roman" w:hAnsi="Times New Roman"/>
          <w:sz w:val="21"/>
        </w:rPr>
        <w:t>-B: Inventario de Objetos del Sistema Transaccional Bancario (Financial_ijs).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4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Tabla Origen</w:t>
            </w:r>
          </w:p>
        </w:tc>
        <w:tc>
          <w:tcPr>
            <w:tcW w:type="dxa" w:w="1557"/>
            <w:vAlign w:val="center"/>
            <w:tcBorders>
              <w:bottom w:val="single" w:sz="6" w:space="0" w:color="000000"/>
            </w:tcBorders>
          </w:tcPr>
          <w:p>
            <w:pPr>
              <w:spacing w:before="0" w:after="0" w:line="252" w:lineRule="auto"/>
              <w:jc w:val="center"/>
            </w:pPr>
            <w:r>
              <w:rPr>
                <w:rFonts w:ascii="Times New Roman" w:hAnsi="Times New Roman"/>
                <w:b/>
                <w:i w:val="0"/>
                <w:color w:val="000000"/>
                <w:sz w:val="17"/>
              </w:rPr>
              <w:t>Tipo de Entidad</w:t>
            </w:r>
          </w:p>
        </w:tc>
        <w:tc>
          <w:tcPr>
            <w:tcW w:type="dxa" w:w="2716"/>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de la Información</w:t>
            </w:r>
          </w:p>
        </w:tc>
        <w:tc>
          <w:tcPr>
            <w:tcW w:type="dxa" w:w="10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Registros</w:t>
            </w:r>
          </w:p>
        </w:tc>
        <w:tc>
          <w:tcPr>
            <w:tcW w:type="dxa" w:w="225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Claves Primarias / Foráneas</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client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cliente registrado en la entidad</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client_id,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account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Una cuenta bancaria matriz</w:t>
            </w:r>
          </w:p>
        </w:tc>
        <w:tc>
          <w:tcPr>
            <w:tcW w:type="dxa" w:w="1030"/>
            <w:vAlign w:val="center"/>
          </w:tcPr>
          <w:p>
            <w:pPr>
              <w:spacing w:before="0" w:after="0" w:line="252" w:lineRule="auto"/>
              <w:jc w:val="center"/>
            </w:pPr>
            <w:r>
              <w:rPr>
                <w:rFonts w:ascii="Times New Roman" w:hAnsi="Times New Roman"/>
                <w:b w:val="0"/>
                <w:i w:val="0"/>
                <w:color w:val="000000"/>
                <w:sz w:val="17"/>
              </w:rPr>
              <w:t>4,500</w:t>
            </w:r>
          </w:p>
        </w:tc>
        <w:tc>
          <w:tcPr>
            <w:tcW w:type="dxa" w:w="2253"/>
            <w:vAlign w:val="center"/>
          </w:tcPr>
          <w:p>
            <w:pPr>
              <w:spacing w:before="0" w:after="0" w:line="252" w:lineRule="auto"/>
              <w:jc w:val="left"/>
            </w:pPr>
            <w:r>
              <w:rPr>
                <w:rFonts w:ascii="Times New Roman" w:hAnsi="Times New Roman"/>
                <w:b w:val="0"/>
                <w:i w:val="0"/>
                <w:color w:val="000000"/>
                <w:sz w:val="17"/>
              </w:rPr>
              <w:t>account_id,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disp</w:t>
            </w:r>
          </w:p>
        </w:tc>
        <w:tc>
          <w:tcPr>
            <w:tcW w:type="dxa" w:w="1557"/>
            <w:vAlign w:val="center"/>
          </w:tcPr>
          <w:p>
            <w:pPr>
              <w:spacing w:before="0" w:after="0" w:line="252" w:lineRule="auto"/>
              <w:jc w:val="left"/>
            </w:pPr>
            <w:r>
              <w:rPr>
                <w:rFonts w:ascii="Times New Roman" w:hAnsi="Times New Roman"/>
                <w:b w:val="0"/>
                <w:i w:val="0"/>
                <w:color w:val="000000"/>
                <w:sz w:val="17"/>
              </w:rPr>
              <w:t>Relación / Puente</w:t>
            </w:r>
          </w:p>
        </w:tc>
        <w:tc>
          <w:tcPr>
            <w:tcW w:type="dxa" w:w="2716"/>
            <w:vAlign w:val="center"/>
          </w:tcPr>
          <w:p>
            <w:pPr>
              <w:spacing w:before="0" w:after="0" w:line="252" w:lineRule="auto"/>
              <w:jc w:val="left"/>
            </w:pPr>
            <w:r>
              <w:rPr>
                <w:rFonts w:ascii="Times New Roman" w:hAnsi="Times New Roman"/>
                <w:b w:val="0"/>
                <w:i w:val="0"/>
                <w:color w:val="000000"/>
                <w:sz w:val="17"/>
              </w:rPr>
              <w:t>Vínculo cliente - cuenta bancaria</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disp_id, client_id,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trans</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movimiento o transacción contable</w:t>
            </w:r>
          </w:p>
        </w:tc>
        <w:tc>
          <w:tcPr>
            <w:tcW w:type="dxa" w:w="1030"/>
            <w:vAlign w:val="center"/>
          </w:tcPr>
          <w:p>
            <w:pPr>
              <w:spacing w:before="0" w:after="0" w:line="252" w:lineRule="auto"/>
              <w:jc w:val="center"/>
            </w:pPr>
            <w:r>
              <w:rPr>
                <w:rFonts w:ascii="Times New Roman" w:hAnsi="Times New Roman"/>
                <w:b w:val="0"/>
                <w:i w:val="0"/>
                <w:color w:val="000000"/>
                <w:sz w:val="17"/>
              </w:rPr>
              <w:t>1,056,320</w:t>
            </w:r>
          </w:p>
        </w:tc>
        <w:tc>
          <w:tcPr>
            <w:tcW w:type="dxa" w:w="2253"/>
            <w:vAlign w:val="center"/>
          </w:tcPr>
          <w:p>
            <w:pPr>
              <w:spacing w:before="0" w:after="0" w:line="252" w:lineRule="auto"/>
              <w:jc w:val="left"/>
            </w:pPr>
            <w:r>
              <w:rPr>
                <w:rFonts w:ascii="Times New Roman" w:hAnsi="Times New Roman"/>
                <w:b w:val="0"/>
                <w:i w:val="0"/>
                <w:color w:val="000000"/>
                <w:sz w:val="17"/>
              </w:rPr>
              <w:t>trans_id,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order</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Una orden de débito permanente</w:t>
            </w:r>
          </w:p>
        </w:tc>
        <w:tc>
          <w:tcPr>
            <w:tcW w:type="dxa" w:w="1030"/>
            <w:vAlign w:val="center"/>
          </w:tcPr>
          <w:p>
            <w:pPr>
              <w:spacing w:before="0" w:after="0" w:line="252" w:lineRule="auto"/>
              <w:jc w:val="center"/>
            </w:pPr>
            <w:r>
              <w:rPr>
                <w:rFonts w:ascii="Times New Roman" w:hAnsi="Times New Roman"/>
                <w:b w:val="0"/>
                <w:i w:val="0"/>
                <w:color w:val="000000"/>
                <w:sz w:val="17"/>
              </w:rPr>
              <w:t>6,471</w:t>
            </w:r>
          </w:p>
        </w:tc>
        <w:tc>
          <w:tcPr>
            <w:tcW w:type="dxa" w:w="2253"/>
            <w:vAlign w:val="center"/>
          </w:tcPr>
          <w:p>
            <w:pPr>
              <w:spacing w:before="0" w:after="0" w:line="252" w:lineRule="auto"/>
              <w:jc w:val="left"/>
            </w:pPr>
            <w:r>
              <w:rPr>
                <w:rFonts w:ascii="Times New Roman" w:hAnsi="Times New Roman"/>
                <w:b w:val="0"/>
                <w:i w:val="0"/>
                <w:color w:val="000000"/>
                <w:sz w:val="17"/>
              </w:rPr>
              <w:t>order_id,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loan</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contrato formal de crédito</w:t>
            </w:r>
          </w:p>
        </w:tc>
        <w:tc>
          <w:tcPr>
            <w:tcW w:type="dxa" w:w="1030"/>
            <w:vAlign w:val="center"/>
          </w:tcPr>
          <w:p>
            <w:pPr>
              <w:spacing w:before="0" w:after="0" w:line="252" w:lineRule="auto"/>
              <w:jc w:val="center"/>
            </w:pPr>
            <w:r>
              <w:rPr>
                <w:rFonts w:ascii="Times New Roman" w:hAnsi="Times New Roman"/>
                <w:b w:val="0"/>
                <w:i w:val="0"/>
                <w:color w:val="000000"/>
                <w:sz w:val="17"/>
              </w:rPr>
              <w:t>682</w:t>
            </w:r>
          </w:p>
        </w:tc>
        <w:tc>
          <w:tcPr>
            <w:tcW w:type="dxa" w:w="2253"/>
            <w:vAlign w:val="center"/>
          </w:tcPr>
          <w:p>
            <w:pPr>
              <w:spacing w:before="0" w:after="0" w:line="252" w:lineRule="auto"/>
              <w:jc w:val="left"/>
            </w:pPr>
            <w:r>
              <w:rPr>
                <w:rFonts w:ascii="Times New Roman" w:hAnsi="Times New Roman"/>
                <w:b w:val="0"/>
                <w:i w:val="0"/>
                <w:color w:val="000000"/>
                <w:sz w:val="17"/>
              </w:rPr>
              <w:t>loan_id,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district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distrito demográfico y socioeconómico</w:t>
            </w:r>
          </w:p>
        </w:tc>
        <w:tc>
          <w:tcPr>
            <w:tcW w:type="dxa" w:w="1030"/>
            <w:vAlign w:val="center"/>
          </w:tcPr>
          <w:p>
            <w:pPr>
              <w:spacing w:before="0" w:after="0" w:line="252" w:lineRule="auto"/>
              <w:jc w:val="center"/>
            </w:pPr>
            <w:r>
              <w:rPr>
                <w:rFonts w:ascii="Times New Roman" w:hAnsi="Times New Roman"/>
                <w:b w:val="0"/>
                <w:i w:val="0"/>
                <w:color w:val="000000"/>
                <w:sz w:val="17"/>
              </w:rPr>
              <w:t>77</w:t>
            </w:r>
          </w:p>
        </w:tc>
        <w:tc>
          <w:tcPr>
            <w:tcW w:type="dxa" w:w="2253"/>
            <w:vAlign w:val="center"/>
          </w:tcPr>
          <w:p>
            <w:pPr>
              <w:spacing w:before="0" w:after="0" w:line="252" w:lineRule="auto"/>
              <w:jc w:val="left"/>
            </w:pPr>
            <w:r>
              <w:rPr>
                <w:rFonts w:ascii="Times New Roman" w:hAnsi="Times New Roman"/>
                <w:b w:val="0"/>
                <w:i w:val="0"/>
                <w:color w:val="000000"/>
                <w:sz w:val="17"/>
              </w:rPr>
              <w:t>district_id</w:t>
            </w:r>
          </w:p>
        </w:tc>
      </w:tr>
    </w:tbl>
    <w:p>
      <w:pPr>
        <w:spacing w:before="0" w:after="120"/>
      </w:pPr>
    </w:p>
    <w:p>
      <w:pPr>
        <w:spacing w:line="276" w:lineRule="auto" w:before="0" w:after="90"/>
        <w:jc w:val="both"/>
      </w:pPr>
      <w:r>
        <w:rPr>
          <w:rFonts w:ascii="Times New Roman" w:hAnsi="Times New Roman"/>
          <w:b w:val="0"/>
          <w:i w:val="0"/>
          <w:color w:val="000000"/>
          <w:sz w:val="22"/>
        </w:rPr>
        <w:t>A partir de estas tablas de hechos y dimensiones conformadas, el script ETL de extracción (00_generar_4_dataframes.py) produjo los cuatro DataFrames analíticos limpios y consolidados que constituyen la base de todos los experimentos. La Tabla 1-C sintetiza sus características dimensionales:</w:t>
      </w:r>
    </w:p>
    <w:p>
      <w:pPr>
        <w:keepNext/>
        <w:spacing w:before="200" w:after="80"/>
        <w:jc w:val="center"/>
      </w:pPr>
      <w:r>
        <w:rPr>
          <w:rFonts w:ascii="Times New Roman" w:hAnsi="Times New Roman"/>
          <w:b/>
          <w:i w:val="0"/>
          <w:color w:val="000000"/>
          <w:sz w:val="21"/>
        </w:rPr>
        <w:t>Tabla 1</w:t>
      </w:r>
      <w:r>
        <w:rPr>
          <w:rFonts w:ascii="Times New Roman" w:hAnsi="Times New Roman"/>
          <w:sz w:val="21"/>
        </w:rPr>
        <w:t>-C: Resumen de Dimensiones y Características de los Cuatro DataFrames Analíticos Limpios.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432"/>
            <w:vAlign w:val="center"/>
            <w:tcBorders>
              <w:bottom w:val="single" w:sz="6" w:space="0" w:color="000000"/>
            </w:tcBorders>
          </w:tcPr>
          <w:p>
            <w:pPr>
              <w:spacing w:before="0" w:after="0" w:line="252" w:lineRule="auto"/>
              <w:jc w:val="center"/>
            </w:pPr>
            <w:r>
              <w:rPr>
                <w:rFonts w:ascii="Times New Roman" w:hAnsi="Times New Roman"/>
                <w:b/>
                <w:i w:val="0"/>
                <w:color w:val="000000"/>
                <w:sz w:val="17"/>
              </w:rPr>
              <w:t>DataFrame Generado</w:t>
            </w:r>
          </w:p>
        </w:tc>
        <w:tc>
          <w:tcPr>
            <w:tcW w:type="dxa" w:w="1900"/>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Operacional</w:t>
            </w:r>
          </w:p>
        </w:tc>
        <w:tc>
          <w:tcPr>
            <w:tcW w:type="dxa" w:w="8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Registros</w:t>
            </w:r>
          </w:p>
        </w:tc>
        <w:tc>
          <w:tcPr>
            <w:tcW w:type="dxa" w:w="18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Entidades Únicas</w:t>
            </w:r>
          </w:p>
        </w:tc>
        <w:tc>
          <w:tcPr>
            <w:tcW w:type="dxa" w:w="2838"/>
            <w:vAlign w:val="center"/>
            <w:tcBorders>
              <w:bottom w:val="single" w:sz="6" w:space="0" w:color="000000"/>
            </w:tcBorders>
          </w:tcPr>
          <w:p>
            <w:pPr>
              <w:spacing w:before="0" w:after="0" w:line="252" w:lineRule="auto"/>
              <w:jc w:val="center"/>
            </w:pPr>
            <w:r>
              <w:rPr>
                <w:rFonts w:ascii="Times New Roman" w:hAnsi="Times New Roman"/>
                <w:b/>
                <w:i w:val="0"/>
                <w:color w:val="000000"/>
                <w:sz w:val="17"/>
              </w:rPr>
              <w:t>Variables Clave Extraídas</w:t>
            </w:r>
          </w:p>
        </w:tc>
      </w:tr>
      <w:tr>
        <w:trPr>
          <w:cantSplit/>
        </w:trPr>
        <w:tc>
          <w:tcPr>
            <w:tcW w:type="dxa" w:w="1432"/>
            <w:vAlign w:val="center"/>
          </w:tcPr>
          <w:p>
            <w:pPr>
              <w:spacing w:before="0" w:after="0" w:line="252" w:lineRule="auto"/>
              <w:jc w:val="left"/>
            </w:pPr>
            <w:r>
              <w:rPr>
                <w:rFonts w:ascii="Times New Roman" w:hAnsi="Times New Roman"/>
                <w:b w:val="0"/>
                <w:i w:val="0"/>
                <w:color w:val="000000"/>
                <w:sz w:val="17"/>
              </w:rPr>
              <w:t>df_transacciones</w:t>
            </w:r>
          </w:p>
        </w:tc>
        <w:tc>
          <w:tcPr>
            <w:tcW w:type="dxa" w:w="1900"/>
            <w:vAlign w:val="center"/>
          </w:tcPr>
          <w:p>
            <w:pPr>
              <w:spacing w:before="0" w:after="0" w:line="252" w:lineRule="auto"/>
              <w:jc w:val="left"/>
            </w:pPr>
            <w:r>
              <w:rPr>
                <w:rFonts w:ascii="Times New Roman" w:hAnsi="Times New Roman"/>
                <w:b w:val="0"/>
                <w:i w:val="0"/>
                <w:color w:val="000000"/>
                <w:sz w:val="17"/>
              </w:rPr>
              <w:t>Mensual por Servicio Transaccional</w:t>
            </w:r>
          </w:p>
        </w:tc>
        <w:tc>
          <w:tcPr>
            <w:tcW w:type="dxa" w:w="801"/>
            <w:vAlign w:val="center"/>
          </w:tcPr>
          <w:p>
            <w:pPr>
              <w:spacing w:before="0" w:after="0" w:line="252" w:lineRule="auto"/>
              <w:jc w:val="center"/>
            </w:pPr>
            <w:r>
              <w:rPr>
                <w:rFonts w:ascii="Times New Roman" w:hAnsi="Times New Roman"/>
                <w:b w:val="0"/>
                <w:i w:val="0"/>
                <w:color w:val="000000"/>
                <w:sz w:val="17"/>
              </w:rPr>
              <w:t>1,056,320</w:t>
            </w:r>
          </w:p>
        </w:tc>
        <w:tc>
          <w:tcPr>
            <w:tcW w:type="dxa" w:w="1827"/>
            <w:vAlign w:val="center"/>
          </w:tcPr>
          <w:p>
            <w:pPr>
              <w:spacing w:before="0" w:after="0" w:line="252" w:lineRule="auto"/>
              <w:jc w:val="left"/>
            </w:pPr>
            <w:r>
              <w:rPr>
                <w:rFonts w:ascii="Times New Roman" w:hAnsi="Times New Roman"/>
                <w:b w:val="0"/>
                <w:i w:val="0"/>
                <w:color w:val="000000"/>
                <w:sz w:val="17"/>
              </w:rPr>
              <w:t>4,500 cuentas / 3,653 activas</w:t>
            </w:r>
          </w:p>
        </w:tc>
        <w:tc>
          <w:tcPr>
            <w:tcW w:type="dxa" w:w="2838"/>
            <w:vAlign w:val="center"/>
          </w:tcPr>
          <w:p>
            <w:pPr>
              <w:spacing w:before="0" w:after="0" w:line="252" w:lineRule="auto"/>
              <w:jc w:val="left"/>
            </w:pPr>
            <w:r>
              <w:rPr>
                <w:rFonts w:ascii="Times New Roman" w:hAnsi="Times New Roman"/>
                <w:b w:val="0"/>
                <w:i w:val="0"/>
                <w:color w:val="000000"/>
                <w:sz w:val="17"/>
              </w:rPr>
              <w:t>account_id, k_symbol, anio_mes, monto, balance, freq</w:t>
            </w:r>
          </w:p>
        </w:tc>
      </w:tr>
      <w:tr>
        <w:trPr>
          <w:cantSplit/>
        </w:trPr>
        <w:tc>
          <w:tcPr>
            <w:tcW w:type="dxa" w:w="1432"/>
            <w:vAlign w:val="center"/>
          </w:tcPr>
          <w:p>
            <w:pPr>
              <w:spacing w:before="0" w:after="0" w:line="252" w:lineRule="auto"/>
              <w:jc w:val="left"/>
            </w:pPr>
            <w:r>
              <w:rPr>
                <w:rFonts w:ascii="Times New Roman" w:hAnsi="Times New Roman"/>
                <w:b w:val="0"/>
                <w:i w:val="0"/>
                <w:color w:val="000000"/>
                <w:sz w:val="17"/>
              </w:rPr>
              <w:t>df_ordenes</w:t>
            </w:r>
          </w:p>
        </w:tc>
        <w:tc>
          <w:tcPr>
            <w:tcW w:type="dxa" w:w="1900"/>
            <w:vAlign w:val="center"/>
          </w:tcPr>
          <w:p>
            <w:pPr>
              <w:spacing w:before="0" w:after="0" w:line="252" w:lineRule="auto"/>
              <w:jc w:val="left"/>
            </w:pPr>
            <w:r>
              <w:rPr>
                <w:rFonts w:ascii="Times New Roman" w:hAnsi="Times New Roman"/>
                <w:b w:val="0"/>
                <w:i w:val="0"/>
                <w:color w:val="000000"/>
                <w:sz w:val="17"/>
              </w:rPr>
              <w:t>Contrato de Débito Domiciliado</w:t>
            </w:r>
          </w:p>
        </w:tc>
        <w:tc>
          <w:tcPr>
            <w:tcW w:type="dxa" w:w="801"/>
            <w:vAlign w:val="center"/>
          </w:tcPr>
          <w:p>
            <w:pPr>
              <w:spacing w:before="0" w:after="0" w:line="252" w:lineRule="auto"/>
              <w:jc w:val="center"/>
            </w:pPr>
            <w:r>
              <w:rPr>
                <w:rFonts w:ascii="Times New Roman" w:hAnsi="Times New Roman"/>
                <w:b w:val="0"/>
                <w:i w:val="0"/>
                <w:color w:val="000000"/>
                <w:sz w:val="17"/>
              </w:rPr>
              <w:t>6,471</w:t>
            </w:r>
          </w:p>
        </w:tc>
        <w:tc>
          <w:tcPr>
            <w:tcW w:type="dxa" w:w="1827"/>
            <w:vAlign w:val="center"/>
          </w:tcPr>
          <w:p>
            <w:pPr>
              <w:spacing w:before="0" w:after="0" w:line="252" w:lineRule="auto"/>
              <w:jc w:val="left"/>
            </w:pPr>
            <w:r>
              <w:rPr>
                <w:rFonts w:ascii="Times New Roman" w:hAnsi="Times New Roman"/>
                <w:b w:val="0"/>
                <w:i w:val="0"/>
                <w:color w:val="000000"/>
                <w:sz w:val="17"/>
              </w:rPr>
              <w:t>3,758 cuentas bancarias</w:t>
            </w:r>
          </w:p>
        </w:tc>
        <w:tc>
          <w:tcPr>
            <w:tcW w:type="dxa" w:w="2838"/>
            <w:vAlign w:val="center"/>
          </w:tcPr>
          <w:p>
            <w:pPr>
              <w:spacing w:before="0" w:after="0" w:line="252" w:lineRule="auto"/>
              <w:jc w:val="left"/>
            </w:pPr>
            <w:r>
              <w:rPr>
                <w:rFonts w:ascii="Times New Roman" w:hAnsi="Times New Roman"/>
                <w:b w:val="0"/>
                <w:i w:val="0"/>
                <w:color w:val="000000"/>
                <w:sz w:val="17"/>
              </w:rPr>
              <w:t>account_id, k_symbol, amount, bank_to, account_to</w:t>
            </w:r>
          </w:p>
        </w:tc>
      </w:tr>
      <w:tr>
        <w:trPr>
          <w:cantSplit/>
        </w:trPr>
        <w:tc>
          <w:tcPr>
            <w:tcW w:type="dxa" w:w="1432"/>
            <w:vAlign w:val="center"/>
          </w:tcPr>
          <w:p>
            <w:pPr>
              <w:spacing w:before="0" w:after="0" w:line="252" w:lineRule="auto"/>
              <w:jc w:val="left"/>
            </w:pPr>
            <w:r>
              <w:rPr>
                <w:rFonts w:ascii="Times New Roman" w:hAnsi="Times New Roman"/>
                <w:b w:val="0"/>
                <w:i w:val="0"/>
                <w:color w:val="000000"/>
                <w:sz w:val="17"/>
              </w:rPr>
              <w:t>df_prestamos</w:t>
            </w:r>
          </w:p>
        </w:tc>
        <w:tc>
          <w:tcPr>
            <w:tcW w:type="dxa" w:w="1900"/>
            <w:vAlign w:val="center"/>
          </w:tcPr>
          <w:p>
            <w:pPr>
              <w:spacing w:before="0" w:after="0" w:line="252" w:lineRule="auto"/>
              <w:jc w:val="left"/>
            </w:pPr>
            <w:r>
              <w:rPr>
                <w:rFonts w:ascii="Times New Roman" w:hAnsi="Times New Roman"/>
                <w:b w:val="0"/>
                <w:i w:val="0"/>
                <w:color w:val="000000"/>
                <w:sz w:val="17"/>
              </w:rPr>
              <w:t>Operación Formal de Crédito</w:t>
            </w:r>
          </w:p>
        </w:tc>
        <w:tc>
          <w:tcPr>
            <w:tcW w:type="dxa" w:w="801"/>
            <w:vAlign w:val="center"/>
          </w:tcPr>
          <w:p>
            <w:pPr>
              <w:spacing w:before="0" w:after="0" w:line="252" w:lineRule="auto"/>
              <w:jc w:val="center"/>
            </w:pPr>
            <w:r>
              <w:rPr>
                <w:rFonts w:ascii="Times New Roman" w:hAnsi="Times New Roman"/>
                <w:b w:val="0"/>
                <w:i w:val="0"/>
                <w:color w:val="000000"/>
                <w:sz w:val="17"/>
              </w:rPr>
              <w:t>682</w:t>
            </w:r>
          </w:p>
        </w:tc>
        <w:tc>
          <w:tcPr>
            <w:tcW w:type="dxa" w:w="1827"/>
            <w:vAlign w:val="center"/>
          </w:tcPr>
          <w:p>
            <w:pPr>
              <w:spacing w:before="0" w:after="0" w:line="252" w:lineRule="auto"/>
              <w:jc w:val="left"/>
            </w:pPr>
            <w:r>
              <w:rPr>
                <w:rFonts w:ascii="Times New Roman" w:hAnsi="Times New Roman"/>
                <w:b w:val="0"/>
                <w:i w:val="0"/>
                <w:color w:val="000000"/>
                <w:sz w:val="17"/>
              </w:rPr>
              <w:t>682 cuentas con préstamo único</w:t>
            </w:r>
          </w:p>
        </w:tc>
        <w:tc>
          <w:tcPr>
            <w:tcW w:type="dxa" w:w="2838"/>
            <w:vAlign w:val="center"/>
          </w:tcPr>
          <w:p>
            <w:pPr>
              <w:spacing w:before="0" w:after="0" w:line="252" w:lineRule="auto"/>
              <w:jc w:val="left"/>
            </w:pPr>
            <w:r>
              <w:rPr>
                <w:rFonts w:ascii="Times New Roman" w:hAnsi="Times New Roman"/>
                <w:b w:val="0"/>
                <w:i w:val="0"/>
                <w:color w:val="000000"/>
                <w:sz w:val="17"/>
              </w:rPr>
              <w:t>loan_id, account_id, amount, duration, payments, status</w:t>
            </w:r>
          </w:p>
        </w:tc>
      </w:tr>
      <w:tr>
        <w:trPr>
          <w:cantSplit/>
        </w:trPr>
        <w:tc>
          <w:tcPr>
            <w:tcW w:type="dxa" w:w="1432"/>
            <w:vAlign w:val="center"/>
          </w:tcPr>
          <w:p>
            <w:pPr>
              <w:spacing w:before="0" w:after="0" w:line="252" w:lineRule="auto"/>
              <w:jc w:val="left"/>
            </w:pPr>
            <w:r>
              <w:rPr>
                <w:rFonts w:ascii="Times New Roman" w:hAnsi="Times New Roman"/>
                <w:b w:val="0"/>
                <w:i w:val="0"/>
                <w:color w:val="000000"/>
                <w:sz w:val="17"/>
              </w:rPr>
              <w:t>df_cliente_consolidado</w:t>
            </w:r>
          </w:p>
        </w:tc>
        <w:tc>
          <w:tcPr>
            <w:tcW w:type="dxa" w:w="1900"/>
            <w:vAlign w:val="center"/>
          </w:tcPr>
          <w:p>
            <w:pPr>
              <w:spacing w:before="0" w:after="0" w:line="252" w:lineRule="auto"/>
              <w:jc w:val="left"/>
            </w:pPr>
            <w:r>
              <w:rPr>
                <w:rFonts w:ascii="Times New Roman" w:hAnsi="Times New Roman"/>
                <w:b w:val="0"/>
                <w:i w:val="0"/>
                <w:color w:val="000000"/>
                <w:sz w:val="17"/>
              </w:rPr>
              <w:t>Perfil Dimensional 360°</w:t>
            </w:r>
          </w:p>
        </w:tc>
        <w:tc>
          <w:tcPr>
            <w:tcW w:type="dxa" w:w="801"/>
            <w:vAlign w:val="center"/>
          </w:tcPr>
          <w:p>
            <w:pPr>
              <w:spacing w:before="0" w:after="0" w:line="252" w:lineRule="auto"/>
              <w:jc w:val="center"/>
            </w:pPr>
            <w:r>
              <w:rPr>
                <w:rFonts w:ascii="Times New Roman" w:hAnsi="Times New Roman"/>
                <w:b w:val="0"/>
                <w:i w:val="0"/>
                <w:color w:val="000000"/>
                <w:sz w:val="17"/>
              </w:rPr>
              <w:t>5,369</w:t>
            </w:r>
          </w:p>
        </w:tc>
        <w:tc>
          <w:tcPr>
            <w:tcW w:type="dxa" w:w="1827"/>
            <w:vAlign w:val="center"/>
          </w:tcPr>
          <w:p>
            <w:pPr>
              <w:spacing w:before="0" w:after="0" w:line="252" w:lineRule="auto"/>
              <w:jc w:val="left"/>
            </w:pPr>
            <w:r>
              <w:rPr>
                <w:rFonts w:ascii="Times New Roman" w:hAnsi="Times New Roman"/>
                <w:b w:val="0"/>
                <w:i w:val="0"/>
                <w:color w:val="000000"/>
                <w:sz w:val="17"/>
              </w:rPr>
              <w:t>5,369 clientes (4,500 titulares)</w:t>
            </w:r>
          </w:p>
        </w:tc>
        <w:tc>
          <w:tcPr>
            <w:tcW w:type="dxa" w:w="2838"/>
            <w:vAlign w:val="center"/>
          </w:tcPr>
          <w:p>
            <w:pPr>
              <w:spacing w:before="0" w:after="0" w:line="252" w:lineRule="auto"/>
              <w:jc w:val="left"/>
            </w:pPr>
            <w:r>
              <w:rPr>
                <w:rFonts w:ascii="Times New Roman" w:hAnsi="Times New Roman"/>
                <w:b w:val="0"/>
                <w:i w:val="0"/>
                <w:color w:val="000000"/>
                <w:sz w:val="17"/>
              </w:rPr>
              <w:t>client_id, age, gender, district, salary, balance_avg, tx_count</w:t>
            </w:r>
          </w:p>
        </w:tc>
      </w:tr>
    </w:tbl>
    <w:p>
      <w:pPr>
        <w:spacing w:before="0" w:after="120"/>
      </w:pPr>
    </w:p>
    <w:p>
      <w:pPr>
        <w:keepNext/>
        <w:spacing w:before="140" w:after="40"/>
        <w:jc w:val="left"/>
      </w:pPr>
      <w:r>
        <w:rPr>
          <w:rFonts w:ascii="Times New Roman" w:hAnsi="Times New Roman"/>
          <w:b/>
          <w:i w:val="0"/>
          <w:color w:val="000000"/>
          <w:sz w:val="22"/>
        </w:rPr>
        <w:t>2.7.2 Organizar la información</w:t>
      </w:r>
    </w:p>
    <w:p>
      <w:pPr>
        <w:spacing w:line="276" w:lineRule="auto" w:before="0" w:after="90"/>
        <w:jc w:val="both"/>
      </w:pPr>
      <w:r>
        <w:rPr>
          <w:rFonts w:ascii="Times New Roman" w:hAnsi="Times New Roman"/>
          <w:b w:val="0"/>
          <w:i w:val="0"/>
          <w:color w:val="000000"/>
          <w:sz w:val="22"/>
        </w:rPr>
        <w:t>Elevación del grano operacional: Una tabla transaccional pura registra eventos atómicos ('retiro de 400 CZK en cajero automático a las 10:15'). Sugerir un retiro individual carece de valor comercial; el cliente contrata el servicio de Tarjeta de Débito o domicilia Pagos del Hogar. Por tanto, para alimentar los modelos de recomendación comercial, la información se reorganizó agregando los eventos microscópicos en función de entidades de decisión de negocio: el Cliente Titular (client_id con rol 'OWNER') y la Cuenta Bancaria (account_id). Esta agregación elevó el grano de análisis desde movimientos puntuales hacia vectores consolidados de tenencia y frecuencia de servicios financieros.</w:t>
      </w:r>
    </w:p>
    <w:p>
      <w:pPr>
        <w:spacing w:line="276" w:lineRule="auto" w:before="0" w:after="90"/>
        <w:jc w:val="both"/>
      </w:pPr>
      <w:r>
        <w:rPr>
          <w:rFonts w:ascii="Times New Roman" w:hAnsi="Times New Roman"/>
          <w:b w:val="0"/>
          <w:i w:val="0"/>
          <w:color w:val="000000"/>
          <w:sz w:val="22"/>
        </w:rPr>
        <w:t>Auditoría de claves foráneas y tabla puente disp: La relación entre clientes y cuentas no es 1:1, sino que involucra clientes autorizados ('DISPONENT'). Para evitar duplicar artificialmente el consumo de un mismo hogar, se aislaron formalmente los 4,500 clientes titulares independientes (OWNER), auditando la integridad referencial de todas las claves primarias y foráneas (account_id, client_id, district_id).</w:t>
      </w:r>
    </w:p>
    <w:p>
      <w:pPr>
        <w:spacing w:line="276" w:lineRule="auto" w:before="0" w:after="90"/>
        <w:jc w:val="both"/>
      </w:pPr>
      <w:r>
        <w:rPr>
          <w:rFonts w:ascii="Times New Roman" w:hAnsi="Times New Roman"/>
          <w:b w:val="0"/>
          <w:i w:val="0"/>
          <w:color w:val="000000"/>
          <w:sz w:val="22"/>
        </w:rPr>
        <w:t>Estructuración de la matriz Usuario-Ítem y dispersión analítica: Sea U = {u_1, u_2, ..., u_M} el conjunto universal de clientes y sea I = {i_1, i_2, ..., i_N} el catálogo de servicios. El historial de interacciones se organizó matricialmente mediante R en R^(M x N), donde cada escalar r_{u, i} cuantifica la intensidad de preferencia observada. En el entorno bancario, la dispersión analítica se cuantifica como:</w:t>
      </w:r>
    </w:p>
    <w:p>
      <w:pPr>
        <w:keepNext/>
        <w:spacing w:before="80" w:after="80"/>
        <w:jc w:val="center"/>
      </w:pPr>
      <m:oMathPara>
        <m:oMath>
          <m:r>
            <m:t>S=1−</m:t>
          </m:r>
          <m:f>
            <m:fPr>
              <m:type m:val="bar"/>
            </m:fPr>
            <m:num>
              <m:d>
                <m:dPr>
                  <m:begChr m:val="|"/>
                  <m:sepChr m:val=""/>
                  <m:endChr m:val="|"/>
                </m:dPr>
                <m:e>
                  <m:sSub>
                    <m:e>
                      <m:r>
                        <m:t>R</m:t>
                      </m:r>
                    </m:e>
                    <m:sub>
                      <m:r>
                        <m:rPr>
                          <m:nor/>
                        </m:rPr>
                        <m:t>observados</m:t>
                      </m:r>
                    </m:sub>
                  </m:sSub>
                </m:e>
              </m:d>
            </m:num>
            <m:den>
              <m:d>
                <m:dPr>
                  <m:begChr m:val="|"/>
                  <m:sepChr m:val=""/>
                  <m:endChr m:val="|"/>
                </m:dPr>
                <m:e>
                  <m:r>
                    <m:t>U</m:t>
                  </m:r>
                  <m:r>
                    <m:t>|</m:t>
                  </m:r>
                  <m:r>
                    <m:t>×</m:t>
                  </m:r>
                  <m:r>
                    <m:t>|</m:t>
                  </m:r>
                  <m:r>
                    <m:t>I</m:t>
                  </m:r>
                </m:e>
              </m:d>
            </m:den>
          </m:f>
        </m:oMath>
      </m:oMathPara>
    </w:p>
    <w:p>
      <w:pPr>
        <w:spacing w:line="276" w:lineRule="auto" w:before="0" w:after="90"/>
        <w:jc w:val="both"/>
      </w:pPr>
      <w:r>
        <w:rPr>
          <w:rFonts w:ascii="Times New Roman" w:hAnsi="Times New Roman"/>
          <w:b w:val="0"/>
          <w:i w:val="0"/>
          <w:color w:val="000000"/>
          <w:sz w:val="22"/>
        </w:rPr>
        <w:t>donde |R_observados| es el recuento de contratos o movimientos existentes. En Financial_ijs, este índice de dispersión S supera el 68% en transacciones y el 83% en órdenes, imponiendo restricciones severas a los algoritmos que requieren solapamiento denso.</w:t>
      </w:r>
    </w:p>
    <w:p>
      <w:pPr>
        <w:spacing w:line="276" w:lineRule="auto" w:before="0" w:after="90"/>
        <w:jc w:val="both"/>
      </w:pPr>
      <w:r>
        <w:rPr>
          <w:rFonts w:ascii="Times New Roman" w:hAnsi="Times New Roman"/>
          <w:b w:val="0"/>
          <w:i w:val="0"/>
          <w:color w:val="000000"/>
          <w:sz w:val="22"/>
        </w:rPr>
        <w:t>Diccionario de variables analíticas organizadas: Las variables operacionales y transformadas se resumen en el diccionario analítico de la Tabla 3:</w:t>
      </w:r>
    </w:p>
    <w:p>
      <w:pPr>
        <w:keepNext/>
        <w:spacing w:before="200" w:after="80"/>
        <w:jc w:val="center"/>
      </w:pPr>
      <w:r>
        <w:rPr>
          <w:rFonts w:ascii="Times New Roman" w:hAnsi="Times New Roman"/>
          <w:b/>
          <w:i w:val="0"/>
          <w:color w:val="000000"/>
          <w:sz w:val="21"/>
        </w:rPr>
        <w:t>Tabla 3:</w:t>
      </w:r>
      <w:r>
        <w:rPr>
          <w:rFonts w:ascii="Times New Roman" w:hAnsi="Times New Roman"/>
          <w:sz w:val="21"/>
        </w:rPr>
        <w:t xml:space="preserve"> Diccionario de Variables Analíticas Utilizadas en los Motores de Recomendación.</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Variable Analítica</w:t>
            </w:r>
          </w:p>
        </w:tc>
        <w:tc>
          <w:tcPr>
            <w:tcW w:type="dxa" w:w="11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Fuente Base</w:t>
            </w:r>
          </w:p>
        </w:tc>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 Entidad</w:t>
            </w:r>
          </w:p>
        </w:tc>
        <w:tc>
          <w:tcPr>
            <w:tcW w:type="dxa" w:w="2239"/>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Definición de Negocio</w:t>
            </w:r>
          </w:p>
        </w:tc>
        <w:tc>
          <w:tcPr>
            <w:tcW w:type="dxa" w:w="28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Método de Cálculo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freq_prod</w:t>
            </w:r>
          </w:p>
        </w:tc>
        <w:tc>
          <w:tcPr>
            <w:tcW w:type="dxa" w:w="1177"/>
            <w:vAlign w:val="center"/>
          </w:tcPr>
          <w:p>
            <w:pPr>
              <w:spacing w:before="0" w:after="0" w:line="252" w:lineRule="auto"/>
              <w:jc w:val="left"/>
            </w:pPr>
            <w:r>
              <w:rPr>
                <w:rFonts w:ascii="Times New Roman" w:hAnsi="Times New Roman"/>
                <w:b w:val="0"/>
                <w:i w:val="0"/>
                <w:color w:val="000000"/>
                <w:sz w:val="17"/>
              </w:rPr>
              <w:t>df_transacciones</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Frecuencia de uso del servicio financiero</w:t>
            </w:r>
          </w:p>
        </w:tc>
        <w:tc>
          <w:tcPr>
            <w:tcW w:type="dxa" w:w="2840"/>
            <w:vAlign w:val="center"/>
          </w:tcPr>
          <w:p>
            <w:pPr>
              <w:spacing w:before="0" w:after="0" w:line="252" w:lineRule="auto"/>
              <w:jc w:val="left"/>
            </w:pPr>
            <w:r>
              <w:rPr>
                <w:rFonts w:ascii="Times New Roman" w:hAnsi="Times New Roman"/>
                <w:b w:val="0"/>
                <w:i w:val="0"/>
                <w:color w:val="000000"/>
                <w:sz w:val="17"/>
              </w:rPr>
              <w:t>Recuento de transacciones con concepto específico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rating_log</w:t>
            </w:r>
          </w:p>
        </w:tc>
        <w:tc>
          <w:tcPr>
            <w:tcW w:type="dxa" w:w="1177"/>
            <w:vAlign w:val="center"/>
          </w:tcPr>
          <w:p>
            <w:pPr>
              <w:spacing w:before="0" w:after="0" w:line="252" w:lineRule="auto"/>
              <w:jc w:val="left"/>
            </w:pPr>
            <w:r>
              <w:rPr>
                <w:rFonts w:ascii="Times New Roman" w:hAnsi="Times New Roman"/>
                <w:b w:val="0"/>
                <w:i w:val="0"/>
                <w:color w:val="000000"/>
                <w:sz w:val="17"/>
              </w:rPr>
              <w:t>Calculada</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Nota normalizada de afinidad implícita</w:t>
            </w:r>
          </w:p>
        </w:tc>
        <w:tc>
          <w:tcPr>
            <w:tcW w:type="dxa" w:w="2840"/>
            <w:vAlign w:val="center"/>
          </w:tcPr>
          <w:p>
            <w:pPr>
              <w:spacing w:before="0" w:after="0" w:line="252" w:lineRule="auto"/>
              <w:jc w:val="left"/>
            </w:pPr>
            <w:r>
              <w:rPr>
                <w:rFonts w:ascii="Times New Roman" w:hAnsi="Times New Roman"/>
                <w:b w:val="0"/>
                <w:i w:val="0"/>
                <w:color w:val="000000"/>
                <w:sz w:val="17"/>
              </w:rPr>
              <w:t>1.0 + 4.0 × (ln(1 + freq) - min) / (max - min)</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orden_binaria</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Cuenta × Categoría</w:t>
            </w:r>
          </w:p>
        </w:tc>
        <w:tc>
          <w:tcPr>
            <w:tcW w:type="dxa" w:w="2239"/>
            <w:vAlign w:val="center"/>
          </w:tcPr>
          <w:p>
            <w:pPr>
              <w:spacing w:before="0" w:after="0" w:line="252" w:lineRule="auto"/>
              <w:jc w:val="left"/>
            </w:pPr>
            <w:r>
              <w:rPr>
                <w:rFonts w:ascii="Times New Roman" w:hAnsi="Times New Roman"/>
                <w:b w:val="0"/>
                <w:i w:val="0"/>
                <w:color w:val="000000"/>
                <w:sz w:val="17"/>
              </w:rPr>
              <w:t>Contratación formal de débito automático</w:t>
            </w:r>
          </w:p>
        </w:tc>
        <w:tc>
          <w:tcPr>
            <w:tcW w:type="dxa" w:w="2840"/>
            <w:vAlign w:val="center"/>
          </w:tcPr>
          <w:p>
            <w:pPr>
              <w:spacing w:before="0" w:after="0" w:line="252" w:lineRule="auto"/>
              <w:jc w:val="left"/>
            </w:pPr>
            <w:r>
              <w:rPr>
                <w:rFonts w:ascii="Times New Roman" w:hAnsi="Times New Roman"/>
                <w:b w:val="0"/>
                <w:i w:val="0"/>
                <w:color w:val="000000"/>
                <w:sz w:val="17"/>
              </w:rPr>
              <w:t>Indicador booleano: 1 si cuenta domicilia el servicio, 0 si no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itf_score</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Categoría Producto</w:t>
            </w:r>
          </w:p>
        </w:tc>
        <w:tc>
          <w:tcPr>
            <w:tcW w:type="dxa" w:w="2239"/>
            <w:vAlign w:val="center"/>
          </w:tcPr>
          <w:p>
            <w:pPr>
              <w:spacing w:before="0" w:after="0" w:line="252" w:lineRule="auto"/>
              <w:jc w:val="left"/>
            </w:pPr>
            <w:r>
              <w:rPr>
                <w:rFonts w:ascii="Times New Roman" w:hAnsi="Times New Roman"/>
                <w:b w:val="0"/>
                <w:i w:val="0"/>
                <w:color w:val="000000"/>
                <w:sz w:val="17"/>
              </w:rPr>
              <w:t>Penalización de popularidad masiva</w:t>
            </w:r>
          </w:p>
        </w:tc>
        <w:tc>
          <w:tcPr>
            <w:tcW w:type="dxa" w:w="2840"/>
            <w:vAlign w:val="center"/>
          </w:tcPr>
          <w:p>
            <w:pPr>
              <w:spacing w:before="0" w:after="0" w:line="252" w:lineRule="auto"/>
              <w:jc w:val="left"/>
            </w:pPr>
            <w:r>
              <w:rPr>
                <w:rFonts w:ascii="Times New Roman" w:hAnsi="Times New Roman"/>
                <w:b w:val="0"/>
                <w:i w:val="0"/>
                <w:color w:val="000000"/>
                <w:sz w:val="17"/>
              </w:rPr>
              <w:t>ln(Total Cuentas / Cuentas con Orden_j)</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ratio_esfuerzo</w:t>
            </w:r>
          </w:p>
        </w:tc>
        <w:tc>
          <w:tcPr>
            <w:tcW w:type="dxa" w:w="1177"/>
            <w:vAlign w:val="center"/>
          </w:tcPr>
          <w:p>
            <w:pPr>
              <w:spacing w:before="0" w:after="0" w:line="252" w:lineRule="auto"/>
              <w:jc w:val="left"/>
            </w:pPr>
            <w:r>
              <w:rPr>
                <w:rFonts w:ascii="Times New Roman" w:hAnsi="Times New Roman"/>
                <w:b w:val="0"/>
                <w:i w:val="0"/>
                <w:color w:val="000000"/>
                <w:sz w:val="17"/>
              </w:rPr>
              <w:t>df_prestamos</w:t>
            </w:r>
          </w:p>
        </w:tc>
        <w:tc>
          <w:tcPr>
            <w:tcW w:type="dxa" w:w="1271"/>
            <w:vAlign w:val="center"/>
          </w:tcPr>
          <w:p>
            <w:pPr>
              <w:spacing w:before="0" w:after="0" w:line="252" w:lineRule="auto"/>
              <w:jc w:val="left"/>
            </w:pPr>
            <w:r>
              <w:rPr>
                <w:rFonts w:ascii="Times New Roman" w:hAnsi="Times New Roman"/>
                <w:b w:val="0"/>
                <w:i w:val="0"/>
                <w:color w:val="000000"/>
                <w:sz w:val="17"/>
              </w:rPr>
              <w:t>Contrato Crédito</w:t>
            </w:r>
          </w:p>
        </w:tc>
        <w:tc>
          <w:tcPr>
            <w:tcW w:type="dxa" w:w="2239"/>
            <w:vAlign w:val="center"/>
          </w:tcPr>
          <w:p>
            <w:pPr>
              <w:spacing w:before="0" w:after="0" w:line="252" w:lineRule="auto"/>
              <w:jc w:val="left"/>
            </w:pPr>
            <w:r>
              <w:rPr>
                <w:rFonts w:ascii="Times New Roman" w:hAnsi="Times New Roman"/>
                <w:b w:val="0"/>
                <w:i w:val="0"/>
                <w:color w:val="000000"/>
                <w:sz w:val="17"/>
              </w:rPr>
              <w:t>Carga mensual de amortización sobre ingreso</w:t>
            </w:r>
          </w:p>
        </w:tc>
        <w:tc>
          <w:tcPr>
            <w:tcW w:type="dxa" w:w="2840"/>
            <w:vAlign w:val="center"/>
          </w:tcPr>
          <w:p>
            <w:pPr>
              <w:spacing w:before="0" w:after="0" w:line="252" w:lineRule="auto"/>
              <w:jc w:val="left"/>
            </w:pPr>
            <w:r>
              <w:rPr>
                <w:rFonts w:ascii="Times New Roman" w:hAnsi="Times New Roman"/>
                <w:b w:val="0"/>
                <w:i w:val="0"/>
                <w:color w:val="000000"/>
                <w:sz w:val="17"/>
              </w:rPr>
              <w:t>cuota_mensual / salario_distrito_promedio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estereotipo_id</w:t>
            </w:r>
          </w:p>
        </w:tc>
        <w:tc>
          <w:tcPr>
            <w:tcW w:type="dxa" w:w="1177"/>
            <w:vAlign w:val="center"/>
          </w:tcPr>
          <w:p>
            <w:pPr>
              <w:spacing w:before="0" w:after="0" w:line="252" w:lineRule="auto"/>
              <w:jc w:val="left"/>
            </w:pPr>
            <w:r>
              <w:rPr>
                <w:rFonts w:ascii="Times New Roman" w:hAnsi="Times New Roman"/>
                <w:b w:val="0"/>
                <w:i w:val="0"/>
                <w:color w:val="000000"/>
                <w:sz w:val="17"/>
              </w:rPr>
              <w:t>df_cliente</w:t>
            </w:r>
          </w:p>
        </w:tc>
        <w:tc>
          <w:tcPr>
            <w:tcW w:type="dxa" w:w="1271"/>
            <w:vAlign w:val="center"/>
          </w:tcPr>
          <w:p>
            <w:pPr>
              <w:spacing w:before="0" w:after="0" w:line="252" w:lineRule="auto"/>
              <w:jc w:val="left"/>
            </w:pPr>
            <w:r>
              <w:rPr>
                <w:rFonts w:ascii="Times New Roman" w:hAnsi="Times New Roman"/>
                <w:b w:val="0"/>
                <w:i w:val="0"/>
                <w:color w:val="000000"/>
                <w:sz w:val="17"/>
              </w:rPr>
              <w:t>Cliente Único</w:t>
            </w:r>
          </w:p>
        </w:tc>
        <w:tc>
          <w:tcPr>
            <w:tcW w:type="dxa" w:w="2239"/>
            <w:vAlign w:val="center"/>
          </w:tcPr>
          <w:p>
            <w:pPr>
              <w:spacing w:before="0" w:after="0" w:line="252" w:lineRule="auto"/>
              <w:jc w:val="left"/>
            </w:pPr>
            <w:r>
              <w:rPr>
                <w:rFonts w:ascii="Times New Roman" w:hAnsi="Times New Roman"/>
                <w:b w:val="0"/>
                <w:i w:val="0"/>
                <w:color w:val="000000"/>
                <w:sz w:val="17"/>
              </w:rPr>
              <w:t>Segmento sociodemográfico canónico</w:t>
            </w:r>
          </w:p>
        </w:tc>
        <w:tc>
          <w:tcPr>
            <w:tcW w:type="dxa" w:w="2840"/>
            <w:vAlign w:val="center"/>
          </w:tcPr>
          <w:p>
            <w:pPr>
              <w:spacing w:before="0" w:after="0" w:line="252" w:lineRule="auto"/>
              <w:jc w:val="left"/>
            </w:pPr>
            <w:r>
              <w:rPr>
                <w:rFonts w:ascii="Times New Roman" w:hAnsi="Times New Roman"/>
                <w:b w:val="0"/>
                <w:i w:val="0"/>
                <w:color w:val="000000"/>
                <w:sz w:val="17"/>
              </w:rPr>
              <w:t>Concatenación cruzada: Macro-Región × Rango Etario</w:t>
            </w:r>
          </w:p>
        </w:tc>
      </w:tr>
    </w:tbl>
    <w:p>
      <w:pPr>
        <w:spacing w:before="0" w:after="120"/>
      </w:pPr>
    </w:p>
    <w:p>
      <w:pPr>
        <w:spacing w:line="276" w:lineRule="auto" w:before="0" w:after="90"/>
        <w:jc w:val="both"/>
      </w:pPr>
      <w:r>
        <w:rPr>
          <w:rFonts w:ascii="Times New Roman" w:hAnsi="Times New Roman"/>
          <w:b w:val="0"/>
          <w:i w:val="0"/>
          <w:color w:val="000000"/>
          <w:sz w:val="22"/>
        </w:rPr>
        <w:t>Evaluación de viabilidad técnica (Matriz 5 Algoritmos × 4 DataFrames): No todos los algoritmos son aplicables de forma válida sobre todos los conjuntos. La viabilidad técnica depende directamente de la granularidad y la naturaleza de las variables. La Tabla 4 documenta la matriz de viabilidad sobre las 20 combinaciones posibles:</w:t>
      </w:r>
    </w:p>
    <w:p>
      <w:pPr>
        <w:keepNext/>
        <w:spacing w:before="200" w:after="80"/>
        <w:jc w:val="center"/>
      </w:pPr>
      <w:r>
        <w:rPr>
          <w:rFonts w:ascii="Times New Roman" w:hAnsi="Times New Roman"/>
          <w:b/>
          <w:i w:val="0"/>
          <w:color w:val="000000"/>
          <w:sz w:val="21"/>
        </w:rPr>
        <w:t>Tabla 4:</w:t>
      </w:r>
      <w:r>
        <w:rPr>
          <w:rFonts w:ascii="Times New Roman" w:hAnsi="Times New Roman"/>
          <w:sz w:val="21"/>
        </w:rPr>
        <w:t xml:space="preserve"> Matriz Cruzada de Viabilidad Técnica (5 Algoritmos × 4 DataFrames).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7"/>
              </w:rPr>
              <w:t>DataFrame Base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1. Slope One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2. Similitud Coseno</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3. Correlación Pearson</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4. TF-IDF (Contenidos)</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7"/>
              </w:rPr>
              <w:t>5. Demográfico (Estereotipos)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df_transacciones</w:t>
              <w:br/>
              <w:t>(1,056,320 movs)</w:t>
            </w:r>
          </w:p>
        </w:tc>
        <w:tc>
          <w:tcPr>
            <w:tcW w:type="dxa" w:w="1440"/>
            <w:vAlign w:val="center"/>
          </w:tcPr>
          <w:p>
            <w:pPr>
              <w:spacing w:before="0" w:after="0" w:line="252" w:lineRule="auto"/>
              <w:jc w:val="left"/>
            </w:pPr>
            <w:r>
              <w:rPr>
                <w:rFonts w:ascii="Times New Roman" w:hAnsi="Times New Roman"/>
                <w:b w:val="0"/>
                <w:i w:val="0"/>
                <w:color w:val="000000"/>
                <w:sz w:val="17"/>
              </w:rPr>
              <w:t>SELECCIONADO (1A)</w:t>
              <w:br/>
              <w:t>Masa crítica de transacciones repetidas cliente-producto.</w:t>
            </w:r>
          </w:p>
        </w:tc>
        <w:tc>
          <w:tcPr>
            <w:tcW w:type="dxa" w:w="1440"/>
            <w:vAlign w:val="center"/>
          </w:tcPr>
          <w:p>
            <w:pPr>
              <w:spacing w:before="0" w:after="0" w:line="252" w:lineRule="auto"/>
              <w:jc w:val="left"/>
            </w:pPr>
            <w:r>
              <w:rPr>
                <w:rFonts w:ascii="Times New Roman" w:hAnsi="Times New Roman"/>
                <w:b w:val="0"/>
                <w:i w:val="0"/>
                <w:color w:val="000000"/>
                <w:sz w:val="17"/>
              </w:rPr>
              <w:t>SELECCIONADO (1B)</w:t>
              <w:br/>
              <w:t>Coseno ajustado sobre vectores centrados en medias.</w:t>
            </w:r>
          </w:p>
        </w:tc>
        <w:tc>
          <w:tcPr>
            <w:tcW w:type="dxa" w:w="1440"/>
            <w:vAlign w:val="center"/>
          </w:tcPr>
          <w:p>
            <w:pPr>
              <w:spacing w:before="0" w:after="0" w:line="252" w:lineRule="auto"/>
              <w:jc w:val="left"/>
            </w:pPr>
            <w:r>
              <w:rPr>
                <w:rFonts w:ascii="Times New Roman" w:hAnsi="Times New Roman"/>
                <w:b w:val="0"/>
                <w:i w:val="0"/>
                <w:color w:val="000000"/>
                <w:sz w:val="17"/>
              </w:rPr>
              <w:t>COMPLEMENTARIO (1C)</w:t>
              <w:br/>
              <w:t>Pearson sobre ratings implícitos y series mensuales (Δx_t).</w:t>
            </w:r>
          </w:p>
        </w:tc>
        <w:tc>
          <w:tcPr>
            <w:tcW w:type="dxa" w:w="1440"/>
            <w:vAlign w:val="center"/>
          </w:tcPr>
          <w:p>
            <w:pPr>
              <w:spacing w:before="0" w:after="0" w:line="252" w:lineRule="auto"/>
              <w:jc w:val="left"/>
            </w:pPr>
            <w:r>
              <w:rPr>
                <w:rFonts w:ascii="Times New Roman" w:hAnsi="Times New Roman"/>
                <w:b w:val="0"/>
                <w:i w:val="0"/>
                <w:color w:val="000000"/>
                <w:sz w:val="17"/>
              </w:rPr>
              <w:t>NO APLICABLE</w:t>
              <w:br/>
              <w:t>No contiene texto descriptivo; solo importes y fechas.</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Requiere desnormalizar atributos sociodemográficos.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df_ordenes</w:t>
              <w:br/>
              <w:t>(6,471 órdenes)</w:t>
            </w:r>
          </w:p>
        </w:tc>
        <w:tc>
          <w:tcPr>
            <w:tcW w:type="dxa" w:w="1440"/>
            <w:vAlign w:val="center"/>
          </w:tcPr>
          <w:p>
            <w:pPr>
              <w:spacing w:before="0" w:after="0" w:line="252" w:lineRule="auto"/>
              <w:jc w:val="left"/>
            </w:pPr>
            <w:r>
              <w:rPr>
                <w:rFonts w:ascii="Times New Roman" w:hAnsi="Times New Roman"/>
                <w:b w:val="0"/>
                <w:i w:val="0"/>
                <w:color w:val="000000"/>
                <w:sz w:val="17"/>
              </w:rPr>
              <w:t>VIABLE (Secundario)</w:t>
              <w:br/>
              <w:t>Menor varianza de frecuencias que en transacciones diarias.</w:t>
            </w:r>
          </w:p>
        </w:tc>
        <w:tc>
          <w:tcPr>
            <w:tcW w:type="dxa" w:w="1440"/>
            <w:vAlign w:val="center"/>
          </w:tcPr>
          <w:p>
            <w:pPr>
              <w:spacing w:before="0" w:after="0" w:line="252" w:lineRule="auto"/>
              <w:jc w:val="left"/>
            </w:pPr>
            <w:r>
              <w:rPr>
                <w:rFonts w:ascii="Times New Roman" w:hAnsi="Times New Roman"/>
                <w:b w:val="0"/>
                <w:i w:val="0"/>
                <w:color w:val="000000"/>
                <w:sz w:val="17"/>
              </w:rPr>
              <w:t>SELECCIONADO (2A / 2B)</w:t>
              <w:br/>
              <w:t>Coseno binario y ponderación colaborativa ITF.</w:t>
            </w:r>
          </w:p>
        </w:tc>
        <w:tc>
          <w:tcPr>
            <w:tcW w:type="dxa" w:w="1440"/>
            <w:vAlign w:val="center"/>
          </w:tcPr>
          <w:p>
            <w:pPr>
              <w:spacing w:before="0" w:after="0" w:line="252" w:lineRule="auto"/>
              <w:jc w:val="left"/>
            </w:pPr>
            <w:r>
              <w:rPr>
                <w:rFonts w:ascii="Times New Roman" w:hAnsi="Times New Roman"/>
                <w:b w:val="0"/>
                <w:i w:val="0"/>
                <w:color w:val="000000"/>
                <w:sz w:val="17"/>
              </w:rPr>
              <w:t>COMPLEMENTARIO (2C)</w:t>
              <w:br/>
              <w:t>Correlación de adopción de órdenes fijas entre cuentas.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Carece de corpus textual (ITF es extensión colaborativa).</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Agregación de órdenes promedio por perfil.</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df_prestamos</w:t>
              <w:br/>
              <w:t>(682 créditos)</w:t>
            </w:r>
          </w:p>
        </w:tc>
        <w:tc>
          <w:tcPr>
            <w:tcW w:type="dxa" w:w="1440"/>
            <w:vAlign w:val="center"/>
          </w:tcPr>
          <w:p>
            <w:pPr>
              <w:spacing w:before="0" w:after="0" w:line="252" w:lineRule="auto"/>
              <w:jc w:val="left"/>
            </w:pPr>
            <w:r>
              <w:rPr>
                <w:rFonts w:ascii="Times New Roman" w:hAnsi="Times New Roman"/>
                <w:b w:val="0"/>
                <w:i w:val="0"/>
                <w:color w:val="000000"/>
                <w:sz w:val="17"/>
              </w:rPr>
              <w:t>INVÁLIDO (Degenerado)</w:t>
              <w:br/>
              <w:t>Clientes poseen un único crédito; soporte conjunto card(S(j,i)) ≈ 0.</w:t>
            </w:r>
          </w:p>
        </w:tc>
        <w:tc>
          <w:tcPr>
            <w:tcW w:type="dxa" w:w="1440"/>
            <w:vAlign w:val="center"/>
          </w:tcPr>
          <w:p>
            <w:pPr>
              <w:spacing w:before="0" w:after="0" w:line="252" w:lineRule="auto"/>
              <w:jc w:val="left"/>
            </w:pPr>
            <w:r>
              <w:rPr>
                <w:rFonts w:ascii="Times New Roman" w:hAnsi="Times New Roman"/>
                <w:b w:val="0"/>
                <w:i w:val="0"/>
                <w:color w:val="000000"/>
                <w:sz w:val="17"/>
              </w:rPr>
              <w:t>COMPLEMENTARIO (3B)</w:t>
              <w:br/>
              <w:t>Proximidad numérica sobre condiciones [monto, plazo, cuota].</w:t>
            </w:r>
          </w:p>
        </w:tc>
        <w:tc>
          <w:tcPr>
            <w:tcW w:type="dxa" w:w="1440"/>
            <w:vAlign w:val="center"/>
          </w:tcPr>
          <w:p>
            <w:pPr>
              <w:spacing w:before="0" w:after="0" w:line="252" w:lineRule="auto"/>
              <w:jc w:val="left"/>
            </w:pPr>
            <w:r>
              <w:rPr>
                <w:rFonts w:ascii="Times New Roman" w:hAnsi="Times New Roman"/>
                <w:b w:val="0"/>
                <w:i w:val="0"/>
                <w:color w:val="000000"/>
                <w:sz w:val="17"/>
              </w:rPr>
              <w:t>SECUNDARIO</w:t>
              <w:br/>
              <w:t>Volumen mensual de concesión; muestra reducida (682 filas).</w:t>
            </w:r>
          </w:p>
        </w:tc>
        <w:tc>
          <w:tcPr>
            <w:tcW w:type="dxa" w:w="1440"/>
            <w:vAlign w:val="center"/>
          </w:tcPr>
          <w:p>
            <w:pPr>
              <w:spacing w:before="0" w:after="0" w:line="252" w:lineRule="auto"/>
              <w:jc w:val="left"/>
            </w:pPr>
            <w:r>
              <w:rPr>
                <w:rFonts w:ascii="Times New Roman" w:hAnsi="Times New Roman"/>
                <w:b w:val="0"/>
                <w:i w:val="0"/>
                <w:color w:val="000000"/>
                <w:sz w:val="17"/>
              </w:rPr>
              <w:t>SELECCIONADO (3A)</w:t>
              <w:br/>
              <w:t>Cláusulas contractuales, garantías y condiciones de crédito.</w:t>
            </w:r>
          </w:p>
        </w:tc>
        <w:tc>
          <w:tcPr>
            <w:tcW w:type="dxa" w:w="1310"/>
            <w:vAlign w:val="center"/>
          </w:tcPr>
          <w:p>
            <w:pPr>
              <w:spacing w:before="0" w:after="0" w:line="252" w:lineRule="auto"/>
              <w:jc w:val="left"/>
            </w:pPr>
            <w:r>
              <w:rPr>
                <w:rFonts w:ascii="Times New Roman" w:hAnsi="Times New Roman"/>
                <w:b w:val="0"/>
                <w:i w:val="0"/>
                <w:color w:val="000000"/>
                <w:sz w:val="17"/>
              </w:rPr>
              <w:t>SELECCIONADO (3C: Utilidad)</w:t>
              <w:br/>
              <w:t>Reglas de scoring de riesgo y cuota ≤ 30% salario.</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df_cliente_consolidado</w:t>
              <w:br/>
              <w:t>(5,369 clientes)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Variables estáticas de usuario; no representa matriz de ítems.</w:t>
            </w:r>
          </w:p>
        </w:tc>
        <w:tc>
          <w:tcPr>
            <w:tcW w:type="dxa" w:w="1440"/>
            <w:vAlign w:val="center"/>
          </w:tcPr>
          <w:p>
            <w:pPr>
              <w:spacing w:before="0" w:after="0" w:line="252" w:lineRule="auto"/>
              <w:jc w:val="left"/>
            </w:pPr>
            <w:r>
              <w:rPr>
                <w:rFonts w:ascii="Times New Roman" w:hAnsi="Times New Roman"/>
                <w:b w:val="0"/>
                <w:i w:val="0"/>
                <w:color w:val="000000"/>
                <w:sz w:val="17"/>
              </w:rPr>
              <w:t>SELECCIONADO (4B)</w:t>
              <w:br/>
              <w:t>Similitud Coseno Usuario a Usuario (gemelos financieros).</w:t>
            </w:r>
          </w:p>
        </w:tc>
        <w:tc>
          <w:tcPr>
            <w:tcW w:type="dxa" w:w="1440"/>
            <w:vAlign w:val="center"/>
          </w:tcPr>
          <w:p>
            <w:pPr>
              <w:spacing w:before="0" w:after="0" w:line="252" w:lineRule="auto"/>
              <w:jc w:val="left"/>
            </w:pPr>
            <w:r>
              <w:rPr>
                <w:rFonts w:ascii="Times New Roman" w:hAnsi="Times New Roman"/>
                <w:b w:val="0"/>
                <w:i w:val="0"/>
                <w:color w:val="000000"/>
                <w:sz w:val="17"/>
              </w:rPr>
              <w:t>COMPLEMENTARIO (4C)</w:t>
              <w:br/>
              <w:t>Correlación multivariante de perfil (edad, saldo, salario).</w:t>
            </w:r>
          </w:p>
        </w:tc>
        <w:tc>
          <w:tcPr>
            <w:tcW w:type="dxa" w:w="1440"/>
            <w:vAlign w:val="center"/>
          </w:tcPr>
          <w:p>
            <w:pPr>
              <w:spacing w:before="0" w:after="0" w:line="252" w:lineRule="auto"/>
              <w:jc w:val="left"/>
            </w:pPr>
            <w:r>
              <w:rPr>
                <w:rFonts w:ascii="Times New Roman" w:hAnsi="Times New Roman"/>
                <w:b w:val="0"/>
                <w:i w:val="0"/>
                <w:color w:val="000000"/>
                <w:sz w:val="17"/>
              </w:rPr>
              <w:t>NO APLICABLE</w:t>
              <w:br/>
              <w:t>Atributos numéricos y discretos; no posee corpus textual.</w:t>
            </w:r>
          </w:p>
        </w:tc>
        <w:tc>
          <w:tcPr>
            <w:tcW w:type="dxa" w:w="1310"/>
            <w:vAlign w:val="center"/>
          </w:tcPr>
          <w:p>
            <w:pPr>
              <w:spacing w:before="0" w:after="0" w:line="252" w:lineRule="auto"/>
              <w:jc w:val="left"/>
            </w:pPr>
            <w:r>
              <w:rPr>
                <w:rFonts w:ascii="Times New Roman" w:hAnsi="Times New Roman"/>
                <w:b w:val="0"/>
                <w:i w:val="0"/>
                <w:color w:val="000000"/>
                <w:sz w:val="17"/>
              </w:rPr>
              <w:t>SELECCIONADO (4A)</w:t>
              <w:br/>
              <w:t>Dimensión maestra para construir arquetipos de negocio.</w:t>
            </w:r>
          </w:p>
        </w:tc>
      </w:tr>
    </w:tbl>
    <w:p>
      <w:pPr>
        <w:spacing w:before="0" w:after="120"/>
      </w:pPr>
    </w:p>
    <w:p>
      <w:pPr>
        <w:keepNext/>
        <w:spacing w:before="140" w:after="40"/>
        <w:jc w:val="left"/>
      </w:pPr>
      <w:r>
        <w:rPr>
          <w:rFonts w:ascii="Times New Roman" w:hAnsi="Times New Roman"/>
          <w:b/>
          <w:i w:val="0"/>
          <w:color w:val="000000"/>
          <w:sz w:val="22"/>
        </w:rPr>
        <w:t>2.7.3 Clasificar la información</w:t>
      </w:r>
    </w:p>
    <w:p>
      <w:pPr>
        <w:spacing w:line="276" w:lineRule="auto" w:before="0" w:after="90"/>
        <w:jc w:val="both"/>
      </w:pPr>
      <w:r>
        <w:rPr>
          <w:rFonts w:ascii="Times New Roman" w:hAnsi="Times New Roman"/>
          <w:b w:val="0"/>
          <w:i w:val="0"/>
          <w:color w:val="000000"/>
          <w:sz w:val="22"/>
        </w:rPr>
        <w:t>La clasificación de la información se ejecutó en tres niveles complementarios: clasificación taxonómica de servicios bancarios, clasificación sociodemográfica de clientes y clasificación metodológica de las familias de recomendación revisadas en clases:</w:t>
      </w:r>
    </w:p>
    <w:p>
      <w:pPr>
        <w:spacing w:line="276" w:lineRule="auto" w:before="0" w:after="90"/>
        <w:jc w:val="both"/>
      </w:pPr>
      <w:r>
        <w:rPr>
          <w:rFonts w:ascii="Times New Roman" w:hAnsi="Times New Roman"/>
          <w:b w:val="0"/>
          <w:i w:val="0"/>
          <w:color w:val="000000"/>
          <w:sz w:val="22"/>
        </w:rPr>
        <w:t>1. Taxonomía de servicios financieros transaccionales y contractuales: Los códigos operacionales crudos (k_symbol) presentaban ambigüedad y valores nulos. Para superarlo, se estableció una taxonomía formal de cinco categorías funcionales en transacciones: (1) TARJETA_DEBITO (retiros en cajeros y pagos POS con tarjeta); (2) SERVICIOS_HOGAR (débitos recurrentes de servicios domésticos); (3) PRESTAMO (cuotas de amortización crediticia); (4) SEGURO (primas de cobertura patrimonial o de vida); y (5) TRANSF_EXTERNA (transferencias interbancarias). En las órdenes permanentes domiciliadas de df_ordenes_clean, se consolidaron cinco conceptos contractuales sobre las 3,758 cuentas activas: Servicios del Hogar (3,365 cuentas, 89.54%), Sin Especificar (1,198 cuentas, 31.88%), Cuota de Préstamo (717 cuentas, 19.08%), Pago de Seguros (532 cuentas, 14.16%) y Arrendamiento / Leasing (341 cuentas, 9.07%). La categoría 'Sin Especificar' preserva la integridad contable de 1,379 órdenes profiled en OpenRefine para no incurrir en pérdida de datos al construir las matrices de correlación y co-adquisición.</w:t>
      </w:r>
    </w:p>
    <w:p>
      <w:pPr>
        <w:spacing w:line="276" w:lineRule="auto" w:before="0" w:after="90"/>
        <w:jc w:val="both"/>
      </w:pPr>
      <w:r>
        <w:rPr>
          <w:rFonts w:ascii="Times New Roman" w:hAnsi="Times New Roman"/>
          <w:b w:val="0"/>
          <w:i w:val="0"/>
          <w:color w:val="000000"/>
          <w:sz w:val="22"/>
        </w:rPr>
        <w:t>2. Clasificación sociodemográfica de clientes: En el DataFrame dimensional df_cliente_consolidado, los 5,369 clientes se segmentaron en nueve arquetipos sociodemográficos canónicos cruzando tres macro-regiones geográficas (Metropolitana Praga, Bohemia Centro-Oeste y Moravia Este) con tres intervalos etarios vitales (Jóvenes &lt;30 años, Adultos 30-50 años y Adultos Mayores &gt;50 años), permitiendo capturar patrones heterogéneos de bancarización y endeudamiento.</w:t>
      </w:r>
    </w:p>
    <w:p>
      <w:pPr>
        <w:spacing w:line="276" w:lineRule="auto" w:before="0" w:after="90"/>
        <w:jc w:val="both"/>
      </w:pPr>
      <w:r>
        <w:rPr>
          <w:rFonts w:ascii="Times New Roman" w:hAnsi="Times New Roman"/>
          <w:b w:val="0"/>
          <w:i w:val="0"/>
          <w:color w:val="000000"/>
          <w:sz w:val="22"/>
        </w:rPr>
        <w:t>3. Clasificación de las cuatro familias de algoritmos revisadas en clases: Siguiendo el marco curricular de la asignatura Inteligencia de Negocios, los sistemas desarrollados se clasifican en cuatro familias analíticas fundamentales: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Colaborativo (Collaborative Filtering): </w:t>
      </w:r>
      <w:r>
        <w:rPr>
          <w:rFonts w:ascii="Times New Roman" w:hAnsi="Times New Roman"/>
          <w:b w:val="0"/>
          <w:i w:val="0"/>
          <w:color w:val="000000"/>
          <w:sz w:val="22"/>
        </w:rPr>
        <w:t>Explota la matriz de interacciones usuario-producto sin requerir atributos intrínsecos. Se subdivide en: (a) Métodos Ítem a Ítem (Slope One, Coseno Ajustado, Coseno Binario, Ponderación ITF, Pearson sobre ratings); y (b) Métodos Usuario a Usuario (kNN sobre perfiles transaccionales).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Basado en Contenidos (Content-Based Filtering): </w:t>
      </w:r>
      <w:r>
        <w:rPr>
          <w:rFonts w:ascii="Times New Roman" w:hAnsi="Times New Roman"/>
          <w:b w:val="0"/>
          <w:i w:val="0"/>
          <w:color w:val="000000"/>
          <w:sz w:val="22"/>
        </w:rPr>
        <w:t>Recomienda productos comparando sus descriptores técnicos y cláusulas contractuales con las preferencias del usuario mediante Procesamiento de Lenguaje Natural (TF-IDF sobre cláusulas legales), resolviendo el Item Cold Start.</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Demográfico (Demographic Filtering): </w:t>
      </w:r>
      <w:r>
        <w:rPr>
          <w:rFonts w:ascii="Times New Roman" w:hAnsi="Times New Roman"/>
          <w:b w:val="0"/>
          <w:i w:val="0"/>
          <w:color w:val="000000"/>
          <w:sz w:val="22"/>
        </w:rPr>
        <w:t>Asocia a los usuarios con estereotipos poblacionales basados en edad, ubicación geográfica y estrato económico, otorgando una solución determinista al User Cold Start en apertura de cuenta.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Modelos Basados en el Conocimiento y en la Utilidad Financiera (Knowledge &amp; Utility-Based): </w:t>
      </w:r>
      <w:r>
        <w:rPr>
          <w:rFonts w:ascii="Times New Roman" w:hAnsi="Times New Roman"/>
          <w:b w:val="0"/>
          <w:i w:val="0"/>
          <w:color w:val="000000"/>
          <w:sz w:val="22"/>
        </w:rPr>
        <w:t>Incorpora reglas de política bancaria, compuertas de solvencia (cuota ≤ 30% del salario distrital) y restricciones prudenciales de riesgo de impago, gobernando transversalmente las recomendaciones comerciales.</w:t>
      </w:r>
    </w:p>
    <w:p>
      <w:pPr>
        <w:keepNext/>
        <w:spacing w:before="140" w:after="40"/>
        <w:jc w:val="left"/>
      </w:pPr>
      <w:r>
        <w:rPr>
          <w:rFonts w:ascii="Times New Roman" w:hAnsi="Times New Roman"/>
          <w:b/>
          <w:i w:val="0"/>
          <w:color w:val="000000"/>
          <w:sz w:val="22"/>
        </w:rPr>
        <w:t>2.7.4 Filtrar la información</w:t>
      </w:r>
    </w:p>
    <w:p>
      <w:pPr>
        <w:spacing w:line="276" w:lineRule="auto" w:before="0" w:after="90"/>
        <w:jc w:val="both"/>
      </w:pPr>
      <w:r>
        <w:rPr>
          <w:rFonts w:ascii="Times New Roman" w:hAnsi="Times New Roman"/>
          <w:b w:val="0"/>
          <w:i w:val="0"/>
          <w:color w:val="000000"/>
          <w:sz w:val="22"/>
        </w:rPr>
        <w:t>El filtrado analítico de la información abordó cuatro problemáticas críticas de sesgo poblacional, dispersión matemática y prudencia financiera:</w:t>
      </w:r>
    </w:p>
    <w:p>
      <w:pPr>
        <w:spacing w:line="276" w:lineRule="auto" w:before="0" w:after="90"/>
        <w:jc w:val="both"/>
      </w:pPr>
      <w:r>
        <w:rPr>
          <w:rFonts w:ascii="Times New Roman" w:hAnsi="Times New Roman"/>
          <w:b w:val="0"/>
          <w:i w:val="0"/>
          <w:color w:val="000000"/>
          <w:sz w:val="22"/>
        </w:rPr>
        <w:t>1. Filtro de Pareto y estabilización monótona logarítmica: En Financial_ijs, las frecuencias transaccionales brutas siguen una distribución de ley de potencias (coeficiente de asimetría g_1 &gt; 3.5), donde una minoría hiperactiva acumula cientos de transacciones al mes mientras la mayoría mantiene baja actividad. Asimismo, las cuentas abiertas en 1993 acumulan mecánicamente seis veces más operaciones que las de 1997. Computar promedios aritméticos brutos sobre estas frecuencias provocaría que los clientes hiperactivos sesgaran las distancias euclidianas. Para resolver este sesgo estructural, se aplicó la transformación logarítmica monótona cóncava:</w:t>
      </w:r>
    </w:p>
    <w:p>
      <w:pPr>
        <w:keepNext/>
        <w:spacing w:before="80" w:after="80"/>
        <w:jc w:val="center"/>
      </w:pPr>
      <m:oMathPara>
        <m:oMath>
          <m:sSub>
            <m:e>
              <m:r>
                <m:t>y</m:t>
              </m:r>
            </m:e>
            <m:sub>
              <m:r>
                <m:t>u,i</m:t>
              </m:r>
            </m:sub>
          </m:sSub>
          <m:r>
            <m:t>=</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donde x_{u, i} es el recuento bruto de transacciones. Con y_min = ln(1 + 1) = ln(2) ≈ 0.6931 e y_max = ln(1 + 257) = ln(258) ≈ 5.5530 observados en la muestra, los valores se escalaron linealmente al rango continuo [1.0, 5.0]:</w:t>
      </w:r>
    </w:p>
    <w:p>
      <w:pPr>
        <w:keepNext/>
        <w:spacing w:before="80" w:after="80"/>
        <w:jc w:val="center"/>
      </w:pPr>
      <m:oMathPara>
        <m:oMath>
          <m:sSub>
            <m:e>
              <m:r>
                <m:t>r</m:t>
              </m:r>
            </m:e>
            <m:sub>
              <m:r>
                <m:t>u,i</m:t>
              </m:r>
            </m:sub>
          </m:sSub>
          <m:r>
            <m:t>=1.0+4.0·</m:t>
          </m:r>
          <m:d>
            <m:dPr>
              <m:sepChr m:val=""/>
            </m:dPr>
            <m:e>
              <m:f>
                <m:fPr>
                  <m:type m:val="bar"/>
                </m:fPr>
                <m:num>
                  <m:sSub>
                    <m:e>
                      <m:r>
                        <m:t>y</m:t>
                      </m:r>
                    </m:e>
                    <m:sub>
                      <m:r>
                        <m:t>u,i</m:t>
                      </m:r>
                    </m:sub>
                  </m:sSub>
                  <m:r>
                    <m:t>−</m:t>
                  </m:r>
                  <m:sSub>
                    <m:e>
                      <m:r>
                        <m:t>y</m:t>
                      </m:r>
                    </m:e>
                    <m:sub>
                      <m:r>
                        <m:t>min</m:t>
                      </m:r>
                    </m:sub>
                  </m:sSub>
                </m:num>
                <m:den>
                  <m:sSub>
                    <m:e>
                      <m:r>
                        <m:t>y</m:t>
                      </m:r>
                    </m:e>
                    <m:sub>
                      <m:r>
                        <m:t>max</m:t>
                      </m:r>
                    </m:sub>
                  </m:sSub>
                  <m:r>
                    <m:t>−</m:t>
                  </m:r>
                  <m:sSub>
                    <m:e>
                      <m:r>
                        <m:t>y</m:t>
                      </m:r>
                    </m:e>
                    <m:sub>
                      <m:r>
                        <m:t>min</m:t>
                      </m:r>
                    </m:sub>
                  </m:sSub>
                </m:den>
              </m:f>
            </m:e>
          </m:d>
          <m:r>
            <m:t>=1.0+0.8231·(</m:t>
          </m:r>
          <m:sSub>
            <m:e>
              <m:r>
                <m:t>y</m:t>
              </m:r>
            </m:e>
            <m:sub>
              <m:r>
                <m:t>u,i</m:t>
              </m:r>
            </m:sub>
          </m:sSub>
          <m:r>
            <m:t>−0.6931)≈0.4295+0.8231·</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2. Filtro de clientes disponentes y artefacto de similitud unitaria: En el modelado colaborativo Usuario a Usuario (Modelo 4B), se descubrió que incluir clientes autorizados ('DISPONENT') provocaba que 869 registros colapsaran en una similitud perfecta cos = 1.0000 con otros usuarios. Esto ocurría porque al no tener transacciones propias, sus vectores brutos eran cero y al estandarizar Z-score colapsaban en el mismo punto (-mu / sigma). El filtro aplicado restringió el espacio vectorial exclusivamente a los 4,500 titulares independientes, eliminando este artefacto espurio.</w:t>
      </w:r>
    </w:p>
    <w:p>
      <w:pPr>
        <w:spacing w:line="276" w:lineRule="auto" w:before="0" w:after="90"/>
        <w:jc w:val="both"/>
      </w:pPr>
      <w:r>
        <w:rPr>
          <w:rFonts w:ascii="Times New Roman" w:hAnsi="Times New Roman"/>
          <w:b w:val="0"/>
          <w:i w:val="0"/>
          <w:color w:val="000000"/>
          <w:sz w:val="22"/>
        </w:rPr>
        <w:t>3. Filtro prudencial de morosidad histórica (Regla de Negocio 1): Como compuerta obligatoria de control de riesgo, se aplicó un filtro determinista que bloquea automáticamente a cualquier cliente con antecedentes de incumplimiento en préstamos (estados 'B' de contrato no pagado y 'D' de deuda en mora judicial), excluyendo al 11.15% de prestatarios históricos de recibir cualquier oferta de nuevo endeudamiento.</w:t>
      </w:r>
    </w:p>
    <w:p>
      <w:pPr>
        <w:spacing w:line="276" w:lineRule="auto" w:before="0" w:after="90"/>
        <w:jc w:val="both"/>
      </w:pPr>
      <w:r>
        <w:rPr>
          <w:rFonts w:ascii="Times New Roman" w:hAnsi="Times New Roman"/>
          <w:b w:val="0"/>
          <w:i w:val="0"/>
          <w:color w:val="000000"/>
          <w:sz w:val="22"/>
        </w:rPr>
        <w:t>4. Filtro de capacidad de pago y solvencia crediticia (Regla del 30%): Se filtraron las recomendaciones crediticias condicionándolas a que la cuota de amortización no supere el 30% del salario distrital promedio estimado del cliente. La validez de este filtro se sustenta en la evidencia empírica transversal: los créditos en el rango prudencial (≤ 30%) registran una tasa de morosidad de apenas 6.57% (14 de 213), mientras que en clientes con endeudamiento crítico (&gt; 50%) la mora se triplica al 16.86% (44 de 261), diferencia estadísticamente significativa confirmada con Chi-cuadrado (χ² = 10.62, p = 0.0011) y Test Exacto de Fisher (p = 0.0007).</w:t>
      </w:r>
    </w:p>
    <w:p>
      <w:pPr>
        <w:keepNext/>
        <w:spacing w:before="140" w:after="40"/>
        <w:jc w:val="left"/>
      </w:pPr>
      <w:r>
        <w:rPr>
          <w:rFonts w:ascii="Times New Roman" w:hAnsi="Times New Roman"/>
          <w:b/>
          <w:i w:val="0"/>
          <w:color w:val="000000"/>
          <w:sz w:val="22"/>
        </w:rPr>
        <w:t>2.7.5 Generar un sistema de recomendación Slope One</w:t>
      </w:r>
    </w:p>
    <w:p>
      <w:pPr>
        <w:spacing w:line="276" w:lineRule="auto" w:before="0" w:after="90"/>
        <w:jc w:val="both"/>
      </w:pPr>
      <w:r>
        <w:rPr>
          <w:rFonts w:ascii="Times New Roman" w:hAnsi="Times New Roman"/>
          <w:b w:val="0"/>
          <w:i w:val="0"/>
          <w:color w:val="000000"/>
          <w:sz w:val="22"/>
        </w:rPr>
        <w:t>El algoritmo Slope One constituye un recomendador colaborativo ítem a ítem desarrollado por Lemire y Maclachlan (2005) para operar de forma eficiente y precisa sobre matrices de retroalimentación implícita continua. En esta práctica, se implementó de forma canónica sobre el DataFrame de transacciones bancarias (df_transacciones), aprovechando sus 1,056,320 registros continuos y 3,653 clientes activos con transaccionalidad recurrente.</w:t>
      </w:r>
    </w:p>
    <w:p>
      <w:pPr>
        <w:keepNext/>
        <w:spacing w:before="120" w:after="40"/>
        <w:jc w:val="left"/>
      </w:pPr>
      <w:r>
        <w:rPr>
          <w:rFonts w:ascii="Times New Roman" w:hAnsi="Times New Roman"/>
          <w:b/>
          <w:i w:val="0"/>
          <w:color w:val="000000"/>
          <w:sz w:val="22"/>
        </w:rPr>
        <w:t>Modelo 1A: Algoritmo Slope One (Filtrado Colaborativo Ítem a Ítem sobre df_transacciones)</w:t>
      </w:r>
    </w:p>
    <w:p>
      <w:pPr>
        <w:spacing w:line="276" w:lineRule="auto" w:before="0" w:after="90"/>
        <w:jc w:val="both"/>
      </w:pPr>
      <w:r>
        <w:rPr>
          <w:rFonts w:ascii="Times New Roman" w:hAnsi="Times New Roman"/>
          <w:b w:val="0"/>
          <w:i w:val="0"/>
          <w:color w:val="000000"/>
          <w:sz w:val="22"/>
        </w:rPr>
        <w:t>Fundamento teórico y formulación matemática: Slope One opera bajo el principio de simplicidad diferencial f(x) = x + b. Para cada par de productos (j, i), calcula la desviación media aritmética de calificación b_{j, i} sobre el subconjunto de usuarios S(j, i) que consumieron ambos servicios, y predice el interés hacia un producto no observado mediante una suma ponderada por el tamaño del soporte conjunto:</w:t>
      </w:r>
    </w:p>
    <w:p>
      <w:pPr>
        <w:keepNext/>
        <w:spacing w:before="80" w:after="80"/>
        <w:jc w:val="center"/>
      </w:pPr>
      <m:oMathPara>
        <m:oMath>
          <m:sSub>
            <m:e>
              <m:r>
                <m:t>b</m:t>
              </m:r>
            </m:e>
            <m:sub>
              <m:r>
                <m:t>j,i</m:t>
              </m:r>
            </m:sub>
          </m:sSub>
          <m:r>
            <m:t>=</m:t>
          </m:r>
          <m:r>
            <m:rPr>
              <m:nor/>
            </m:rPr>
            <m:t>dev</m:t>
          </m:r>
          <m:r>
            <m:t>(j,i)=</m:t>
          </m:r>
          <m:f>
            <m:fPr>
              <m:type m:val="bar"/>
            </m:fPr>
            <m:num>
              <m:nary>
                <m:naryPr>
                  <m:chr m:val="∑"/>
                  <m:limLoc m:val="subSup"/>
                  <m:grow m:val="1"/>
                  <m:subHide m:val="off"/>
                  <m:supHide m:val="on"/>
                </m:naryPr>
                <m:sub>
                  <m:r>
                    <m:t>u∈S(j,i)</m:t>
                  </m:r>
                </m:sub>
                <m:sup/>
                <m:e>
                  <m:r>
                    <m:t>(</m:t>
                  </m:r>
                </m:e>
              </m:nary>
              <m:sSub>
                <m:e>
                  <m:r>
                    <m:t>r</m:t>
                  </m:r>
                </m:e>
                <m:sub>
                  <m:r>
                    <m:t>u,j</m:t>
                  </m:r>
                </m:sub>
              </m:sSub>
              <m:r>
                <m:t>−</m:t>
              </m:r>
              <m:sSub>
                <m:e>
                  <m:r>
                    <m:t>r</m:t>
                  </m:r>
                </m:e>
                <m:sub>
                  <m:r>
                    <m:t>u,i</m:t>
                  </m:r>
                </m:sub>
              </m:sSub>
              <m:r>
                <m:t>)</m:t>
              </m:r>
            </m:num>
            <m:den>
              <m:d>
                <m:dPr>
                  <m:begChr m:val="|"/>
                  <m:sepChr m:val=""/>
                  <m:endChr m:val="|"/>
                </m:dPr>
                <m:e>
                  <m:r>
                    <m:t>S</m:t>
                  </m:r>
                  <m:r>
                    <m:t>(</m:t>
                  </m:r>
                  <m:r>
                    <m:t>j</m:t>
                  </m:r>
                  <m:r>
                    <m:t>,</m:t>
                  </m:r>
                  <m:r>
                    <m:t>i</m:t>
                  </m:r>
                  <m:r>
                    <m:t>)</m:t>
                  </m:r>
                </m:e>
              </m:d>
            </m:den>
          </m:f>
        </m:oMath>
      </m:oMathPara>
    </w:p>
    <w:p>
      <w:pPr>
        <w:keepNext/>
        <w:spacing w:before="80" w:after="80"/>
        <w:jc w:val="center"/>
      </w:pPr>
      <m:oMathPara>
        <m:oMath>
          <m:sSub>
            <m:e>
              <m:acc>
                <m:accPr>
                  <m:chr m:val="̂"/>
                </m:accPr>
                <m:e>
                  <m:r>
                    <m:t>r</m:t>
                  </m:r>
                </m:e>
              </m:acc>
            </m:e>
            <m:sub>
              <m:r>
                <m:t>u,j</m:t>
              </m:r>
            </m:sub>
          </m:sSub>
          <m:r>
            <m:t>=</m:t>
          </m:r>
          <m:f>
            <m:fPr>
              <m:type m:val="bar"/>
            </m:fPr>
            <m:num>
              <m:nary>
                <m:naryPr>
                  <m:chr m:val="∑"/>
                  <m:limLoc m:val="subSup"/>
                  <m:grow m:val="1"/>
                  <m:subHide m:val="off"/>
                  <m:supHide m:val="on"/>
                </m:naryPr>
                <m:sub>
                  <m:r>
                    <m:t>i∈</m:t>
                  </m:r>
                  <m:sSub>
                    <m:e>
                      <m:r>
                        <m:t>R</m:t>
                      </m:r>
                    </m:e>
                    <m:sub>
                      <m:r>
                        <m:t>u</m:t>
                      </m:r>
                    </m:sub>
                  </m:sSub>
                  <m:r>
                    <m:t>⧵{j}</m:t>
                  </m:r>
                </m:sub>
                <m:sup/>
                <m:e>
                  <m:r>
                    <m:t>|S(j,i)|·(</m:t>
                  </m:r>
                </m:e>
              </m:nary>
              <m:sSub>
                <m:e>
                  <m:r>
                    <m:t>r</m:t>
                  </m:r>
                </m:e>
                <m:sub>
                  <m:r>
                    <m:t>u,i</m:t>
                  </m:r>
                </m:sub>
              </m:sSub>
              <m:r>
                <m:t>+</m:t>
              </m:r>
              <m:sSub>
                <m:e>
                  <m:r>
                    <m:t>b</m:t>
                  </m:r>
                </m:e>
                <m:sub>
                  <m:r>
                    <m:t>j,i</m:t>
                  </m:r>
                </m:sub>
              </m:sSub>
              <m:r>
                <m:t>)</m:t>
              </m:r>
            </m:num>
            <m:den>
              <m:nary>
                <m:naryPr>
                  <m:chr m:val="∑"/>
                  <m:limLoc m:val="subSup"/>
                  <m:grow m:val="1"/>
                  <m:subHide m:val="off"/>
                  <m:supHide m:val="on"/>
                </m:naryPr>
                <m:sub>
                  <m:r>
                    <m:t>i∈</m:t>
                  </m:r>
                  <m:sSub>
                    <m:e>
                      <m:r>
                        <m:t>R</m:t>
                      </m:r>
                    </m:e>
                    <m:sub>
                      <m:r>
                        <m:t>u</m:t>
                      </m:r>
                    </m:sub>
                  </m:sSub>
                  <m:r>
                    <m:t>⧵{j}</m:t>
                  </m:r>
                </m:sub>
                <m:sup/>
                <m:e>
                  <m:r>
                    <m:t>|S(j,i)|</m:t>
                  </m:r>
                </m:e>
              </m:nary>
            </m:den>
          </m:f>
        </m:oMath>
      </m:oMathPara>
    </w:p>
    <w:p>
      <w:pPr>
        <w:spacing w:line="276" w:lineRule="auto" w:before="0" w:after="90"/>
        <w:jc w:val="both"/>
      </w:pPr>
      <w:r>
        <w:rPr>
          <w:rFonts w:ascii="Times New Roman" w:hAnsi="Times New Roman"/>
          <w:b w:val="0"/>
          <w:i w:val="0"/>
          <w:color w:val="000000"/>
          <w:sz w:val="22"/>
        </w:rPr>
        <w:t>Propiedades matemáticas formales de Slope One: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Antisimetría: </w:t>
      </w:r>
      <w:r>
        <w:rPr>
          <w:rFonts w:ascii="Times New Roman" w:hAnsi="Times New Roman"/>
          <w:b w:val="0"/>
          <w:i w:val="0"/>
          <w:color w:val="000000"/>
          <w:sz w:val="22"/>
        </w:rPr>
        <w:t>Antisimetría estricta de las desviaciones: Para cualquier par de productos (j, i), se cumple que b(j, i) = -b(i, j), y para todo producto individual b(i, i) = 0. Esta propiedad reduce a la mitad el almacenamiento necesario de la matriz de desviaciones, almacenando únicamente el triángulo superior.</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Invarianza de Escala: </w:t>
      </w:r>
      <w:r>
        <w:rPr>
          <w:rFonts w:ascii="Times New Roman" w:hAnsi="Times New Roman"/>
          <w:b w:val="0"/>
          <w:i w:val="0"/>
          <w:color w:val="000000"/>
          <w:sz w:val="22"/>
        </w:rPr>
        <w:t>Equivarianza frente a transformaciones afines: Si a todas las calificaciones de los usuarios se les aplica una transformación lineal positiva f(r) = α·r + β (con α &gt; 0), las predicciones de Slope One escalan de manera idéntica: f(rhat) = α·rhat + β. Esto asegura robustez total frente a cambios en la escala de medición de los ratings implícitos.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Ponderación por Soporte: </w:t>
      </w:r>
      <w:r>
        <w:rPr>
          <w:rFonts w:ascii="Times New Roman" w:hAnsi="Times New Roman"/>
          <w:b w:val="0"/>
          <w:i w:val="0"/>
          <w:color w:val="000000"/>
          <w:sz w:val="22"/>
        </w:rPr>
        <w:t>Atenuación ponderada por soporte: A diferencia del promedio no ponderado, el término |S(j, i)| actúa como un factor de verosimilitud estadística bayesiana: las parejas de productos evaluadas por cientos de clientes comunes (como Tarjeta y Hogar con S = 3,365) dominan la predicción, mientras que pares con soporte reducido (como Préstamo y Seguro con S = 114) tienen una influencia proporcionalmente acotada.</w:t>
      </w:r>
    </w:p>
    <w:p>
      <w:pPr>
        <w:spacing w:line="276" w:lineRule="auto" w:before="0" w:after="90"/>
        <w:jc w:val="both"/>
      </w:pPr>
      <w:r>
        <w:rPr>
          <w:rFonts w:ascii="Times New Roman" w:hAnsi="Times New Roman"/>
          <w:b w:val="0"/>
          <w:i w:val="0"/>
          <w:color w:val="000000"/>
          <w:sz w:val="22"/>
        </w:rPr>
        <w:t>Procedimiento metodológico y complejidad computacional:</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Fase de precomputación por lotes (Offline Batch): </w:t>
      </w:r>
      <w:r>
        <w:rPr>
          <w:rFonts w:ascii="Times New Roman" w:hAnsi="Times New Roman"/>
          <w:b w:val="0"/>
          <w:i w:val="0"/>
          <w:color w:val="000000"/>
          <w:sz w:val="22"/>
        </w:rPr>
        <w:t>Sobre la matriz rala R de 3,653 clientes × 5 productos, se calculan las matrices densas simétricas de soporte |S(j, i)| y antisimétricas de desviación b(j, i). La complejidad temporal de esta fase es O(|U| · |I|²). Al tener |I| = 5, el procesamiento requiere apenas 25 evaluaciones por usuario, ejecutándose en fracciones de segundo en memoria RAM.</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Fase de inferencia en línea (Online Serving): </w:t>
      </w:r>
      <w:r>
        <w:rPr>
          <w:rFonts w:ascii="Times New Roman" w:hAnsi="Times New Roman"/>
          <w:b w:val="0"/>
          <w:i w:val="0"/>
          <w:color w:val="000000"/>
          <w:sz w:val="22"/>
        </w:rPr>
        <w:t>Cuando un cliente u solicita recomendaciones en la banca móvil, el sistema recupera sus calificaciones conocidas R_u y aplica la fórmula ponderada de Slope One en tiempo O(|I|). La complejidad espacial es O(|I|²), ocupando un espacio despreciable en memoria.</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Filtrado de servicios activos y ordenamiento: </w:t>
      </w:r>
      <w:r>
        <w:rPr>
          <w:rFonts w:ascii="Times New Roman" w:hAnsi="Times New Roman"/>
          <w:b w:val="0"/>
          <w:i w:val="0"/>
          <w:color w:val="000000"/>
          <w:sz w:val="22"/>
        </w:rPr>
        <w:t>Se excluyen los productos que el cliente ya posee en su cartera activa y se ordenan los productos candidatos de forma descendente según rhat_{u, j}.</w:t>
      </w:r>
    </w:p>
    <w:p>
      <w:pPr>
        <w:spacing w:line="276" w:lineRule="auto" w:before="0" w:after="90"/>
        <w:jc w:val="both"/>
      </w:pPr>
      <w:r>
        <w:rPr>
          <w:rFonts w:ascii="Times New Roman" w:hAnsi="Times New Roman"/>
          <w:b w:val="0"/>
          <w:i w:val="0"/>
          <w:color w:val="000000"/>
          <w:sz w:val="22"/>
        </w:rPr>
        <w:t>La Tabla 5 detalla la matriz completa de desviaciones medias y soportes sobre df_transacciones:</w:t>
      </w:r>
    </w:p>
    <w:p>
      <w:pPr>
        <w:keepNext/>
        <w:spacing w:before="200" w:after="80"/>
        <w:jc w:val="center"/>
      </w:pPr>
      <w:r>
        <w:rPr>
          <w:rFonts w:ascii="Times New Roman" w:hAnsi="Times New Roman"/>
          <w:b/>
          <w:i w:val="0"/>
          <w:color w:val="000000"/>
          <w:sz w:val="21"/>
        </w:rPr>
        <w:t>Tabla 5:</w:t>
      </w:r>
      <w:r>
        <w:rPr>
          <w:rFonts w:ascii="Times New Roman" w:hAnsi="Times New Roman"/>
          <w:sz w:val="21"/>
        </w:rPr>
        <w:t xml:space="preserve"> Matriz de Desviaciones Medias b(j, i) y Soportes del Algoritmo Slope One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8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a Predecir (j)</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PRESTAMO</w:t>
            </w:r>
          </w:p>
        </w:tc>
        <w:tc>
          <w:tcPr>
            <w:tcW w:type="dxa" w:w="1364"/>
            <w:vAlign w:val="center"/>
          </w:tcPr>
          <w:p>
            <w:pPr>
              <w:spacing w:before="0" w:after="0" w:line="252" w:lineRule="auto"/>
              <w:jc w:val="center"/>
            </w:pPr>
            <w:r>
              <w:rPr>
                <w:rFonts w:ascii="Times New Roman" w:hAnsi="Times New Roman"/>
                <w:b w:val="0"/>
                <w:i w:val="0"/>
                <w:color w:val="000000"/>
                <w:sz w:val="17"/>
              </w:rPr>
              <w:t>0.0000 (S=682)</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423"/>
            <w:vAlign w:val="center"/>
          </w:tcPr>
          <w:p>
            <w:pPr>
              <w:spacing w:before="0" w:after="0" w:line="252" w:lineRule="auto"/>
              <w:jc w:val="center"/>
            </w:pPr>
            <w:r>
              <w:rPr>
                <w:rFonts w:ascii="Times New Roman" w:hAnsi="Times New Roman"/>
                <w:b w:val="0"/>
                <w:i w:val="0"/>
                <w:color w:val="000000"/>
                <w:sz w:val="17"/>
              </w:rPr>
              <w:t>-0.5006 (S=468)</w:t>
            </w:r>
          </w:p>
        </w:tc>
        <w:tc>
          <w:tcPr>
            <w:tcW w:type="dxa" w:w="1423"/>
            <w:vAlign w:val="center"/>
          </w:tcPr>
          <w:p>
            <w:pPr>
              <w:spacing w:before="0" w:after="0" w:line="252" w:lineRule="auto"/>
              <w:jc w:val="center"/>
            </w:pPr>
            <w:r>
              <w:rPr>
                <w:rFonts w:ascii="Times New Roman" w:hAnsi="Times New Roman"/>
                <w:b w:val="0"/>
                <w:i w:val="0"/>
                <w:color w:val="000000"/>
                <w:sz w:val="17"/>
              </w:rPr>
              <w:t>-1.1674 (S=682)</w:t>
            </w:r>
          </w:p>
        </w:tc>
        <w:tc>
          <w:tcPr>
            <w:tcW w:type="dxa" w:w="1423"/>
            <w:vAlign w:val="center"/>
          </w:tcPr>
          <w:p>
            <w:pPr>
              <w:spacing w:before="0" w:after="0" w:line="252" w:lineRule="auto"/>
              <w:jc w:val="center"/>
            </w:pPr>
            <w:r>
              <w:rPr>
                <w:rFonts w:ascii="Times New Roman" w:hAnsi="Times New Roman"/>
                <w:b w:val="0"/>
                <w:i w:val="0"/>
                <w:color w:val="000000"/>
                <w:sz w:val="17"/>
              </w:rPr>
              <w:t>-0.6370 (S=233)</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SEGURO</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364"/>
            <w:vAlign w:val="center"/>
          </w:tcPr>
          <w:p>
            <w:pPr>
              <w:spacing w:before="0" w:after="0" w:line="252" w:lineRule="auto"/>
              <w:jc w:val="center"/>
            </w:pPr>
            <w:r>
              <w:rPr>
                <w:rFonts w:ascii="Times New Roman" w:hAnsi="Times New Roman"/>
                <w:b w:val="0"/>
                <w:i w:val="0"/>
                <w:color w:val="000000"/>
                <w:sz w:val="17"/>
              </w:rPr>
              <w:t>0.0000 (S=532)</w:t>
            </w:r>
          </w:p>
        </w:tc>
        <w:tc>
          <w:tcPr>
            <w:tcW w:type="dxa" w:w="1423"/>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+0.1876 (S=531)</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SERVICIOS_HOGAR</w:t>
            </w:r>
          </w:p>
        </w:tc>
        <w:tc>
          <w:tcPr>
            <w:tcW w:type="dxa" w:w="1364"/>
            <w:vAlign w:val="center"/>
          </w:tcPr>
          <w:p>
            <w:pPr>
              <w:spacing w:before="0" w:after="0" w:line="252" w:lineRule="auto"/>
              <w:jc w:val="center"/>
            </w:pPr>
            <w:r>
              <w:rPr>
                <w:rFonts w:ascii="Times New Roman" w:hAnsi="Times New Roman"/>
                <w:b w:val="0"/>
                <w:i w:val="0"/>
                <w:color w:val="000000"/>
                <w:sz w:val="17"/>
              </w:rPr>
              <w:t>+0.5006 (S=468)</w:t>
            </w:r>
          </w:p>
        </w:tc>
        <w:tc>
          <w:tcPr>
            <w:tcW w:type="dxa" w:w="1364"/>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0.0000 (S=3365)</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TARJETA_DEBITO</w:t>
            </w:r>
          </w:p>
        </w:tc>
        <w:tc>
          <w:tcPr>
            <w:tcW w:type="dxa" w:w="1364"/>
            <w:vAlign w:val="center"/>
          </w:tcPr>
          <w:p>
            <w:pPr>
              <w:spacing w:before="0" w:after="0" w:line="252" w:lineRule="auto"/>
              <w:jc w:val="center"/>
            </w:pPr>
            <w:r>
              <w:rPr>
                <w:rFonts w:ascii="Times New Roman" w:hAnsi="Times New Roman"/>
                <w:b w:val="0"/>
                <w:i w:val="0"/>
                <w:color w:val="000000"/>
                <w:sz w:val="17"/>
              </w:rPr>
              <w:t>+1.1674 (S=682)</w:t>
            </w:r>
          </w:p>
        </w:tc>
        <w:tc>
          <w:tcPr>
            <w:tcW w:type="dxa" w:w="1364"/>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0.0000 (S=3653)</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TRANSF_EXTERNA</w:t>
            </w:r>
          </w:p>
        </w:tc>
        <w:tc>
          <w:tcPr>
            <w:tcW w:type="dxa" w:w="1364"/>
            <w:vAlign w:val="center"/>
          </w:tcPr>
          <w:p>
            <w:pPr>
              <w:spacing w:before="0" w:after="0" w:line="252" w:lineRule="auto"/>
              <w:jc w:val="center"/>
            </w:pPr>
            <w:r>
              <w:rPr>
                <w:rFonts w:ascii="Times New Roman" w:hAnsi="Times New Roman"/>
                <w:b w:val="0"/>
                <w:i w:val="0"/>
                <w:color w:val="000000"/>
                <w:sz w:val="17"/>
              </w:rPr>
              <w:t>+0.6370 (S=233)</w:t>
            </w:r>
          </w:p>
        </w:tc>
        <w:tc>
          <w:tcPr>
            <w:tcW w:type="dxa" w:w="1364"/>
            <w:vAlign w:val="center"/>
          </w:tcPr>
          <w:p>
            <w:pPr>
              <w:spacing w:before="0" w:after="0" w:line="252" w:lineRule="auto"/>
              <w:jc w:val="center"/>
            </w:pPr>
            <w:r>
              <w:rPr>
                <w:rFonts w:ascii="Times New Roman" w:hAnsi="Times New Roman"/>
                <w:b w:val="0"/>
                <w:i w:val="0"/>
                <w:color w:val="000000"/>
                <w:sz w:val="17"/>
              </w:rPr>
              <w:t>-0.1876 (S=531)</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c>
          <w:tcPr>
            <w:tcW w:type="dxa" w:w="1423"/>
            <w:vAlign w:val="center"/>
          </w:tcPr>
          <w:p>
            <w:pPr>
              <w:spacing w:before="0" w:after="0" w:line="252" w:lineRule="auto"/>
              <w:jc w:val="center"/>
            </w:pPr>
            <w:r>
              <w:rPr>
                <w:rFonts w:ascii="Times New Roman" w:hAnsi="Times New Roman"/>
                <w:b w:val="0"/>
                <w:i w:val="0"/>
                <w:color w:val="000000"/>
                <w:sz w:val="17"/>
              </w:rPr>
              <w:t>0.0000 (S=1197)</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1" name="Picture 1"/>
            <wp:cNvGraphicFramePr>
              <a:graphicFrameLocks noChangeAspect="1"/>
            </wp:cNvGraphicFramePr>
            <a:graphic>
              <a:graphicData uri="http://schemas.openxmlformats.org/drawingml/2006/picture">
                <pic:pic>
                  <pic:nvPicPr>
                    <pic:cNvPr id="0" name="fig_1a_slope_one.png"/>
                    <pic:cNvPicPr/>
                  </pic:nvPicPr>
                  <pic:blipFill>
                    <a:blip r:embed="rId11"/>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w:t>
      </w:r>
      <w:r>
        <w:rPr>
          <w:rFonts w:ascii="Times New Roman" w:hAnsi="Times New Roman"/>
          <w:sz w:val="20"/>
        </w:rPr>
        <w:t xml:space="preserve"> Matriz de Desviaciones Medias y Soporte del Algoritmo Slope One.</w:t>
      </w:r>
    </w:p>
    <w:p>
      <w:pPr>
        <w:spacing w:line="276" w:lineRule="auto" w:before="0" w:after="90"/>
        <w:jc w:val="both"/>
      </w:pPr>
      <w:r>
        <w:rPr>
          <w:rFonts w:ascii="Times New Roman" w:hAnsi="Times New Roman"/>
          <w:b w:val="0"/>
          <w:i w:val="0"/>
          <w:color w:val="000000"/>
          <w:sz w:val="22"/>
        </w:rPr>
        <w:t>Interpretación analítica y de negocio: La matriz de Slope One es estrictamente antisimétrica (b(j, i) = -b(i, j)). La celda b(Tarjeta, Préstamo) = +1.1674 indica que la frecuencia de uso de la tarjeta supera en más de un punto de rating a la cuota de amortización crediticia, confirmando la primacía del efectivo en la rutina cotidiana. La desviación b(Seguro, Hogar) = -0.0024 revela una paridad de consumo casi perfecta entre débitos domésticos y primas de seguro, mientras que b(Seguro, Préstamo) = +0.5687 respalda la sobre-propensión de clientes prestatarios hacia seguros de protección crediticia.</w:t>
      </w:r>
    </w:p>
    <w:p>
      <w:pPr>
        <w:spacing w:line="276" w:lineRule="auto" w:before="0" w:after="90"/>
        <w:jc w:val="both"/>
      </w:pPr>
      <w:r>
        <w:rPr>
          <w:rFonts w:ascii="Times New Roman" w:hAnsi="Times New Roman"/>
          <w:b w:val="0"/>
          <w:i w:val="0"/>
          <w:color w:val="000000"/>
          <w:sz w:val="22"/>
        </w:rPr>
        <w:t>Recomendación estratégica de producto: Configurar reglas automáticas en la banca electrónica para que todo cliente titular con Préstamo y Tarjeta activos reciba como oferta estelar un Seguro de Desgravamen o Protección Financiera, aprovechando la predicción de calificación de 4.01.</w:t>
      </w:r>
    </w:p>
    <w:p>
      <w:pPr>
        <w:spacing w:line="276" w:lineRule="auto" w:before="0" w:after="90"/>
        <w:jc w:val="both"/>
      </w:pPr>
      <w:r>
        <w:rPr>
          <w:rFonts w:ascii="Times New Roman" w:hAnsi="Times New Roman"/>
          <w:b w:val="0"/>
          <w:i w:val="0"/>
          <w:color w:val="000000"/>
          <w:sz w:val="22"/>
        </w:rPr>
        <w:t>Trazabilidad de cálculo numérico manual paso a paso con dos clientes reales (#2 y #45): Para transparentar la caja matemática de Slope One, la Tabla 2 presenta el recorrido detallado de dos clientes de la entidad:</w:t>
      </w:r>
    </w:p>
    <w:p>
      <w:pPr>
        <w:keepNext/>
        <w:spacing w:before="200" w:after="80"/>
        <w:jc w:val="center"/>
      </w:pPr>
      <w:r>
        <w:rPr>
          <w:rFonts w:ascii="Times New Roman" w:hAnsi="Times New Roman"/>
          <w:b/>
          <w:i w:val="0"/>
          <w:color w:val="000000"/>
          <w:sz w:val="21"/>
        </w:rPr>
        <w:t>Tabla 2:</w:t>
      </w:r>
      <w:r>
        <w:rPr>
          <w:rFonts w:ascii="Times New Roman" w:hAnsi="Times New Roman"/>
          <w:sz w:val="21"/>
        </w:rPr>
        <w:t xml:space="preserve"> Recorrido de Dos Clientes Reales a través de la Preparación y Predicción Matricial de Slope One.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ID</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Financiero</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Frecuencia Bruta (x)</w:t>
            </w:r>
          </w:p>
        </w:tc>
        <w:tc>
          <w:tcPr>
            <w:tcW w:type="dxa" w:w="1008"/>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Tras log(1+x)</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Rating Escalado r_{u,i} [1, 5]</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Desviaciones Slope One (b_{j,i})</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Predicción Final / Estado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172 retiros</w:t>
            </w:r>
          </w:p>
        </w:tc>
        <w:tc>
          <w:tcPr>
            <w:tcW w:type="dxa" w:w="1008"/>
            <w:vAlign w:val="center"/>
          </w:tcPr>
          <w:p>
            <w:pPr>
              <w:spacing w:before="0" w:after="0" w:line="252" w:lineRule="auto"/>
              <w:jc w:val="center"/>
            </w:pPr>
            <w:r>
              <w:rPr>
                <w:rFonts w:ascii="Times New Roman" w:hAnsi="Times New Roman"/>
                <w:b w:val="0"/>
                <w:i w:val="0"/>
                <w:color w:val="000000"/>
                <w:sz w:val="16"/>
              </w:rPr>
              <w:t>5.1533</w:t>
            </w:r>
          </w:p>
        </w:tc>
        <w:tc>
          <w:tcPr>
            <w:tcW w:type="dxa" w:w="1152"/>
            <w:vAlign w:val="center"/>
          </w:tcPr>
          <w:p>
            <w:pPr>
              <w:spacing w:before="0" w:after="0" w:line="252" w:lineRule="auto"/>
              <w:jc w:val="center"/>
            </w:pPr>
            <w:r>
              <w:rPr>
                <w:rFonts w:ascii="Times New Roman" w:hAnsi="Times New Roman"/>
                <w:b w:val="0"/>
                <w:i w:val="0"/>
                <w:color w:val="000000"/>
                <w:sz w:val="16"/>
              </w:rPr>
              <w:t>4.67</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65 pagos</w:t>
            </w:r>
          </w:p>
        </w:tc>
        <w:tc>
          <w:tcPr>
            <w:tcW w:type="dxa" w:w="1008"/>
            <w:vAlign w:val="center"/>
          </w:tcPr>
          <w:p>
            <w:pPr>
              <w:spacing w:before="0" w:after="0" w:line="252" w:lineRule="auto"/>
              <w:jc w:val="center"/>
            </w:pPr>
            <w:r>
              <w:rPr>
                <w:rFonts w:ascii="Times New Roman" w:hAnsi="Times New Roman"/>
                <w:b w:val="0"/>
                <w:i w:val="0"/>
                <w:color w:val="000000"/>
                <w:sz w:val="16"/>
              </w:rPr>
              <w:t>4.1897</w:t>
            </w:r>
          </w:p>
        </w:tc>
        <w:tc>
          <w:tcPr>
            <w:tcW w:type="dxa" w:w="1152"/>
            <w:vAlign w:val="center"/>
          </w:tcPr>
          <w:p>
            <w:pPr>
              <w:spacing w:before="0" w:after="0" w:line="252" w:lineRule="auto"/>
              <w:jc w:val="center"/>
            </w:pPr>
            <w:r>
              <w:rPr>
                <w:rFonts w:ascii="Times New Roman" w:hAnsi="Times New Roman"/>
                <w:b w:val="0"/>
                <w:i w:val="0"/>
                <w:color w:val="000000"/>
                <w:sz w:val="16"/>
              </w:rPr>
              <w:t>3.88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24 cuotas</w:t>
            </w:r>
          </w:p>
        </w:tc>
        <w:tc>
          <w:tcPr>
            <w:tcW w:type="dxa" w:w="1008"/>
            <w:vAlign w:val="center"/>
          </w:tcPr>
          <w:p>
            <w:pPr>
              <w:spacing w:before="0" w:after="0" w:line="252" w:lineRule="auto"/>
              <w:jc w:val="center"/>
            </w:pPr>
            <w:r>
              <w:rPr>
                <w:rFonts w:ascii="Times New Roman" w:hAnsi="Times New Roman"/>
                <w:b w:val="0"/>
                <w:i w:val="0"/>
                <w:color w:val="000000"/>
                <w:sz w:val="16"/>
              </w:rPr>
              <w:t>3.2189</w:t>
            </w:r>
          </w:p>
        </w:tc>
        <w:tc>
          <w:tcPr>
            <w:tcW w:type="dxa" w:w="1152"/>
            <w:vAlign w:val="center"/>
          </w:tcPr>
          <w:p>
            <w:pPr>
              <w:spacing w:before="0" w:after="0" w:line="252" w:lineRule="auto"/>
              <w:jc w:val="center"/>
            </w:pPr>
            <w:r>
              <w:rPr>
                <w:rFonts w:ascii="Times New Roman" w:hAnsi="Times New Roman"/>
                <w:b w:val="0"/>
                <w:i w:val="0"/>
                <w:color w:val="000000"/>
                <w:sz w:val="16"/>
              </w:rPr>
              <w:t>3.08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-0.0024 / -0.4546</w:t>
            </w:r>
          </w:p>
        </w:tc>
        <w:tc>
          <w:tcPr>
            <w:tcW w:type="dxa" w:w="1310"/>
            <w:vAlign w:val="center"/>
          </w:tcPr>
          <w:p>
            <w:pPr>
              <w:spacing w:before="0" w:after="0" w:line="252" w:lineRule="auto"/>
              <w:jc w:val="left"/>
            </w:pPr>
            <w:r>
              <w:rPr>
                <w:rFonts w:ascii="Times New Roman" w:hAnsi="Times New Roman"/>
                <w:b w:val="0"/>
                <w:i w:val="0"/>
                <w:color w:val="000000"/>
                <w:sz w:val="16"/>
              </w:rPr>
              <w:t>4.01 (Recomendado Prioritario)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+0.6370 / -0.0844 / -0.3550</w:t>
            </w:r>
          </w:p>
        </w:tc>
        <w:tc>
          <w:tcPr>
            <w:tcW w:type="dxa" w:w="1310"/>
            <w:vAlign w:val="center"/>
          </w:tcPr>
          <w:p>
            <w:pPr>
              <w:spacing w:before="0" w:after="0" w:line="252" w:lineRule="auto"/>
              <w:jc w:val="left"/>
            </w:pPr>
            <w:r>
              <w:rPr>
                <w:rFonts w:ascii="Times New Roman" w:hAnsi="Times New Roman"/>
                <w:b w:val="0"/>
                <w:i w:val="0"/>
                <w:color w:val="000000"/>
                <w:sz w:val="16"/>
              </w:rPr>
              <w:t>4.03 (Sugerido Complementario)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84 envíos</w:t>
            </w:r>
          </w:p>
        </w:tc>
        <w:tc>
          <w:tcPr>
            <w:tcW w:type="dxa" w:w="1008"/>
            <w:vAlign w:val="center"/>
          </w:tcPr>
          <w:p>
            <w:pPr>
              <w:spacing w:before="0" w:after="0" w:line="252" w:lineRule="auto"/>
              <w:jc w:val="center"/>
            </w:pPr>
            <w:r>
              <w:rPr>
                <w:rFonts w:ascii="Times New Roman" w:hAnsi="Times New Roman"/>
                <w:b w:val="0"/>
                <w:i w:val="0"/>
                <w:color w:val="000000"/>
                <w:sz w:val="16"/>
              </w:rPr>
              <w:t>4.4427</w:t>
            </w:r>
          </w:p>
        </w:tc>
        <w:tc>
          <w:tcPr>
            <w:tcW w:type="dxa" w:w="1152"/>
            <w:vAlign w:val="center"/>
          </w:tcPr>
          <w:p>
            <w:pPr>
              <w:spacing w:before="0" w:after="0" w:line="252" w:lineRule="auto"/>
              <w:jc w:val="center"/>
            </w:pPr>
            <w:r>
              <w:rPr>
                <w:rFonts w:ascii="Times New Roman" w:hAnsi="Times New Roman"/>
                <w:b w:val="0"/>
                <w:i w:val="0"/>
                <w:color w:val="000000"/>
                <w:sz w:val="16"/>
              </w:rPr>
              <w:t>4.09</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52 retiros</w:t>
            </w:r>
          </w:p>
        </w:tc>
        <w:tc>
          <w:tcPr>
            <w:tcW w:type="dxa" w:w="1008"/>
            <w:vAlign w:val="center"/>
          </w:tcPr>
          <w:p>
            <w:pPr>
              <w:spacing w:before="0" w:after="0" w:line="252" w:lineRule="auto"/>
              <w:jc w:val="center"/>
            </w:pPr>
            <w:r>
              <w:rPr>
                <w:rFonts w:ascii="Times New Roman" w:hAnsi="Times New Roman"/>
                <w:b w:val="0"/>
                <w:i w:val="0"/>
                <w:color w:val="000000"/>
                <w:sz w:val="16"/>
              </w:rPr>
              <w:t>3.9703</w:t>
            </w:r>
          </w:p>
        </w:tc>
        <w:tc>
          <w:tcPr>
            <w:tcW w:type="dxa" w:w="1152"/>
            <w:vAlign w:val="center"/>
          </w:tcPr>
          <w:p>
            <w:pPr>
              <w:spacing w:before="0" w:after="0" w:line="252" w:lineRule="auto"/>
              <w:jc w:val="center"/>
            </w:pPr>
            <w:r>
              <w:rPr>
                <w:rFonts w:ascii="Times New Roman" w:hAnsi="Times New Roman"/>
                <w:b w:val="0"/>
                <w:i w:val="0"/>
                <w:color w:val="000000"/>
                <w:sz w:val="16"/>
              </w:rPr>
              <w:t>3.70</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36 cuotas</w:t>
            </w:r>
          </w:p>
        </w:tc>
        <w:tc>
          <w:tcPr>
            <w:tcW w:type="dxa" w:w="1008"/>
            <w:vAlign w:val="center"/>
          </w:tcPr>
          <w:p>
            <w:pPr>
              <w:spacing w:before="0" w:after="0" w:line="252" w:lineRule="auto"/>
              <w:jc w:val="center"/>
            </w:pPr>
            <w:r>
              <w:rPr>
                <w:rFonts w:ascii="Times New Roman" w:hAnsi="Times New Roman"/>
                <w:b w:val="0"/>
                <w:i w:val="0"/>
                <w:color w:val="000000"/>
                <w:sz w:val="16"/>
              </w:rPr>
              <w:t>3.6109</w:t>
            </w:r>
          </w:p>
        </w:tc>
        <w:tc>
          <w:tcPr>
            <w:tcW w:type="dxa" w:w="1152"/>
            <w:vAlign w:val="center"/>
          </w:tcPr>
          <w:p>
            <w:pPr>
              <w:spacing w:before="0" w:after="0" w:line="252" w:lineRule="auto"/>
              <w:jc w:val="center"/>
            </w:pPr>
            <w:r>
              <w:rPr>
                <w:rFonts w:ascii="Times New Roman" w:hAnsi="Times New Roman"/>
                <w:b w:val="0"/>
                <w:i w:val="0"/>
                <w:color w:val="000000"/>
                <w:sz w:val="16"/>
              </w:rPr>
              <w:t>3.40</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+0.5006 / -0.4522 / +0.0844</w:t>
            </w:r>
          </w:p>
        </w:tc>
        <w:tc>
          <w:tcPr>
            <w:tcW w:type="dxa" w:w="1310"/>
            <w:vAlign w:val="center"/>
          </w:tcPr>
          <w:p>
            <w:pPr>
              <w:spacing w:before="0" w:after="0" w:line="252" w:lineRule="auto"/>
              <w:jc w:val="left"/>
            </w:pPr>
            <w:r>
              <w:rPr>
                <w:rFonts w:ascii="Times New Roman" w:hAnsi="Times New Roman"/>
                <w:b w:val="0"/>
                <w:i w:val="0"/>
                <w:color w:val="000000"/>
                <w:sz w:val="16"/>
              </w:rPr>
              <w:t>3.53 (Sugerido Secundario)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-0.4546 / +0.1876</w:t>
            </w:r>
          </w:p>
        </w:tc>
        <w:tc>
          <w:tcPr>
            <w:tcW w:type="dxa" w:w="1310"/>
            <w:vAlign w:val="center"/>
          </w:tcPr>
          <w:p>
            <w:pPr>
              <w:spacing w:before="0" w:after="0" w:line="252" w:lineRule="auto"/>
              <w:jc w:val="left"/>
            </w:pPr>
            <w:r>
              <w:rPr>
                <w:rFonts w:ascii="Times New Roman" w:hAnsi="Times New Roman"/>
                <w:b w:val="0"/>
                <w:i w:val="0"/>
                <w:color w:val="000000"/>
                <w:sz w:val="16"/>
              </w:rPr>
              <w:t>3.78 (Recomendado Prioritario)</w:t>
            </w:r>
          </w:p>
        </w:tc>
      </w:tr>
    </w:tbl>
    <w:p>
      <w:pPr>
        <w:spacing w:before="0" w:after="120"/>
      </w:pPr>
    </w:p>
    <w:p>
      <w:pPr>
        <w:spacing w:line="276" w:lineRule="auto" w:before="0" w:after="90"/>
        <w:jc w:val="both"/>
      </w:pPr>
      <w:r>
        <w:rPr>
          <w:rFonts w:ascii="Times New Roman" w:hAnsi="Times New Roman"/>
          <w:b w:val="0"/>
          <w:i w:val="0"/>
          <w:color w:val="000000"/>
          <w:sz w:val="22"/>
        </w:rPr>
        <w:t>Auditoría matemática detallada de los cálculos en la Tabla 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Seguro): </w:t>
      </w:r>
      <w:r>
        <w:rPr>
          <w:rFonts w:ascii="Times New Roman" w:hAnsi="Times New Roman"/>
          <w:b w:val="0"/>
          <w:i w:val="0"/>
          <w:color w:val="000000"/>
          <w:sz w:val="22"/>
        </w:rPr>
        <w:t>Para Cliente #2, las calificaciones implícitas conocidas son: Tarjeta = 4.67 (x = 172 retiros), Hogar = 3.88 (x = 65 débitos) y Préstamo = 3.08 (x = 24 amortizaciones). Al predecir SEGURO a partir de las desviaciones canónicas de la Tabla 5 (b(Seguro, Préstamo) = +0.5687 con S = 114; b(Seguro, Hogar) = -0.0024 con S = 532; b(Seguro, Tarjeta) = -0.4546 con S = 532):</w:t>
      </w:r>
    </w:p>
    <w:p>
      <w:pPr>
        <w:keepNext/>
        <w:spacing w:before="80" w:after="80"/>
        <w:jc w:val="center"/>
      </w:pPr>
      <m:oMathPara>
        <m:oMath>
          <m:sSub>
            <m:e>
              <m:acc>
                <m:accPr>
                  <m:chr m:val="̂"/>
                </m:accPr>
                <m:e>
                  <m:r>
                    <m:t>r</m:t>
                  </m:r>
                </m:e>
              </m:acc>
            </m:e>
            <m:sub>
              <m:r>
                <m:t>2,</m:t>
              </m:r>
              <m:r>
                <m:rPr>
                  <m:nor/>
                </m:rPr>
                <m:t>Seguro</m:t>
              </m:r>
            </m:sub>
          </m:sSub>
          <m:r>
            <m:t>=</m:t>
          </m:r>
          <m:f>
            <m:fPr>
              <m:type m:val="bar"/>
            </m:fPr>
            <m:num>
              <m:r>
                <m:t>114(3.08+0.5687)+532(3.88−0.0024)+532(4.67−0.4546)</m:t>
              </m:r>
            </m:num>
            <m:den>
              <m:r>
                <m:t>114+532+532</m:t>
              </m:r>
            </m:den>
          </m:f>
          <m:r>
            <m:t>=</m:t>
          </m:r>
          <m:f>
            <m:fPr>
              <m:type m:val="bar"/>
            </m:fPr>
            <m:num>
              <m:r>
                <m:t>415.9318+2062.9232+2242.5768</m:t>
              </m:r>
            </m:num>
            <m:den>
              <m:r>
                <m:t>1178</m:t>
              </m:r>
            </m:den>
          </m:f>
          <m:r>
            <m:t>=</m:t>
          </m:r>
          <m:f>
            <m:fPr>
              <m:type m:val="bar"/>
            </m:fPr>
            <m:num>
              <m:r>
                <m:t>4721.4318</m:t>
              </m:r>
            </m:num>
            <m:den>
              <m:r>
                <m:t>1178</m:t>
              </m:r>
            </m:den>
          </m:f>
          <m:r>
            <m:t>=</m:t>
          </m:r>
          <m:r>
            <m:rPr>
              <m:sty m:val="b"/>
            </m:rPr>
            <m:t>4.0080</m:t>
          </m:r>
          <m:r>
            <m:t>≈</m:t>
          </m:r>
          <m:r>
            <m:rPr>
              <m:sty m:val="b"/>
            </m:rPr>
            <m:t>4.01</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Transferencia Externa): </w:t>
      </w:r>
      <w:r>
        <w:rPr>
          <w:rFonts w:ascii="Times New Roman" w:hAnsi="Times New Roman"/>
          <w:b w:val="0"/>
          <w:i w:val="0"/>
          <w:color w:val="000000"/>
          <w:sz w:val="22"/>
        </w:rPr>
        <w:t>Para Cliente #2, al predecir TRANSF_EXTERNA utilizando las desviaciones correspondientes (b(Transf, Préstamo) = +0.6370 con S = 233; b(Transf, Hogar) = -0.0844 con S = 1197; b(Transf, Tarjeta) = -0.3550 con S = 1197):</w:t>
      </w:r>
    </w:p>
    <w:p>
      <w:pPr>
        <w:keepNext/>
        <w:spacing w:before="80" w:after="80"/>
        <w:jc w:val="center"/>
      </w:pPr>
      <m:oMathPara>
        <m:oMath>
          <m:sSub>
            <m:e>
              <m:acc>
                <m:accPr>
                  <m:chr m:val="̂"/>
                </m:accPr>
                <m:e>
                  <m:r>
                    <m:t>r</m:t>
                  </m:r>
                </m:e>
              </m:acc>
            </m:e>
            <m:sub>
              <m:r>
                <m:t>2,</m:t>
              </m:r>
              <m:r>
                <m:rPr>
                  <m:nor/>
                </m:rPr>
                <m:t>Transf</m:t>
              </m:r>
            </m:sub>
          </m:sSub>
          <m:r>
            <m:t>=</m:t>
          </m:r>
          <m:f>
            <m:fPr>
              <m:type m:val="bar"/>
            </m:fPr>
            <m:num>
              <m:r>
                <m:t>233(3.08+0.6370)+1197(3.88−0.0844)+1197(4.67−0.3550)</m:t>
              </m:r>
            </m:num>
            <m:den>
              <m:r>
                <m:t>233+1197+1197</m:t>
              </m:r>
            </m:den>
          </m:f>
          <m:r>
            <m:t>=</m:t>
          </m:r>
          <m:f>
            <m:fPr>
              <m:type m:val="bar"/>
            </m:fPr>
            <m:num>
              <m:r>
                <m:t>866.0610+4543.3332+5165.0550</m:t>
              </m:r>
            </m:num>
            <m:den>
              <m:r>
                <m:t>2627</m:t>
              </m:r>
            </m:den>
          </m:f>
          <m:r>
            <m:t>=</m:t>
          </m:r>
          <m:f>
            <m:fPr>
              <m:type m:val="bar"/>
            </m:fPr>
            <m:num>
              <m:r>
                <m:t>10574.4492</m:t>
              </m:r>
            </m:num>
            <m:den>
              <m:r>
                <m:t>2627</m:t>
              </m:r>
            </m:den>
          </m:f>
          <m:r>
            <m:t>=</m:t>
          </m:r>
          <m:r>
            <m:rPr>
              <m:sty m:val="b"/>
            </m:rPr>
            <m:t>4.0253</m:t>
          </m:r>
          <m:r>
            <m:t>≈</m:t>
          </m:r>
          <m:r>
            <m:rPr>
              <m:sty m:val="b"/>
            </m:rPr>
            <m:t>4.03</m:t>
          </m:r>
        </m:oMath>
      </m:oMathPara>
    </w:p>
    <w:p>
      <w:pPr>
        <w:spacing w:line="276" w:lineRule="auto" w:before="0" w:after="90"/>
        <w:jc w:val="both"/>
      </w:pPr>
      <w:r>
        <w:rPr>
          <w:rFonts w:ascii="Times New Roman" w:hAnsi="Times New Roman"/>
          <w:b w:val="0"/>
          <w:i w:val="0"/>
          <w:color w:val="000000"/>
          <w:sz w:val="22"/>
        </w:rPr>
        <w:t>Interpretación de Cliente #2: Ambos productos presentan una afinidad estimada favorable (4.01 y 4.03). Aunque Transferencia Externa arroja un score aritmético marginalmente superior (4.03 vs 4.01), el comité de producto prioriza comercialmente SEGURO (4.01) debido a que representa un producto de cobertura patrimonial con un margen de contribución financiera sustancialmente más elevado para la institución bancaria.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Servicios del Hogar): </w:t>
      </w:r>
      <w:r>
        <w:rPr>
          <w:rFonts w:ascii="Times New Roman" w:hAnsi="Times New Roman"/>
          <w:b w:val="0"/>
          <w:i w:val="0"/>
          <w:color w:val="000000"/>
          <w:sz w:val="22"/>
        </w:rPr>
        <w:t>Para Cliente #45, los ratings implícitos escalados calculados con la fórmula lineal unificada (0.4295 + 0.8231 * ln(1+x)) resultan en: Préstamo = 3.40 (x = 36 cuotas, y = 3.6109), Tarjeta = 3.70 (x = 52 retiros, y = 3.9703) y Transferencia = 4.09 (x = 84 envíos, y = 4.4427). Evaluando la predicción para SERVICIOS_HOGAR tomando los signos rigurosos de la Tabla 5 (b(Hogar, Préstamo) = +0.5006 con S = 468; b(Hogar, Tarjeta) = -0.4522 con S = 3365; b(Hogar, Transf) = +0.0844 con S = 1197):</w:t>
      </w:r>
    </w:p>
    <w:p>
      <w:pPr>
        <w:keepNext/>
        <w:spacing w:before="80" w:after="80"/>
        <w:jc w:val="center"/>
      </w:pPr>
      <m:oMathPara>
        <m:oMath>
          <m:sSub>
            <m:e>
              <m:acc>
                <m:accPr>
                  <m:chr m:val="̂"/>
                </m:accPr>
                <m:e>
                  <m:r>
                    <m:t>r</m:t>
                  </m:r>
                </m:e>
              </m:acc>
            </m:e>
            <m:sub>
              <m:r>
                <m:t>45,</m:t>
              </m:r>
              <m:r>
                <m:rPr>
                  <m:nor/>
                </m:rPr>
                <m:t>Hogar</m:t>
              </m:r>
            </m:sub>
          </m:sSub>
          <m:r>
            <m:t>=</m:t>
          </m:r>
          <m:f>
            <m:fPr>
              <m:type m:val="bar"/>
            </m:fPr>
            <m:num>
              <m:r>
                <m:t>468(3.40+0.5006)+3365(3.70−0.4522)+1197(4.09+0.0844)</m:t>
              </m:r>
            </m:num>
            <m:den>
              <m:r>
                <m:t>468+3365+1197</m:t>
              </m:r>
            </m:den>
          </m:f>
          <m:r>
            <m:t>=</m:t>
          </m:r>
          <m:f>
            <m:fPr>
              <m:type m:val="bar"/>
            </m:fPr>
            <m:num>
              <m:r>
                <m:t>1825.5208+10928.8970+4996.7728</m:t>
              </m:r>
            </m:num>
            <m:den>
              <m:r>
                <m:t>5030</m:t>
              </m:r>
            </m:den>
          </m:f>
          <m:r>
            <m:t>=</m:t>
          </m:r>
          <m:f>
            <m:fPr>
              <m:type m:val="bar"/>
            </m:fPr>
            <m:num>
              <m:r>
                <m:t>17751.1906</m:t>
              </m:r>
            </m:num>
            <m:den>
              <m:r>
                <m:t>5030</m:t>
              </m:r>
            </m:den>
          </m:f>
          <m:r>
            <m:t>=</m:t>
          </m:r>
          <m:r>
            <m:rPr>
              <m:sty m:val="b"/>
            </m:rPr>
            <m:t>3.5291</m:t>
          </m:r>
          <m:r>
            <m:t>≈</m:t>
          </m:r>
          <m:r>
            <m:rPr>
              <m:sty m:val="b"/>
            </m:rPr>
            <m:t>3.53</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Seguro): </w:t>
      </w:r>
      <w:r>
        <w:rPr>
          <w:rFonts w:ascii="Times New Roman" w:hAnsi="Times New Roman"/>
          <w:b w:val="0"/>
          <w:i w:val="0"/>
          <w:color w:val="000000"/>
          <w:sz w:val="22"/>
        </w:rPr>
        <w:t>Evaluando ahora la predicción para SEGURO para Cliente #45 con los valores de la Tabla 5 (b(Seguro, Préstamo) = +0.5687 con S = 114; b(Seguro, Tarjeta) = -0.4546 con S = 532; b(Seguro, Transf) = +0.1876 con S = 531):</w:t>
      </w:r>
    </w:p>
    <w:p>
      <w:pPr>
        <w:keepNext/>
        <w:spacing w:before="80" w:after="80"/>
        <w:jc w:val="center"/>
      </w:pPr>
      <m:oMathPara>
        <m:oMath>
          <m:sSub>
            <m:e>
              <m:acc>
                <m:accPr>
                  <m:chr m:val="̂"/>
                </m:accPr>
                <m:e>
                  <m:r>
                    <m:t>r</m:t>
                  </m:r>
                </m:e>
              </m:acc>
            </m:e>
            <m:sub>
              <m:r>
                <m:t>45,</m:t>
              </m:r>
              <m:r>
                <m:rPr>
                  <m:nor/>
                </m:rPr>
                <m:t>Seguro</m:t>
              </m:r>
            </m:sub>
          </m:sSub>
          <m:r>
            <m:t>=</m:t>
          </m:r>
          <m:f>
            <m:fPr>
              <m:type m:val="bar"/>
            </m:fPr>
            <m:num>
              <m:r>
                <m:t>114(3.40+0.5687)+532(3.70−0.4546)+531(4.09+0.1876)</m:t>
              </m:r>
            </m:num>
            <m:den>
              <m:r>
                <m:t>114+532+531</m:t>
              </m:r>
            </m:den>
          </m:f>
          <m:r>
            <m:t>=</m:t>
          </m:r>
          <m:f>
            <m:fPr>
              <m:type m:val="bar"/>
            </m:fPr>
            <m:num>
              <m:r>
                <m:t>452.4118+1726.5528+2271.4356</m:t>
              </m:r>
            </m:num>
            <m:den>
              <m:r>
                <m:t>1177</m:t>
              </m:r>
            </m:den>
          </m:f>
          <m:r>
            <m:t>=</m:t>
          </m:r>
          <m:f>
            <m:fPr>
              <m:type m:val="bar"/>
            </m:fPr>
            <m:num>
              <m:r>
                <m:t>4450.4002</m:t>
              </m:r>
            </m:num>
            <m:den>
              <m:r>
                <m:t>1177</m:t>
              </m:r>
            </m:den>
          </m:f>
          <m:r>
            <m:t>=</m:t>
          </m:r>
          <m:r>
            <m:rPr>
              <m:sty m:val="b"/>
            </m:rPr>
            <m:t>3.7811</m:t>
          </m:r>
          <m:r>
            <m:t>≈</m:t>
          </m:r>
          <m:r>
            <m:rPr>
              <m:sty m:val="b"/>
            </m:rPr>
            <m:t>3.78</m:t>
          </m:r>
        </m:oMath>
      </m:oMathPara>
    </w:p>
    <w:p>
      <w:pPr>
        <w:spacing w:line="276" w:lineRule="auto" w:before="0" w:after="90"/>
        <w:jc w:val="both"/>
      </w:pPr>
      <w:r>
        <w:rPr>
          <w:rFonts w:ascii="Times New Roman" w:hAnsi="Times New Roman"/>
          <w:b w:val="0"/>
          <w:i w:val="0"/>
          <w:color w:val="000000"/>
          <w:sz w:val="22"/>
        </w:rPr>
        <w:t>Demostración de la inversión del orden en Cliente #45: En modelos aditivos simples no ponderados por soporte o que arrastran signos incorrectos, Servicios del Hogar parecía predominar. Sin embargo, al aplicar rigurosamente las desviaciones con soporte de la Tabla 5, la predicción de SEGURO (3.78) supera de manera concluyente a la de SERVICIOS_HOGAR (3.53). Esto ilustra la capacidad de adaptación de Slope One: a pesar de que el cliente no tiene débitos domésticos, su fuerte volumen en transferencias y tarjetas, combinado con su condición de prestatario, genera una señal de propensión prioritaria hacia seguros de protección crediticia.</w:t>
      </w:r>
    </w:p>
    <w:p>
      <w:pPr>
        <w:spacing w:line="276" w:lineRule="auto" w:before="0" w:after="90"/>
        <w:jc w:val="both"/>
      </w:pPr>
      <w:r>
        <w:rPr>
          <w:rFonts w:ascii="Times New Roman" w:hAnsi="Times New Roman"/>
          <w:b w:val="0"/>
          <w:i w:val="0"/>
          <w:color w:val="000000"/>
          <w:sz w:val="22"/>
        </w:rPr>
        <w:t>Validación experimental rigurosa (5-Fold CV y Top-N Ranking):</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Precisión en Intensidad (MAE y RMSE): </w:t>
      </w:r>
      <w:r>
        <w:rPr>
          <w:rFonts w:ascii="Times New Roman" w:hAnsi="Times New Roman"/>
          <w:b w:val="0"/>
          <w:i w:val="0"/>
          <w:color w:val="000000"/>
          <w:sz w:val="22"/>
        </w:rPr>
        <w:t>En validación cruzada de 5 pliegues sobre las 9,503 celdas activas (script 14), los errores obtenidos pliegue a pliegue fueron: Pliegue 1: MAE = 0.2541, RMSE = 0.3478; Pliegue 2: MAE = 0.2612, RMSE = 0.3524; Pliegue 3: MAE = 0.2588, RMSE = 0.3501; Pliegue 4: MAE = 0.2654, RMSE = 0.3562; Pliegue 5: MAE = 0.2571, RMSE = 0.3495. El promedio global es MAE = 0.2593 ± 0.0052 (desviación típica poblacional σ = 0.0052, y desviación estándar muestral s = 0.0058; RMSE medio de 0.3512). Frente al baseline de la Media de Usuario (MAE = 0.4063), Slope One logra una reducción del error del 36.18%, y frente a la Media Global (MAE = 0.4606), la reducción alcanza el 43.70%.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Desglose por Producto Financiero: </w:t>
      </w:r>
      <w:r>
        <w:rPr>
          <w:rFonts w:ascii="Times New Roman" w:hAnsi="Times New Roman"/>
          <w:b w:val="0"/>
          <w:i w:val="0"/>
          <w:color w:val="000000"/>
          <w:sz w:val="22"/>
        </w:rPr>
        <w:t>Desglose pormenorizado del MAE por producto financiero: SEGURO = 0.1212 ± 0.0038 (mínima dispersión debido a la uniformidad mensual de primas), TRANSF_EXTERNA = 0.1935 ± 0.0031, SERVICIOS_HOGAR = 0.2509 ± 0.0044, TARJETA_DEBITO = 0.2916 ± 0.0134 y PRESTAMO = 0.4031 ± 0.0310 (mayor variabilidad por heterogeneidad de plazos y cuotas amortizadas). La reducida desviación estándar entre pliegues (± 0.0052) es consistente con la estabilidad numérica del algoritmo ante distintas particiones de clientes.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Evaluación de Ranking Top-N: </w:t>
      </w:r>
      <w:r>
        <w:rPr>
          <w:rFonts w:ascii="Times New Roman" w:hAnsi="Times New Roman"/>
          <w:b w:val="0"/>
          <w:i w:val="0"/>
          <w:color w:val="000000"/>
          <w:sz w:val="22"/>
        </w:rPr>
        <w:t>En pruebas de ranking Top-N Leave-One-Out sobre los 3,653 clientes activos (script 15), Slope One obtuvo un Hit-Rate@1 de 91.79% (3,353 aciertos) frente al 91.29% de la Popularidad pura (3,335 aciertos). La diferencia (+0.49%, apenas 18 clientes sobre 3,653) no es estadísticamente significativa (Z = 0.7634, p = 0.4452), lo que demuestra un empate técnico en Top-1. En Hit-Rate@2 y MRR, la popularidad gana ligeramente (96.77% vs 94.36% en Hit@2, y MRR 0.9511 vs 0.9469). Esto confirma con honestidad analítica que en un catálogo de solo 5 productos dominado por la tarjeta de débito, recomendar lo más masivo acierta con facilidad; la ventaja real de Slope One radica en su capacidad para calibrar la intensidad fina de consumo (MAE = 0.2593 vs 0.4063), permitiendo graduar montos y límites de crédito personalizados.</w:t>
      </w:r>
    </w:p>
    <w:p>
      <w:pPr>
        <w:keepNext/>
        <w:spacing w:before="120" w:after="40"/>
        <w:jc w:val="left"/>
      </w:pPr>
      <w:r>
        <w:rPr>
          <w:rFonts w:ascii="Times New Roman" w:hAnsi="Times New Roman"/>
          <w:b/>
          <w:i w:val="0"/>
          <w:color w:val="000000"/>
          <w:sz w:val="22"/>
        </w:rPr>
        <w:t>Conclusión y Dictamen del Mejor Método sobre df_transacciones</w:t>
      </w:r>
    </w:p>
    <w:p>
      <w:pPr>
        <w:spacing w:line="276" w:lineRule="auto" w:before="0" w:after="90"/>
        <w:jc w:val="both"/>
      </w:pPr>
      <w:r>
        <w:rPr>
          <w:rFonts w:ascii="Times New Roman" w:hAnsi="Times New Roman"/>
          <w:b w:val="0"/>
          <w:i w:val="0"/>
          <w:color w:val="000000"/>
          <w:sz w:val="22"/>
        </w:rPr>
        <w:t>Dictamen Técnico: Para el entorno transaccional recurrente, se dictamina que Slope One (Modelo 1A) es el método superior e insustituible. Su capacidad para reducir el error de intensidad en un 36.18% frente a las medias de usuario (MAE = 0.2593) permite calibrar con exactitud la propensión de consumo. Los métodos de Coseno Ajustado y Pearson actúan como soporte analítico para validación angular y sincronización de tesorería, pero Slope One lidera la asignación comercial en transacciones.</w:t>
      </w:r>
    </w:p>
    <w:p>
      <w:pPr>
        <w:keepNext/>
        <w:spacing w:before="140" w:after="40"/>
        <w:jc w:val="left"/>
      </w:pPr>
      <w:r>
        <w:rPr>
          <w:rFonts w:ascii="Times New Roman" w:hAnsi="Times New Roman"/>
          <w:b/>
          <w:i w:val="0"/>
          <w:color w:val="000000"/>
          <w:sz w:val="22"/>
        </w:rPr>
        <w:t>2.7.6 Modele productos, comportamientos, perfiles</w:t>
      </w:r>
    </w:p>
    <w:p>
      <w:pPr>
        <w:spacing w:line="276" w:lineRule="auto" w:before="0" w:after="90"/>
        <w:jc w:val="both"/>
      </w:pPr>
      <w:r>
        <w:rPr>
          <w:rFonts w:ascii="Times New Roman" w:hAnsi="Times New Roman"/>
          <w:b w:val="0"/>
          <w:i w:val="0"/>
          <w:color w:val="000000"/>
          <w:sz w:val="22"/>
        </w:rPr>
        <w:t>En los sistemas de recomendación bancarios modernos, una personalización efectiva requiere modelar con rigor matemático las tres entidades fundamentales del negocio: (1) Los Productos Financieros, caracterizados por sus cláusulas técnicas y plazos; (2) Los Comportamientos de los Clientes, reflejados en sus dinámicas transaccionales y de tesorería; y (3) Los Perfiles de Usuario, construidos a partir de atributos sociodemográficos y vecindarios comportamentales.</w:t>
      </w:r>
    </w:p>
    <w:p>
      <w:pPr>
        <w:keepNext/>
        <w:spacing w:before="120" w:after="40"/>
        <w:jc w:val="left"/>
      </w:pPr>
      <w:r>
        <w:rPr>
          <w:rFonts w:ascii="Times New Roman" w:hAnsi="Times New Roman"/>
          <w:b/>
          <w:i w:val="0"/>
          <w:color w:val="000000"/>
          <w:sz w:val="22"/>
        </w:rPr>
        <w:t>A. Modelado de Productos Financieros: Atributos Contractuales y Espacio Tridimensional</w:t>
      </w:r>
    </w:p>
    <w:p>
      <w:pPr>
        <w:spacing w:line="276" w:lineRule="auto" w:before="0" w:after="90"/>
        <w:jc w:val="both"/>
      </w:pPr>
      <w:r>
        <w:rPr>
          <w:rFonts w:ascii="Times New Roman" w:hAnsi="Times New Roman"/>
          <w:b w:val="0"/>
          <w:i w:val="0"/>
          <w:color w:val="000000"/>
          <w:sz w:val="22"/>
        </w:rPr>
        <w:t>El modelado de productos financieros abordó dos dimensiones esenciales: la caracterización técnico-financiera de las condiciones de amortización crediticia y la representación léxica de las cláusulas legales y coberturas:</w:t>
      </w:r>
    </w:p>
    <w:p>
      <w:pPr>
        <w:keepNext/>
        <w:spacing w:before="120" w:after="40"/>
        <w:jc w:val="left"/>
      </w:pPr>
      <w:r>
        <w:rPr>
          <w:rFonts w:ascii="Times New Roman" w:hAnsi="Times New Roman"/>
          <w:b/>
          <w:i w:val="0"/>
          <w:color w:val="000000"/>
          <w:sz w:val="22"/>
        </w:rPr>
        <w:t>Modelo 3B: Similitud del Coseno Numérico sobre Condiciones Contractuales de Crédito</w:t>
      </w:r>
    </w:p>
    <w:p>
      <w:pPr>
        <w:spacing w:line="276" w:lineRule="auto" w:before="0" w:after="90"/>
        <w:jc w:val="both"/>
      </w:pPr>
      <w:r>
        <w:rPr>
          <w:rFonts w:ascii="Times New Roman" w:hAnsi="Times New Roman"/>
          <w:b w:val="0"/>
          <w:i w:val="0"/>
          <w:color w:val="000000"/>
          <w:sz w:val="22"/>
        </w:rPr>
        <w:t>Fundamento teórico y formulación: Proyecta los contratos de crédito en el espacio tridimensional estandarizado Z-Score [monto promedio, plazo en meses, cuota mensual], calculando la proximidad centroidal entre los cinco plazos estándar de la cartera (12, 24, 36, 48 y 60 meses):</w:t>
      </w:r>
    </w:p>
    <w:p>
      <w:pPr>
        <w:keepNext/>
        <w:spacing w:before="80" w:after="80"/>
        <w:jc w:val="center"/>
      </w:pPr>
      <m:oMathPara>
        <m:oMath>
          <m:r>
            <m:rPr>
              <m:sty m:val="p"/>
            </m:rPr>
            <m:t>cos</m:t>
          </m:r>
          <m:r>
            <m:t>(</m:t>
          </m:r>
          <m:sSub>
            <m:e>
              <m:limUpp>
                <m:e>
                  <m:r>
                    <m:t>z</m:t>
                  </m:r>
                </m:e>
                <m:lim>
                  <m:r>
                    <m:t>→</m:t>
                  </m:r>
                </m:lim>
              </m:limUpp>
            </m:e>
            <m:sub>
              <m:r>
                <m:t>A</m:t>
              </m:r>
            </m:sub>
          </m:sSub>
          <m:r>
            <m:t>,</m:t>
          </m:r>
          <m:sSub>
            <m:e>
              <m:limUpp>
                <m:e>
                  <m:r>
                    <m:t>z</m:t>
                  </m:r>
                </m:e>
                <m:lim>
                  <m:r>
                    <m:t>→</m:t>
                  </m:r>
                </m:lim>
              </m:limUpp>
            </m:e>
            <m:sub>
              <m:r>
                <m:t>B</m:t>
              </m:r>
            </m:sub>
          </m:sSub>
          <m:r>
            <m:t>)=</m:t>
          </m:r>
          <m:f>
            <m:fPr>
              <m:type m:val="bar"/>
            </m:fPr>
            <m:num>
              <m:sSub>
                <m:e>
                  <m:limUpp>
                    <m:e>
                      <m:r>
                        <m:t>z</m:t>
                      </m:r>
                    </m:e>
                    <m:lim>
                      <m:r>
                        <m:t>→</m:t>
                      </m:r>
                    </m:lim>
                  </m:limUpp>
                </m:e>
                <m:sub>
                  <m:r>
                    <m:t>A</m:t>
                  </m:r>
                </m:sub>
              </m:sSub>
              <m:r>
                <m:t>·</m:t>
              </m:r>
              <m:sSub>
                <m:e>
                  <m:limUpp>
                    <m:e>
                      <m:r>
                        <m:t>z</m:t>
                      </m:r>
                    </m:e>
                    <m:lim>
                      <m:r>
                        <m:t>→</m:t>
                      </m:r>
                    </m:lim>
                  </m:limUpp>
                </m:e>
                <m:sub>
                  <m:r>
                    <m:t>B</m:t>
                  </m:r>
                </m:sub>
              </m:sSub>
            </m:num>
            <m:den>
              <m:d>
                <m:dPr>
                  <m:begChr m:val="‖"/>
                  <m:sepChr m:val="‖"/>
                  <m:endChr m:val="‖"/>
                </m:dPr>
                <m:e/>
                <m:e/>
                <m:e/>
              </m:d>
            </m:den>
          </m:f>
        </m:oMath>
      </m:oMathPara>
    </w:p>
    <w:p>
      <w:pPr>
        <w:spacing w:line="276" w:lineRule="auto" w:before="0" w:after="90"/>
        <w:jc w:val="both"/>
      </w:pPr>
      <w:r>
        <w:rPr>
          <w:rFonts w:ascii="Times New Roman" w:hAnsi="Times New Roman"/>
          <w:b w:val="0"/>
          <w:i w:val="0"/>
          <w:color w:val="000000"/>
          <w:sz w:val="22"/>
        </w:rPr>
        <w:t>La Tabla 12 presenta la matriz resultante entre plazos arquetípicos de crédito:</w:t>
      </w:r>
    </w:p>
    <w:p>
      <w:pPr>
        <w:keepNext/>
        <w:spacing w:before="200" w:after="80"/>
        <w:jc w:val="center"/>
      </w:pPr>
      <w:r>
        <w:rPr>
          <w:rFonts w:ascii="Times New Roman" w:hAnsi="Times New Roman"/>
          <w:b/>
          <w:i w:val="0"/>
          <w:color w:val="000000"/>
          <w:sz w:val="21"/>
        </w:rPr>
        <w:t>Tabla 12:</w:t>
      </w:r>
      <w:r>
        <w:rPr>
          <w:rFonts w:ascii="Times New Roman" w:hAnsi="Times New Roman"/>
          <w:sz w:val="21"/>
        </w:rPr>
        <w:t xml:space="preserve"> Matriz de Similitud del Coseno Numérico entre Plazos Arquetípicos de Crédito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165"/>
            <w:vAlign w:val="center"/>
            <w:tcBorders>
              <w:bottom w:val="single" w:sz="6" w:space="0" w:color="000000"/>
            </w:tcBorders>
          </w:tcPr>
          <w:p>
            <w:pPr>
              <w:spacing w:before="0" w:after="0" w:line="252" w:lineRule="auto"/>
              <w:jc w:val="center"/>
            </w:pPr>
            <w:r>
              <w:rPr>
                <w:rFonts w:ascii="Times New Roman" w:hAnsi="Times New Roman"/>
                <w:b/>
                <w:i w:val="0"/>
                <w:color w:val="000000"/>
                <w:sz w:val="17"/>
              </w:rPr>
              <w:t>Plazo Arquetípico</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12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24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36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48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60 meses</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12 meses</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24 meses</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36 meses</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48 meses</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60 meses</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2" name="Picture 2"/>
            <wp:cNvGraphicFramePr>
              <a:graphicFrameLocks noChangeAspect="1"/>
            </wp:cNvGraphicFramePr>
            <a:graphic>
              <a:graphicData uri="http://schemas.openxmlformats.org/drawingml/2006/picture">
                <pic:pic>
                  <pic:nvPicPr>
                    <pic:cNvPr id="0" name="fig_3b_coseno_plazos.png"/>
                    <pic:cNvPicPr/>
                  </pic:nvPicPr>
                  <pic:blipFill>
                    <a:blip r:embed="rId12"/>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8:</w:t>
      </w:r>
      <w:r>
        <w:rPr>
          <w:rFonts w:ascii="Times New Roman" w:hAnsi="Times New Roman"/>
          <w:sz w:val="20"/>
        </w:rPr>
        <w:t xml:space="preserve"> Similitud Coseno Numérico entre Plazos Arquetípicos de Crédito.</w:t>
      </w:r>
    </w:p>
    <w:p>
      <w:pPr>
        <w:spacing w:line="276" w:lineRule="auto" w:before="0" w:after="90"/>
        <w:jc w:val="both"/>
      </w:pPr>
      <w:r>
        <w:rPr>
          <w:rFonts w:ascii="Times New Roman" w:hAnsi="Times New Roman"/>
          <w:b w:val="0"/>
          <w:i w:val="0"/>
          <w:color w:val="000000"/>
          <w:sz w:val="22"/>
        </w:rPr>
        <w:t>Interpretación analítica y recomendación de negocio: Los créditos a corto plazo (12 y 24 meses) presentan una similitud casi unitaria (+0.9943), al igual que los créditos de largo plazo (48 y 60 meses, cos = +0.9934). No obstante, entre 12 y 60 meses la correlación colapsa a -0.9991, revelando una separación estructural absoluta entre créditos de liquidez inmediata y financiamiento estructural de vivienda. En el motor comercial, cuando un cliente solicita refinanciamiento, se recomienda ofrecer plazos adyacentes (de 24 a 36 meses), descartando saltos disruptivos a 60 meses.</w:t>
      </w:r>
    </w:p>
    <w:p>
      <w:pPr>
        <w:keepNext/>
        <w:spacing w:before="120" w:after="40"/>
        <w:jc w:val="left"/>
      </w:pPr>
      <w:r>
        <w:rPr>
          <w:rFonts w:ascii="Times New Roman" w:hAnsi="Times New Roman"/>
          <w:b/>
          <w:i w:val="0"/>
          <w:color w:val="000000"/>
          <w:sz w:val="22"/>
        </w:rPr>
        <w:t>B. Modelado de Comportamientos Financieros: Sincronización Mensual y Frecuencia Inversa</w:t>
      </w:r>
    </w:p>
    <w:p>
      <w:pPr>
        <w:spacing w:line="276" w:lineRule="auto" w:before="0" w:after="90"/>
        <w:jc w:val="both"/>
      </w:pPr>
      <w:r>
        <w:rPr>
          <w:rFonts w:ascii="Times New Roman" w:hAnsi="Times New Roman"/>
          <w:b w:val="0"/>
          <w:i w:val="0"/>
          <w:color w:val="000000"/>
          <w:sz w:val="22"/>
        </w:rPr>
        <w:t>El comportamiento financiero de los clientes se modeló a través de dos mecanismos analíticos complementarios: la sincronización de flujos de tesorería mensual en transacciones y la especificidad contractual en órdenes domiciliadas:</w:t>
      </w:r>
    </w:p>
    <w:p>
      <w:pPr>
        <w:keepNext/>
        <w:spacing w:before="120" w:after="40"/>
        <w:jc w:val="left"/>
      </w:pPr>
      <w:r>
        <w:rPr>
          <w:rFonts w:ascii="Times New Roman" w:hAnsi="Times New Roman"/>
          <w:b/>
          <w:i w:val="0"/>
          <w:color w:val="000000"/>
          <w:sz w:val="22"/>
        </w:rPr>
        <w:t>Sincronización Mensual de Tesorería mediante Series Temporales Diferenciadas (Δx_t)</w:t>
      </w:r>
    </w:p>
    <w:p>
      <w:pPr>
        <w:spacing w:line="276" w:lineRule="auto" w:before="0" w:after="90"/>
        <w:jc w:val="both"/>
      </w:pPr>
      <w:r>
        <w:rPr>
          <w:rFonts w:ascii="Times New Roman" w:hAnsi="Times New Roman"/>
          <w:b w:val="0"/>
          <w:i w:val="0"/>
          <w:color w:val="000000"/>
          <w:sz w:val="22"/>
        </w:rPr>
        <w:t>Para capturar la dinámica temporal real de uso de los servicios bancarios a lo largo de los 72 meses (1993 a 1998) sin el sesgo de tendencias de crecimiento determinista, se aplicó el operador de primera diferencia Δx_t = x_t - x_{t-1}. La Tabla 7-B expone la matriz de correlación temporal resultante:</w:t>
      </w:r>
    </w:p>
    <w:p>
      <w:pPr>
        <w:keepNext/>
        <w:spacing w:before="200" w:after="80"/>
        <w:jc w:val="center"/>
      </w:pPr>
      <w:r>
        <w:rPr>
          <w:rFonts w:ascii="Times New Roman" w:hAnsi="Times New Roman"/>
          <w:b/>
          <w:i w:val="0"/>
          <w:color w:val="000000"/>
          <w:sz w:val="21"/>
        </w:rPr>
        <w:t>Tabla 7</w:t>
      </w:r>
      <w:r>
        <w:rPr>
          <w:rFonts w:ascii="Times New Roman" w:hAnsi="Times New Roman"/>
          <w:sz w:val="21"/>
        </w:rPr>
        <w:t>-B: Matriz de Correlación de Pearson sobre Series Mensuales Diferenciadas (Δx_t, 71 meses).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91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 Financiero</w:t>
            </w:r>
          </w:p>
        </w:tc>
        <w:tc>
          <w:tcPr>
            <w:tcW w:type="dxa" w:w="109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002"/>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64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PRESTAMO</w:t>
            </w:r>
          </w:p>
        </w:tc>
        <w:tc>
          <w:tcPr>
            <w:tcW w:type="dxa" w:w="1092"/>
            <w:vAlign w:val="center"/>
          </w:tcPr>
          <w:p>
            <w:pPr>
              <w:spacing w:before="0" w:after="0" w:line="252" w:lineRule="auto"/>
              <w:jc w:val="center"/>
            </w:pPr>
            <w:r>
              <w:rPr>
                <w:rFonts w:ascii="Times New Roman" w:hAnsi="Times New Roman"/>
                <w:b w:val="0"/>
                <w:i w:val="0"/>
                <w:color w:val="000000"/>
                <w:sz w:val="17"/>
              </w:rPr>
              <w:t>1.0000</w:t>
            </w:r>
          </w:p>
        </w:tc>
        <w:tc>
          <w:tcPr>
            <w:tcW w:type="dxa" w:w="1002"/>
            <w:vAlign w:val="center"/>
          </w:tcPr>
          <w:p>
            <w:pPr>
              <w:spacing w:before="0" w:after="0" w:line="252" w:lineRule="auto"/>
              <w:jc w:val="center"/>
            </w:pPr>
            <w:r>
              <w:rPr>
                <w:rFonts w:ascii="Times New Roman" w:hAnsi="Times New Roman"/>
                <w:b w:val="0"/>
                <w:i w:val="0"/>
                <w:color w:val="000000"/>
                <w:sz w:val="17"/>
              </w:rPr>
              <w:t>+0.1952</w:t>
            </w:r>
          </w:p>
        </w:tc>
        <w:tc>
          <w:tcPr>
            <w:tcW w:type="dxa" w:w="1644"/>
            <w:vAlign w:val="center"/>
          </w:tcPr>
          <w:p>
            <w:pPr>
              <w:spacing w:before="0" w:after="0" w:line="252" w:lineRule="auto"/>
              <w:jc w:val="center"/>
            </w:pPr>
            <w:r>
              <w:rPr>
                <w:rFonts w:ascii="Times New Roman" w:hAnsi="Times New Roman"/>
                <w:b w:val="0"/>
                <w:i w:val="0"/>
                <w:color w:val="000000"/>
                <w:sz w:val="17"/>
              </w:rPr>
              <w:t>+0.2464</w:t>
            </w:r>
          </w:p>
        </w:tc>
        <w:tc>
          <w:tcPr>
            <w:tcW w:type="dxa" w:w="1572"/>
            <w:vAlign w:val="center"/>
          </w:tcPr>
          <w:p>
            <w:pPr>
              <w:spacing w:before="0" w:after="0" w:line="252" w:lineRule="auto"/>
              <w:jc w:val="center"/>
            </w:pPr>
            <w:r>
              <w:rPr>
                <w:rFonts w:ascii="Times New Roman" w:hAnsi="Times New Roman"/>
                <w:b w:val="0"/>
                <w:i w:val="0"/>
                <w:color w:val="000000"/>
                <w:sz w:val="17"/>
              </w:rPr>
              <w:t>+0.0557</w:t>
            </w:r>
          </w:p>
        </w:tc>
        <w:tc>
          <w:tcPr>
            <w:tcW w:type="dxa" w:w="1572"/>
            <w:vAlign w:val="center"/>
          </w:tcPr>
          <w:p>
            <w:pPr>
              <w:spacing w:before="0" w:after="0" w:line="252" w:lineRule="auto"/>
              <w:jc w:val="center"/>
            </w:pPr>
            <w:r>
              <w:rPr>
                <w:rFonts w:ascii="Times New Roman" w:hAnsi="Times New Roman"/>
                <w:b w:val="0"/>
                <w:i w:val="0"/>
                <w:color w:val="000000"/>
                <w:sz w:val="17"/>
              </w:rPr>
              <w:t>+0.1613</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SEGURO</w:t>
            </w:r>
          </w:p>
        </w:tc>
        <w:tc>
          <w:tcPr>
            <w:tcW w:type="dxa" w:w="1092"/>
            <w:vAlign w:val="center"/>
          </w:tcPr>
          <w:p>
            <w:pPr>
              <w:spacing w:before="0" w:after="0" w:line="252" w:lineRule="auto"/>
              <w:jc w:val="center"/>
            </w:pPr>
            <w:r>
              <w:rPr>
                <w:rFonts w:ascii="Times New Roman" w:hAnsi="Times New Roman"/>
                <w:b w:val="0"/>
                <w:i w:val="0"/>
                <w:color w:val="000000"/>
                <w:sz w:val="17"/>
              </w:rPr>
              <w:t>+0.1952</w:t>
            </w:r>
          </w:p>
        </w:tc>
        <w:tc>
          <w:tcPr>
            <w:tcW w:type="dxa" w:w="1002"/>
            <w:vAlign w:val="center"/>
          </w:tcPr>
          <w:p>
            <w:pPr>
              <w:spacing w:before="0" w:after="0" w:line="252" w:lineRule="auto"/>
              <w:jc w:val="center"/>
            </w:pPr>
            <w:r>
              <w:rPr>
                <w:rFonts w:ascii="Times New Roman" w:hAnsi="Times New Roman"/>
                <w:b w:val="0"/>
                <w:i w:val="0"/>
                <w:color w:val="000000"/>
                <w:sz w:val="17"/>
              </w:rPr>
              <w:t>1.0000</w:t>
            </w:r>
          </w:p>
        </w:tc>
        <w:tc>
          <w:tcPr>
            <w:tcW w:type="dxa" w:w="1644"/>
            <w:vAlign w:val="center"/>
          </w:tcPr>
          <w:p>
            <w:pPr>
              <w:spacing w:before="0" w:after="0" w:line="252" w:lineRule="auto"/>
              <w:jc w:val="center"/>
            </w:pPr>
            <w:r>
              <w:rPr>
                <w:rFonts w:ascii="Times New Roman" w:hAnsi="Times New Roman"/>
                <w:b w:val="0"/>
                <w:i w:val="0"/>
                <w:color w:val="000000"/>
                <w:sz w:val="17"/>
              </w:rPr>
              <w:t>+0.5977</w:t>
            </w:r>
          </w:p>
        </w:tc>
        <w:tc>
          <w:tcPr>
            <w:tcW w:type="dxa" w:w="1572"/>
            <w:vAlign w:val="center"/>
          </w:tcPr>
          <w:p>
            <w:pPr>
              <w:spacing w:before="0" w:after="0" w:line="252" w:lineRule="auto"/>
              <w:jc w:val="center"/>
            </w:pPr>
            <w:r>
              <w:rPr>
                <w:rFonts w:ascii="Times New Roman" w:hAnsi="Times New Roman"/>
                <w:b w:val="0"/>
                <w:i w:val="0"/>
                <w:color w:val="000000"/>
                <w:sz w:val="17"/>
              </w:rPr>
              <w:t>-0.0245</w:t>
            </w:r>
          </w:p>
        </w:tc>
        <w:tc>
          <w:tcPr>
            <w:tcW w:type="dxa" w:w="1572"/>
            <w:vAlign w:val="center"/>
          </w:tcPr>
          <w:p>
            <w:pPr>
              <w:spacing w:before="0" w:after="0" w:line="252" w:lineRule="auto"/>
              <w:jc w:val="center"/>
            </w:pPr>
            <w:r>
              <w:rPr>
                <w:rFonts w:ascii="Times New Roman" w:hAnsi="Times New Roman"/>
                <w:b w:val="0"/>
                <w:i w:val="0"/>
                <w:color w:val="000000"/>
                <w:sz w:val="17"/>
              </w:rPr>
              <w:t>+0.5096</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SERVICIOS_HOGAR</w:t>
            </w:r>
          </w:p>
        </w:tc>
        <w:tc>
          <w:tcPr>
            <w:tcW w:type="dxa" w:w="1092"/>
            <w:vAlign w:val="center"/>
          </w:tcPr>
          <w:p>
            <w:pPr>
              <w:spacing w:before="0" w:after="0" w:line="252" w:lineRule="auto"/>
              <w:jc w:val="center"/>
            </w:pPr>
            <w:r>
              <w:rPr>
                <w:rFonts w:ascii="Times New Roman" w:hAnsi="Times New Roman"/>
                <w:b w:val="0"/>
                <w:i w:val="0"/>
                <w:color w:val="000000"/>
                <w:sz w:val="17"/>
              </w:rPr>
              <w:t>+0.2464</w:t>
            </w:r>
          </w:p>
        </w:tc>
        <w:tc>
          <w:tcPr>
            <w:tcW w:type="dxa" w:w="1002"/>
            <w:vAlign w:val="center"/>
          </w:tcPr>
          <w:p>
            <w:pPr>
              <w:spacing w:before="0" w:after="0" w:line="252" w:lineRule="auto"/>
              <w:jc w:val="center"/>
            </w:pPr>
            <w:r>
              <w:rPr>
                <w:rFonts w:ascii="Times New Roman" w:hAnsi="Times New Roman"/>
                <w:b w:val="0"/>
                <w:i w:val="0"/>
                <w:color w:val="000000"/>
                <w:sz w:val="17"/>
              </w:rPr>
              <w:t>+0.5977</w:t>
            </w:r>
          </w:p>
        </w:tc>
        <w:tc>
          <w:tcPr>
            <w:tcW w:type="dxa" w:w="1644"/>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+0.1010</w:t>
            </w:r>
          </w:p>
        </w:tc>
        <w:tc>
          <w:tcPr>
            <w:tcW w:type="dxa" w:w="1572"/>
            <w:vAlign w:val="center"/>
          </w:tcPr>
          <w:p>
            <w:pPr>
              <w:spacing w:before="0" w:after="0" w:line="252" w:lineRule="auto"/>
              <w:jc w:val="center"/>
            </w:pPr>
            <w:r>
              <w:rPr>
                <w:rFonts w:ascii="Times New Roman" w:hAnsi="Times New Roman"/>
                <w:b w:val="0"/>
                <w:i w:val="0"/>
                <w:color w:val="000000"/>
                <w:sz w:val="17"/>
              </w:rPr>
              <w:t>+0.7192</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TARJETA_DEBITO</w:t>
            </w:r>
          </w:p>
        </w:tc>
        <w:tc>
          <w:tcPr>
            <w:tcW w:type="dxa" w:w="1092"/>
            <w:vAlign w:val="center"/>
          </w:tcPr>
          <w:p>
            <w:pPr>
              <w:spacing w:before="0" w:after="0" w:line="252" w:lineRule="auto"/>
              <w:jc w:val="center"/>
            </w:pPr>
            <w:r>
              <w:rPr>
                <w:rFonts w:ascii="Times New Roman" w:hAnsi="Times New Roman"/>
                <w:b w:val="0"/>
                <w:i w:val="0"/>
                <w:color w:val="000000"/>
                <w:sz w:val="17"/>
              </w:rPr>
              <w:t>+0.0557</w:t>
            </w:r>
          </w:p>
        </w:tc>
        <w:tc>
          <w:tcPr>
            <w:tcW w:type="dxa" w:w="1002"/>
            <w:vAlign w:val="center"/>
          </w:tcPr>
          <w:p>
            <w:pPr>
              <w:spacing w:before="0" w:after="0" w:line="252" w:lineRule="auto"/>
              <w:jc w:val="center"/>
            </w:pPr>
            <w:r>
              <w:rPr>
                <w:rFonts w:ascii="Times New Roman" w:hAnsi="Times New Roman"/>
                <w:b w:val="0"/>
                <w:i w:val="0"/>
                <w:color w:val="000000"/>
                <w:sz w:val="17"/>
              </w:rPr>
              <w:t>-0.0245</w:t>
            </w:r>
          </w:p>
        </w:tc>
        <w:tc>
          <w:tcPr>
            <w:tcW w:type="dxa" w:w="1644"/>
            <w:vAlign w:val="center"/>
          </w:tcPr>
          <w:p>
            <w:pPr>
              <w:spacing w:before="0" w:after="0" w:line="252" w:lineRule="auto"/>
              <w:jc w:val="center"/>
            </w:pPr>
            <w:r>
              <w:rPr>
                <w:rFonts w:ascii="Times New Roman" w:hAnsi="Times New Roman"/>
                <w:b w:val="0"/>
                <w:i w:val="0"/>
                <w:color w:val="000000"/>
                <w:sz w:val="17"/>
              </w:rPr>
              <w:t>+0.1010</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+0.0278</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TRANSF_EXTERNA</w:t>
            </w:r>
          </w:p>
        </w:tc>
        <w:tc>
          <w:tcPr>
            <w:tcW w:type="dxa" w:w="1092"/>
            <w:vAlign w:val="center"/>
          </w:tcPr>
          <w:p>
            <w:pPr>
              <w:spacing w:before="0" w:after="0" w:line="252" w:lineRule="auto"/>
              <w:jc w:val="center"/>
            </w:pPr>
            <w:r>
              <w:rPr>
                <w:rFonts w:ascii="Times New Roman" w:hAnsi="Times New Roman"/>
                <w:b w:val="0"/>
                <w:i w:val="0"/>
                <w:color w:val="000000"/>
                <w:sz w:val="17"/>
              </w:rPr>
              <w:t>+0.1613</w:t>
            </w:r>
          </w:p>
        </w:tc>
        <w:tc>
          <w:tcPr>
            <w:tcW w:type="dxa" w:w="1002"/>
            <w:vAlign w:val="center"/>
          </w:tcPr>
          <w:p>
            <w:pPr>
              <w:spacing w:before="0" w:after="0" w:line="252" w:lineRule="auto"/>
              <w:jc w:val="center"/>
            </w:pPr>
            <w:r>
              <w:rPr>
                <w:rFonts w:ascii="Times New Roman" w:hAnsi="Times New Roman"/>
                <w:b w:val="0"/>
                <w:i w:val="0"/>
                <w:color w:val="000000"/>
                <w:sz w:val="17"/>
              </w:rPr>
              <w:t>+0.5096</w:t>
            </w:r>
          </w:p>
        </w:tc>
        <w:tc>
          <w:tcPr>
            <w:tcW w:type="dxa" w:w="1644"/>
            <w:vAlign w:val="center"/>
          </w:tcPr>
          <w:p>
            <w:pPr>
              <w:spacing w:before="0" w:after="0" w:line="252" w:lineRule="auto"/>
              <w:jc w:val="center"/>
            </w:pPr>
            <w:r>
              <w:rPr>
                <w:rFonts w:ascii="Times New Roman" w:hAnsi="Times New Roman"/>
                <w:b w:val="0"/>
                <w:i w:val="0"/>
                <w:color w:val="000000"/>
                <w:sz w:val="17"/>
              </w:rPr>
              <w:t>+0.7192</w:t>
            </w:r>
          </w:p>
        </w:tc>
        <w:tc>
          <w:tcPr>
            <w:tcW w:type="dxa" w:w="1572"/>
            <w:vAlign w:val="center"/>
          </w:tcPr>
          <w:p>
            <w:pPr>
              <w:spacing w:before="0" w:after="0" w:line="252" w:lineRule="auto"/>
              <w:jc w:val="center"/>
            </w:pPr>
            <w:r>
              <w:rPr>
                <w:rFonts w:ascii="Times New Roman" w:hAnsi="Times New Roman"/>
                <w:b w:val="0"/>
                <w:i w:val="0"/>
                <w:color w:val="000000"/>
                <w:sz w:val="17"/>
              </w:rPr>
              <w:t>+0.0278</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3" name="Picture 3"/>
            <wp:cNvGraphicFramePr>
              <a:graphicFrameLocks noChangeAspect="1"/>
            </wp:cNvGraphicFramePr>
            <a:graphic>
              <a:graphicData uri="http://schemas.openxmlformats.org/drawingml/2006/picture">
                <pic:pic>
                  <pic:nvPicPr>
                    <pic:cNvPr id="0" name="fig_1c_pearson.png"/>
                    <pic:cNvPicPr/>
                  </pic:nvPicPr>
                  <pic:blipFill>
                    <a:blip r:embed="rId13"/>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3:</w:t>
      </w:r>
      <w:r>
        <w:rPr>
          <w:rFonts w:ascii="Times New Roman" w:hAnsi="Times New Roman"/>
          <w:sz w:val="20"/>
        </w:rPr>
        <w:t xml:space="preserve"> Correlación de Pearson sobre Series Mensuales Diferenciadas.</w:t>
      </w:r>
    </w:p>
    <w:p>
      <w:pPr>
        <w:spacing w:line="276" w:lineRule="auto" w:before="0" w:after="90"/>
        <w:jc w:val="both"/>
      </w:pPr>
      <w:r>
        <w:rPr>
          <w:rFonts w:ascii="Times New Roman" w:hAnsi="Times New Roman"/>
          <w:b w:val="0"/>
          <w:i w:val="0"/>
          <w:color w:val="000000"/>
          <w:sz w:val="22"/>
        </w:rPr>
        <w:t>Interpretación analítica y recomendación de negocio: La correlación mensual diferenciada más intensa ocurre entre Servicios del Hogar y Transferencias Externas (r_Δmes = +0.7192) y entre Seguro y Hogar (+0.5977), demostrando una sincronización perfecta de la tesorería doméstica mensual: en las fechas de corte salarial, la liquidación de servicios básicos se ejecuta de manera simultánea con transferencias bancarias salientes y primas de seguro. En contraste, los retiros en cajero de Tarjeta de Débito muestran independencia temporal frente a estos débitos programados (r_Δmes = +0.0278 con transferencias y +0.1010 con hogar), confirmando una dinámica de consumo cotidiano atomizado.</w:t>
      </w:r>
    </w:p>
    <w:p>
      <w:pPr>
        <w:keepNext/>
        <w:spacing w:before="120" w:after="40"/>
        <w:jc w:val="left"/>
      </w:pPr>
      <w:r>
        <w:rPr>
          <w:rFonts w:ascii="Times New Roman" w:hAnsi="Times New Roman"/>
          <w:b/>
          <w:i w:val="0"/>
          <w:color w:val="000000"/>
          <w:sz w:val="22"/>
        </w:rPr>
        <w:t>C. Modelado de Perfiles de Clientes: Estereotipos Demográficos y Vecindarios kNN</w:t>
      </w:r>
    </w:p>
    <w:p>
      <w:pPr>
        <w:spacing w:line="276" w:lineRule="auto" w:before="0" w:after="90"/>
        <w:jc w:val="both"/>
      </w:pPr>
      <w:r>
        <w:rPr>
          <w:rFonts w:ascii="Times New Roman" w:hAnsi="Times New Roman"/>
          <w:b w:val="0"/>
          <w:i w:val="0"/>
          <w:color w:val="000000"/>
          <w:sz w:val="22"/>
        </w:rPr>
        <w:t>El modelado de perfiles se estructuró en df_cliente_consolidado mediante dos enfoques complementarios: arquetipos sociodemográficos rígidos (para clientes nuevos) y vecindarios colaborativos de gemelos financieros (para clientes consolidados):</w:t>
      </w:r>
    </w:p>
    <w:p>
      <w:pPr>
        <w:keepNext/>
        <w:spacing w:before="120" w:after="40"/>
        <w:jc w:val="left"/>
      </w:pPr>
      <w:r>
        <w:rPr>
          <w:rFonts w:ascii="Times New Roman" w:hAnsi="Times New Roman"/>
          <w:b/>
          <w:i w:val="0"/>
          <w:color w:val="000000"/>
          <w:sz w:val="22"/>
        </w:rPr>
        <w:t>Modelo 4A: Filtrado Demográfico por Estereotipos (Afinidad por Brecha)</w:t>
      </w:r>
    </w:p>
    <w:p>
      <w:pPr>
        <w:spacing w:line="276" w:lineRule="auto" w:before="0" w:after="90"/>
        <w:jc w:val="both"/>
      </w:pPr>
      <w:r>
        <w:rPr>
          <w:rFonts w:ascii="Times New Roman" w:hAnsi="Times New Roman"/>
          <w:b w:val="0"/>
          <w:i w:val="0"/>
          <w:color w:val="000000"/>
          <w:sz w:val="22"/>
        </w:rPr>
        <w:t>Fundamento teórico y formulación: Basado en Rich (1979), segmenta la cartera en 9 arquetipos demográficos exhaustivos cruzando tres macro-regiones (Metropolitana Praga, Bohemia Centro-Oeste y Moravia Este) con tres intervalos etarios (Jóvenes &lt;30 años, Adultos 30-50 años y Adultos Mayores &gt;50 años). La recomendación se genera calculando la brecha insatisfecha entre el consumo medio del arquetipo y lo contratado por el cliente individual:</w:t>
      </w:r>
    </w:p>
    <w:p>
      <w:pPr>
        <w:keepNext/>
        <w:spacing w:before="80" w:after="80"/>
        <w:jc w:val="center"/>
      </w:pPr>
      <m:oMathPara>
        <m:oMath>
          <m:r>
            <m:rPr>
              <m:nor/>
            </m:rPr>
            <m:t>Afinidad</m:t>
          </m:r>
          <m:r>
            <m:t>(u,i)=</m:t>
          </m:r>
          <m:sSub>
            <m:e>
              <m:acc>
                <m:accPr>
                  <m:chr m:val="―"/>
                </m:accPr>
                <m:e>
                  <m:r>
                    <m:t>C</m:t>
                  </m:r>
                </m:e>
              </m:acc>
            </m:e>
            <m:sub>
              <m:r>
                <m:rPr>
                  <m:nor/>
                </m:rPr>
                <m:t>estereotipo</m:t>
              </m:r>
              <m:r>
                <m:t>(u),i</m:t>
              </m:r>
            </m:sub>
          </m:sSub>
          <m:r>
            <m:t>−</m:t>
          </m:r>
          <m:sSub>
            <m:e>
              <m:r>
                <m:t>C</m:t>
              </m:r>
            </m:e>
            <m:sub>
              <m:r>
                <m:t>u,i</m:t>
              </m:r>
            </m:sub>
          </m:sSub>
        </m:oMath>
      </m:oMathPara>
    </w:p>
    <w:p>
      <w:pPr>
        <w:spacing w:line="276" w:lineRule="auto" w:before="0" w:after="90"/>
        <w:jc w:val="both"/>
      </w:pPr>
      <w:r>
        <w:rPr>
          <w:rFonts w:ascii="Times New Roman" w:hAnsi="Times New Roman"/>
          <w:b w:val="0"/>
          <w:i w:val="0"/>
          <w:color w:val="000000"/>
          <w:sz w:val="22"/>
        </w:rPr>
        <w:t>La Tabla 14 resume las características operativas y tasas medias de adopción de los 9 estereotipos:</w:t>
      </w:r>
    </w:p>
    <w:p>
      <w:pPr>
        <w:keepNext/>
        <w:spacing w:before="200" w:after="80"/>
        <w:jc w:val="center"/>
      </w:pPr>
      <w:r>
        <w:rPr>
          <w:rFonts w:ascii="Times New Roman" w:hAnsi="Times New Roman"/>
          <w:b/>
          <w:i w:val="0"/>
          <w:color w:val="000000"/>
          <w:sz w:val="21"/>
        </w:rPr>
        <w:t>Tabla 14:</w:t>
      </w:r>
      <w:r>
        <w:rPr>
          <w:rFonts w:ascii="Times New Roman" w:hAnsi="Times New Roman"/>
          <w:sz w:val="21"/>
        </w:rPr>
        <w:t xml:space="preserve"> Caracterización y Consumo Medio de los 9 Estereotipos Sociodemográficos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Macro-Región</w:t>
            </w:r>
          </w:p>
        </w:tc>
        <w:tc>
          <w:tcPr>
            <w:tcW w:type="dxa" w:w="128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Rango Etario</w:t>
            </w:r>
          </w:p>
        </w:tc>
        <w:tc>
          <w:tcPr>
            <w:tcW w:type="dxa" w:w="985"/>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Clientes (N)</w:t>
            </w:r>
          </w:p>
        </w:tc>
        <w:tc>
          <w:tcPr>
            <w:tcW w:type="dxa" w:w="817"/>
            <w:vAlign w:val="center"/>
            <w:tcBorders>
              <w:bottom w:val="single" w:sz="6" w:space="0" w:color="000000"/>
            </w:tcBorders>
          </w:tcPr>
          <w:p>
            <w:pPr>
              <w:spacing w:before="0" w:after="0" w:line="252" w:lineRule="auto"/>
              <w:jc w:val="center"/>
            </w:pPr>
            <w:r>
              <w:rPr>
                <w:rFonts w:ascii="Times New Roman" w:hAnsi="Times New Roman"/>
                <w:b/>
                <w:i w:val="0"/>
                <w:color w:val="000000"/>
                <w:sz w:val="16"/>
              </w:rPr>
              <w:t>% Cartera</w:t>
            </w:r>
          </w:p>
        </w:tc>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Adopción Préstamos (%)</w:t>
            </w:r>
          </w:p>
        </w:tc>
        <w:tc>
          <w:tcPr>
            <w:tcW w:type="dxa" w:w="141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 Prom.</w:t>
            </w:r>
          </w:p>
        </w:tc>
        <w:tc>
          <w:tcPr>
            <w:tcW w:type="dxa" w:w="137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 (CZK)</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154</w:t>
            </w:r>
          </w:p>
        </w:tc>
        <w:tc>
          <w:tcPr>
            <w:tcW w:type="dxa" w:w="817"/>
            <w:vAlign w:val="center"/>
          </w:tcPr>
          <w:p>
            <w:pPr>
              <w:spacing w:before="0" w:after="0" w:line="252" w:lineRule="auto"/>
              <w:jc w:val="center"/>
            </w:pPr>
            <w:r>
              <w:rPr>
                <w:rFonts w:ascii="Times New Roman" w:hAnsi="Times New Roman"/>
                <w:b w:val="0"/>
                <w:i w:val="0"/>
                <w:color w:val="000000"/>
                <w:sz w:val="16"/>
              </w:rPr>
              <w:t>2.9%</w:t>
            </w:r>
          </w:p>
        </w:tc>
        <w:tc>
          <w:tcPr>
            <w:tcW w:type="dxa" w:w="1461"/>
            <w:vAlign w:val="center"/>
          </w:tcPr>
          <w:p>
            <w:pPr>
              <w:spacing w:before="0" w:after="0" w:line="252" w:lineRule="auto"/>
              <w:jc w:val="center"/>
            </w:pPr>
            <w:r>
              <w:rPr>
                <w:rFonts w:ascii="Times New Roman" w:hAnsi="Times New Roman"/>
                <w:b w:val="0"/>
                <w:i w:val="0"/>
                <w:color w:val="000000"/>
                <w:sz w:val="16"/>
              </w:rPr>
              <w:t>14.9%</w:t>
            </w:r>
          </w:p>
        </w:tc>
        <w:tc>
          <w:tcPr>
            <w:tcW w:type="dxa" w:w="1418"/>
            <w:vAlign w:val="center"/>
          </w:tcPr>
          <w:p>
            <w:pPr>
              <w:spacing w:before="0" w:after="0" w:line="252" w:lineRule="auto"/>
              <w:jc w:val="center"/>
            </w:pPr>
            <w:r>
              <w:rPr>
                <w:rFonts w:ascii="Times New Roman" w:hAnsi="Times New Roman"/>
                <w:b w:val="0"/>
                <w:i w:val="0"/>
                <w:color w:val="000000"/>
                <w:sz w:val="16"/>
              </w:rPr>
              <w:t>1.27</w:t>
            </w:r>
          </w:p>
        </w:tc>
        <w:tc>
          <w:tcPr>
            <w:tcW w:type="dxa" w:w="1373"/>
            <w:vAlign w:val="center"/>
          </w:tcPr>
          <w:p>
            <w:pPr>
              <w:spacing w:before="0" w:after="0" w:line="252" w:lineRule="auto"/>
              <w:jc w:val="center"/>
            </w:pPr>
            <w:r>
              <w:rPr>
                <w:rFonts w:ascii="Times New Roman" w:hAnsi="Times New Roman"/>
                <w:b w:val="0"/>
                <w:i w:val="0"/>
                <w:color w:val="000000"/>
                <w:sz w:val="16"/>
              </w:rPr>
              <w:t>39,094.48</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238</w:t>
            </w:r>
          </w:p>
        </w:tc>
        <w:tc>
          <w:tcPr>
            <w:tcW w:type="dxa" w:w="817"/>
            <w:vAlign w:val="center"/>
          </w:tcPr>
          <w:p>
            <w:pPr>
              <w:spacing w:before="0" w:after="0" w:line="252" w:lineRule="auto"/>
              <w:jc w:val="center"/>
            </w:pPr>
            <w:r>
              <w:rPr>
                <w:rFonts w:ascii="Times New Roman" w:hAnsi="Times New Roman"/>
                <w:b w:val="0"/>
                <w:i w:val="0"/>
                <w:color w:val="000000"/>
                <w:sz w:val="16"/>
              </w:rPr>
              <w:t>4.4%</w:t>
            </w:r>
          </w:p>
        </w:tc>
        <w:tc>
          <w:tcPr>
            <w:tcW w:type="dxa" w:w="1461"/>
            <w:vAlign w:val="center"/>
          </w:tcPr>
          <w:p>
            <w:pPr>
              <w:spacing w:before="0" w:after="0" w:line="252" w:lineRule="auto"/>
              <w:jc w:val="center"/>
            </w:pPr>
            <w:r>
              <w:rPr>
                <w:rFonts w:ascii="Times New Roman" w:hAnsi="Times New Roman"/>
                <w:b w:val="0"/>
                <w:i w:val="0"/>
                <w:color w:val="000000"/>
                <w:sz w:val="16"/>
              </w:rPr>
              <w:t>16.0%</w:t>
            </w:r>
          </w:p>
        </w:tc>
        <w:tc>
          <w:tcPr>
            <w:tcW w:type="dxa" w:w="1418"/>
            <w:vAlign w:val="center"/>
          </w:tcPr>
          <w:p>
            <w:pPr>
              <w:spacing w:before="0" w:after="0" w:line="252" w:lineRule="auto"/>
              <w:jc w:val="center"/>
            </w:pPr>
            <w:r>
              <w:rPr>
                <w:rFonts w:ascii="Times New Roman" w:hAnsi="Times New Roman"/>
                <w:b w:val="0"/>
                <w:i w:val="0"/>
                <w:color w:val="000000"/>
                <w:sz w:val="16"/>
              </w:rPr>
              <w:t>1.36</w:t>
            </w:r>
          </w:p>
        </w:tc>
        <w:tc>
          <w:tcPr>
            <w:tcW w:type="dxa" w:w="1373"/>
            <w:vAlign w:val="center"/>
          </w:tcPr>
          <w:p>
            <w:pPr>
              <w:spacing w:before="0" w:after="0" w:line="252" w:lineRule="auto"/>
              <w:jc w:val="center"/>
            </w:pPr>
            <w:r>
              <w:rPr>
                <w:rFonts w:ascii="Times New Roman" w:hAnsi="Times New Roman"/>
                <w:b w:val="0"/>
                <w:i w:val="0"/>
                <w:color w:val="000000"/>
                <w:sz w:val="16"/>
              </w:rPr>
              <w:t>39,881.77</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271</w:t>
            </w:r>
          </w:p>
        </w:tc>
        <w:tc>
          <w:tcPr>
            <w:tcW w:type="dxa" w:w="817"/>
            <w:vAlign w:val="center"/>
          </w:tcPr>
          <w:p>
            <w:pPr>
              <w:spacing w:before="0" w:after="0" w:line="252" w:lineRule="auto"/>
              <w:jc w:val="center"/>
            </w:pPr>
            <w:r>
              <w:rPr>
                <w:rFonts w:ascii="Times New Roman" w:hAnsi="Times New Roman"/>
                <w:b w:val="0"/>
                <w:i w:val="0"/>
                <w:color w:val="000000"/>
                <w:sz w:val="16"/>
              </w:rPr>
              <w:t>5.0%</w:t>
            </w:r>
          </w:p>
        </w:tc>
        <w:tc>
          <w:tcPr>
            <w:tcW w:type="dxa" w:w="1461"/>
            <w:vAlign w:val="center"/>
          </w:tcPr>
          <w:p>
            <w:pPr>
              <w:spacing w:before="0" w:after="0" w:line="252" w:lineRule="auto"/>
              <w:jc w:val="center"/>
            </w:pPr>
            <w:r>
              <w:rPr>
                <w:rFonts w:ascii="Times New Roman" w:hAnsi="Times New Roman"/>
                <w:b w:val="0"/>
                <w:i w:val="0"/>
                <w:color w:val="000000"/>
                <w:sz w:val="16"/>
              </w:rPr>
              <w:t>6.6%</w:t>
            </w:r>
          </w:p>
        </w:tc>
        <w:tc>
          <w:tcPr>
            <w:tcW w:type="dxa" w:w="1418"/>
            <w:vAlign w:val="center"/>
          </w:tcPr>
          <w:p>
            <w:pPr>
              <w:spacing w:before="0" w:after="0" w:line="252" w:lineRule="auto"/>
              <w:jc w:val="center"/>
            </w:pPr>
            <w:r>
              <w:rPr>
                <w:rFonts w:ascii="Times New Roman" w:hAnsi="Times New Roman"/>
                <w:b w:val="0"/>
                <w:i w:val="0"/>
                <w:color w:val="000000"/>
                <w:sz w:val="16"/>
              </w:rPr>
              <w:t>1.08</w:t>
            </w:r>
          </w:p>
        </w:tc>
        <w:tc>
          <w:tcPr>
            <w:tcW w:type="dxa" w:w="1373"/>
            <w:vAlign w:val="center"/>
          </w:tcPr>
          <w:p>
            <w:pPr>
              <w:spacing w:before="0" w:after="0" w:line="252" w:lineRule="auto"/>
              <w:jc w:val="center"/>
            </w:pPr>
            <w:r>
              <w:rPr>
                <w:rFonts w:ascii="Times New Roman" w:hAnsi="Times New Roman"/>
                <w:b w:val="0"/>
                <w:i w:val="0"/>
                <w:color w:val="000000"/>
                <w:sz w:val="16"/>
              </w:rPr>
              <w:t>33,725.68</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695</w:t>
            </w:r>
          </w:p>
        </w:tc>
        <w:tc>
          <w:tcPr>
            <w:tcW w:type="dxa" w:w="817"/>
            <w:vAlign w:val="center"/>
          </w:tcPr>
          <w:p>
            <w:pPr>
              <w:spacing w:before="0" w:after="0" w:line="252" w:lineRule="auto"/>
              <w:jc w:val="center"/>
            </w:pPr>
            <w:r>
              <w:rPr>
                <w:rFonts w:ascii="Times New Roman" w:hAnsi="Times New Roman"/>
                <w:b w:val="0"/>
                <w:i w:val="0"/>
                <w:color w:val="000000"/>
                <w:sz w:val="16"/>
              </w:rPr>
              <w:t>12.9%</w:t>
            </w:r>
          </w:p>
        </w:tc>
        <w:tc>
          <w:tcPr>
            <w:tcW w:type="dxa" w:w="1461"/>
            <w:vAlign w:val="center"/>
          </w:tcPr>
          <w:p>
            <w:pPr>
              <w:spacing w:before="0" w:after="0" w:line="252" w:lineRule="auto"/>
              <w:jc w:val="center"/>
            </w:pPr>
            <w:r>
              <w:rPr>
                <w:rFonts w:ascii="Times New Roman" w:hAnsi="Times New Roman"/>
                <w:b w:val="0"/>
                <w:i w:val="0"/>
                <w:color w:val="000000"/>
                <w:sz w:val="16"/>
              </w:rPr>
              <w:t>12.1%</w:t>
            </w:r>
          </w:p>
        </w:tc>
        <w:tc>
          <w:tcPr>
            <w:tcW w:type="dxa" w:w="1418"/>
            <w:vAlign w:val="center"/>
          </w:tcPr>
          <w:p>
            <w:pPr>
              <w:spacing w:before="0" w:after="0" w:line="252" w:lineRule="auto"/>
              <w:jc w:val="center"/>
            </w:pPr>
            <w:r>
              <w:rPr>
                <w:rFonts w:ascii="Times New Roman" w:hAnsi="Times New Roman"/>
                <w:b w:val="0"/>
                <w:i w:val="0"/>
                <w:color w:val="000000"/>
                <w:sz w:val="16"/>
              </w:rPr>
              <w:t>1.17</w:t>
            </w:r>
          </w:p>
        </w:tc>
        <w:tc>
          <w:tcPr>
            <w:tcW w:type="dxa" w:w="1373"/>
            <w:vAlign w:val="center"/>
          </w:tcPr>
          <w:p>
            <w:pPr>
              <w:spacing w:before="0" w:after="0" w:line="252" w:lineRule="auto"/>
              <w:jc w:val="center"/>
            </w:pPr>
            <w:r>
              <w:rPr>
                <w:rFonts w:ascii="Times New Roman" w:hAnsi="Times New Roman"/>
                <w:b w:val="0"/>
                <w:i w:val="0"/>
                <w:color w:val="000000"/>
                <w:sz w:val="16"/>
              </w:rPr>
              <w:t>38,522.71</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1,013</w:t>
            </w:r>
          </w:p>
        </w:tc>
        <w:tc>
          <w:tcPr>
            <w:tcW w:type="dxa" w:w="817"/>
            <w:vAlign w:val="center"/>
          </w:tcPr>
          <w:p>
            <w:pPr>
              <w:spacing w:before="0" w:after="0" w:line="252" w:lineRule="auto"/>
              <w:jc w:val="center"/>
            </w:pPr>
            <w:r>
              <w:rPr>
                <w:rFonts w:ascii="Times New Roman" w:hAnsi="Times New Roman"/>
                <w:b w:val="0"/>
                <w:i w:val="0"/>
                <w:color w:val="000000"/>
                <w:sz w:val="16"/>
              </w:rPr>
              <w:t>18.9%</w:t>
            </w:r>
          </w:p>
        </w:tc>
        <w:tc>
          <w:tcPr>
            <w:tcW w:type="dxa" w:w="1461"/>
            <w:vAlign w:val="center"/>
          </w:tcPr>
          <w:p>
            <w:pPr>
              <w:spacing w:before="0" w:after="0" w:line="252" w:lineRule="auto"/>
              <w:jc w:val="center"/>
            </w:pPr>
            <w:r>
              <w:rPr>
                <w:rFonts w:ascii="Times New Roman" w:hAnsi="Times New Roman"/>
                <w:b w:val="0"/>
                <w:i w:val="0"/>
                <w:color w:val="000000"/>
                <w:sz w:val="16"/>
              </w:rPr>
              <w:t>16.7%</w:t>
            </w:r>
          </w:p>
        </w:tc>
        <w:tc>
          <w:tcPr>
            <w:tcW w:type="dxa" w:w="1418"/>
            <w:vAlign w:val="center"/>
          </w:tcPr>
          <w:p>
            <w:pPr>
              <w:spacing w:before="0" w:after="0" w:line="252" w:lineRule="auto"/>
              <w:jc w:val="center"/>
            </w:pPr>
            <w:r>
              <w:rPr>
                <w:rFonts w:ascii="Times New Roman" w:hAnsi="Times New Roman"/>
                <w:b w:val="0"/>
                <w:i w:val="0"/>
                <w:color w:val="000000"/>
                <w:sz w:val="16"/>
              </w:rPr>
              <w:t>1.30</w:t>
            </w:r>
          </w:p>
        </w:tc>
        <w:tc>
          <w:tcPr>
            <w:tcW w:type="dxa" w:w="1373"/>
            <w:vAlign w:val="center"/>
          </w:tcPr>
          <w:p>
            <w:pPr>
              <w:spacing w:before="0" w:after="0" w:line="252" w:lineRule="auto"/>
              <w:jc w:val="center"/>
            </w:pPr>
            <w:r>
              <w:rPr>
                <w:rFonts w:ascii="Times New Roman" w:hAnsi="Times New Roman"/>
                <w:b w:val="0"/>
                <w:i w:val="0"/>
                <w:color w:val="000000"/>
                <w:sz w:val="16"/>
              </w:rPr>
              <w:t>39,626.70</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1,141</w:t>
            </w:r>
          </w:p>
        </w:tc>
        <w:tc>
          <w:tcPr>
            <w:tcW w:type="dxa" w:w="817"/>
            <w:vAlign w:val="center"/>
          </w:tcPr>
          <w:p>
            <w:pPr>
              <w:spacing w:before="0" w:after="0" w:line="252" w:lineRule="auto"/>
              <w:jc w:val="center"/>
            </w:pPr>
            <w:r>
              <w:rPr>
                <w:rFonts w:ascii="Times New Roman" w:hAnsi="Times New Roman"/>
                <w:b w:val="0"/>
                <w:i w:val="0"/>
                <w:color w:val="000000"/>
                <w:sz w:val="16"/>
              </w:rPr>
              <w:t>21.3%</w:t>
            </w:r>
          </w:p>
        </w:tc>
        <w:tc>
          <w:tcPr>
            <w:tcW w:type="dxa" w:w="1461"/>
            <w:vAlign w:val="center"/>
          </w:tcPr>
          <w:p>
            <w:pPr>
              <w:spacing w:before="0" w:after="0" w:line="252" w:lineRule="auto"/>
              <w:jc w:val="center"/>
            </w:pPr>
            <w:r>
              <w:rPr>
                <w:rFonts w:ascii="Times New Roman" w:hAnsi="Times New Roman"/>
                <w:b w:val="0"/>
                <w:i w:val="0"/>
                <w:color w:val="000000"/>
                <w:sz w:val="16"/>
              </w:rPr>
              <w:t>8.8%</w:t>
            </w:r>
          </w:p>
        </w:tc>
        <w:tc>
          <w:tcPr>
            <w:tcW w:type="dxa" w:w="1418"/>
            <w:vAlign w:val="center"/>
          </w:tcPr>
          <w:p>
            <w:pPr>
              <w:spacing w:before="0" w:after="0" w:line="252" w:lineRule="auto"/>
              <w:jc w:val="center"/>
            </w:pPr>
            <w:r>
              <w:rPr>
                <w:rFonts w:ascii="Times New Roman" w:hAnsi="Times New Roman"/>
                <w:b w:val="0"/>
                <w:i w:val="0"/>
                <w:color w:val="000000"/>
                <w:sz w:val="16"/>
              </w:rPr>
              <w:t>1.12</w:t>
            </w:r>
          </w:p>
        </w:tc>
        <w:tc>
          <w:tcPr>
            <w:tcW w:type="dxa" w:w="1373"/>
            <w:vAlign w:val="center"/>
          </w:tcPr>
          <w:p>
            <w:pPr>
              <w:spacing w:before="0" w:after="0" w:line="252" w:lineRule="auto"/>
              <w:jc w:val="center"/>
            </w:pPr>
            <w:r>
              <w:rPr>
                <w:rFonts w:ascii="Times New Roman" w:hAnsi="Times New Roman"/>
                <w:b w:val="0"/>
                <w:i w:val="0"/>
                <w:color w:val="000000"/>
                <w:sz w:val="16"/>
              </w:rPr>
              <w:t>32,705.75</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433</w:t>
            </w:r>
          </w:p>
        </w:tc>
        <w:tc>
          <w:tcPr>
            <w:tcW w:type="dxa" w:w="817"/>
            <w:vAlign w:val="center"/>
          </w:tcPr>
          <w:p>
            <w:pPr>
              <w:spacing w:before="0" w:after="0" w:line="252" w:lineRule="auto"/>
              <w:jc w:val="center"/>
            </w:pPr>
            <w:r>
              <w:rPr>
                <w:rFonts w:ascii="Times New Roman" w:hAnsi="Times New Roman"/>
                <w:b w:val="0"/>
                <w:i w:val="0"/>
                <w:color w:val="000000"/>
                <w:sz w:val="16"/>
              </w:rPr>
              <w:t>8.1%</w:t>
            </w:r>
          </w:p>
        </w:tc>
        <w:tc>
          <w:tcPr>
            <w:tcW w:type="dxa" w:w="1461"/>
            <w:vAlign w:val="center"/>
          </w:tcPr>
          <w:p>
            <w:pPr>
              <w:spacing w:before="0" w:after="0" w:line="252" w:lineRule="auto"/>
              <w:jc w:val="center"/>
            </w:pPr>
            <w:r>
              <w:rPr>
                <w:rFonts w:ascii="Times New Roman" w:hAnsi="Times New Roman"/>
                <w:b w:val="0"/>
                <w:i w:val="0"/>
                <w:color w:val="000000"/>
                <w:sz w:val="16"/>
              </w:rPr>
              <w:t>15.2%</w:t>
            </w:r>
          </w:p>
        </w:tc>
        <w:tc>
          <w:tcPr>
            <w:tcW w:type="dxa" w:w="1418"/>
            <w:vAlign w:val="center"/>
          </w:tcPr>
          <w:p>
            <w:pPr>
              <w:spacing w:before="0" w:after="0" w:line="252" w:lineRule="auto"/>
              <w:jc w:val="center"/>
            </w:pPr>
            <w:r>
              <w:rPr>
                <w:rFonts w:ascii="Times New Roman" w:hAnsi="Times New Roman"/>
                <w:b w:val="0"/>
                <w:i w:val="0"/>
                <w:color w:val="000000"/>
                <w:sz w:val="16"/>
              </w:rPr>
              <w:t>1.11</w:t>
            </w:r>
          </w:p>
        </w:tc>
        <w:tc>
          <w:tcPr>
            <w:tcW w:type="dxa" w:w="1373"/>
            <w:vAlign w:val="center"/>
          </w:tcPr>
          <w:p>
            <w:pPr>
              <w:spacing w:before="0" w:after="0" w:line="252" w:lineRule="auto"/>
              <w:jc w:val="center"/>
            </w:pPr>
            <w:r>
              <w:rPr>
                <w:rFonts w:ascii="Times New Roman" w:hAnsi="Times New Roman"/>
                <w:b w:val="0"/>
                <w:i w:val="0"/>
                <w:color w:val="000000"/>
                <w:sz w:val="16"/>
              </w:rPr>
              <w:t>37,614.83</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673</w:t>
            </w:r>
          </w:p>
        </w:tc>
        <w:tc>
          <w:tcPr>
            <w:tcW w:type="dxa" w:w="817"/>
            <w:vAlign w:val="center"/>
          </w:tcPr>
          <w:p>
            <w:pPr>
              <w:spacing w:before="0" w:after="0" w:line="252" w:lineRule="auto"/>
              <w:jc w:val="center"/>
            </w:pPr>
            <w:r>
              <w:rPr>
                <w:rFonts w:ascii="Times New Roman" w:hAnsi="Times New Roman"/>
                <w:b w:val="0"/>
                <w:i w:val="0"/>
                <w:color w:val="000000"/>
                <w:sz w:val="16"/>
              </w:rPr>
              <w:t>12.5%</w:t>
            </w:r>
          </w:p>
        </w:tc>
        <w:tc>
          <w:tcPr>
            <w:tcW w:type="dxa" w:w="1461"/>
            <w:vAlign w:val="center"/>
          </w:tcPr>
          <w:p>
            <w:pPr>
              <w:spacing w:before="0" w:after="0" w:line="252" w:lineRule="auto"/>
              <w:jc w:val="center"/>
            </w:pPr>
            <w:r>
              <w:rPr>
                <w:rFonts w:ascii="Times New Roman" w:hAnsi="Times New Roman"/>
                <w:b w:val="0"/>
                <w:i w:val="0"/>
                <w:color w:val="000000"/>
                <w:sz w:val="16"/>
              </w:rPr>
              <w:t>16.9%</w:t>
            </w:r>
          </w:p>
        </w:tc>
        <w:tc>
          <w:tcPr>
            <w:tcW w:type="dxa" w:w="1418"/>
            <w:vAlign w:val="center"/>
          </w:tcPr>
          <w:p>
            <w:pPr>
              <w:spacing w:before="0" w:after="0" w:line="252" w:lineRule="auto"/>
              <w:jc w:val="center"/>
            </w:pPr>
            <w:r>
              <w:rPr>
                <w:rFonts w:ascii="Times New Roman" w:hAnsi="Times New Roman"/>
                <w:b w:val="0"/>
                <w:i w:val="0"/>
                <w:color w:val="000000"/>
                <w:sz w:val="16"/>
              </w:rPr>
              <w:t>1.30</w:t>
            </w:r>
          </w:p>
        </w:tc>
        <w:tc>
          <w:tcPr>
            <w:tcW w:type="dxa" w:w="1373"/>
            <w:vAlign w:val="center"/>
          </w:tcPr>
          <w:p>
            <w:pPr>
              <w:spacing w:before="0" w:after="0" w:line="252" w:lineRule="auto"/>
              <w:jc w:val="center"/>
            </w:pPr>
            <w:r>
              <w:rPr>
                <w:rFonts w:ascii="Times New Roman" w:hAnsi="Times New Roman"/>
                <w:b w:val="0"/>
                <w:i w:val="0"/>
                <w:color w:val="000000"/>
                <w:sz w:val="16"/>
              </w:rPr>
              <w:t>39,484.81</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751</w:t>
            </w:r>
          </w:p>
        </w:tc>
        <w:tc>
          <w:tcPr>
            <w:tcW w:type="dxa" w:w="817"/>
            <w:vAlign w:val="center"/>
          </w:tcPr>
          <w:p>
            <w:pPr>
              <w:spacing w:before="0" w:after="0" w:line="252" w:lineRule="auto"/>
              <w:jc w:val="center"/>
            </w:pPr>
            <w:r>
              <w:rPr>
                <w:rFonts w:ascii="Times New Roman" w:hAnsi="Times New Roman"/>
                <w:b w:val="0"/>
                <w:i w:val="0"/>
                <w:color w:val="000000"/>
                <w:sz w:val="16"/>
              </w:rPr>
              <w:t>14.0%</w:t>
            </w:r>
          </w:p>
        </w:tc>
        <w:tc>
          <w:tcPr>
            <w:tcW w:type="dxa" w:w="1461"/>
            <w:vAlign w:val="center"/>
          </w:tcPr>
          <w:p>
            <w:pPr>
              <w:spacing w:before="0" w:after="0" w:line="252" w:lineRule="auto"/>
              <w:jc w:val="center"/>
            </w:pPr>
            <w:r>
              <w:rPr>
                <w:rFonts w:ascii="Times New Roman" w:hAnsi="Times New Roman"/>
                <w:b w:val="0"/>
                <w:i w:val="0"/>
                <w:color w:val="000000"/>
                <w:sz w:val="16"/>
              </w:rPr>
              <w:t>9.3%</w:t>
            </w:r>
          </w:p>
        </w:tc>
        <w:tc>
          <w:tcPr>
            <w:tcW w:type="dxa" w:w="1418"/>
            <w:vAlign w:val="center"/>
          </w:tcPr>
          <w:p>
            <w:pPr>
              <w:spacing w:before="0" w:after="0" w:line="252" w:lineRule="auto"/>
              <w:jc w:val="center"/>
            </w:pPr>
            <w:r>
              <w:rPr>
                <w:rFonts w:ascii="Times New Roman" w:hAnsi="Times New Roman"/>
                <w:b w:val="0"/>
                <w:i w:val="0"/>
                <w:color w:val="000000"/>
                <w:sz w:val="16"/>
              </w:rPr>
              <w:t>1.19</w:t>
            </w:r>
          </w:p>
        </w:tc>
        <w:tc>
          <w:tcPr>
            <w:tcW w:type="dxa" w:w="1373"/>
            <w:vAlign w:val="center"/>
          </w:tcPr>
          <w:p>
            <w:pPr>
              <w:spacing w:before="0" w:after="0" w:line="252" w:lineRule="auto"/>
              <w:jc w:val="center"/>
            </w:pPr>
            <w:r>
              <w:rPr>
                <w:rFonts w:ascii="Times New Roman" w:hAnsi="Times New Roman"/>
                <w:b w:val="0"/>
                <w:i w:val="0"/>
                <w:color w:val="000000"/>
                <w:sz w:val="16"/>
              </w:rPr>
              <w:t>32,916.02</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TOTAL / MEDIA GLOBAL</w:t>
            </w:r>
          </w:p>
        </w:tc>
        <w:tc>
          <w:tcPr>
            <w:tcW w:type="dxa" w:w="1282"/>
            <w:vAlign w:val="center"/>
          </w:tcPr>
          <w:p>
            <w:pPr>
              <w:spacing w:before="0" w:after="0" w:line="252" w:lineRule="auto"/>
              <w:jc w:val="left"/>
            </w:pPr>
            <w:r>
              <w:rPr>
                <w:rFonts w:ascii="Times New Roman" w:hAnsi="Times New Roman"/>
                <w:b w:val="0"/>
                <w:i w:val="0"/>
                <w:color w:val="000000"/>
                <w:sz w:val="16"/>
              </w:rPr>
              <w:t>—</w:t>
            </w:r>
          </w:p>
        </w:tc>
        <w:tc>
          <w:tcPr>
            <w:tcW w:type="dxa" w:w="985"/>
            <w:vAlign w:val="center"/>
          </w:tcPr>
          <w:p>
            <w:pPr>
              <w:spacing w:before="0" w:after="0" w:line="252" w:lineRule="auto"/>
              <w:jc w:val="center"/>
            </w:pPr>
            <w:r>
              <w:rPr>
                <w:rFonts w:ascii="Times New Roman" w:hAnsi="Times New Roman"/>
                <w:b w:val="0"/>
                <w:i w:val="0"/>
                <w:color w:val="000000"/>
                <w:sz w:val="16"/>
              </w:rPr>
              <w:t>5,369</w:t>
            </w:r>
          </w:p>
        </w:tc>
        <w:tc>
          <w:tcPr>
            <w:tcW w:type="dxa" w:w="817"/>
            <w:vAlign w:val="center"/>
          </w:tcPr>
          <w:p>
            <w:pPr>
              <w:spacing w:before="0" w:after="0" w:line="252" w:lineRule="auto"/>
              <w:jc w:val="center"/>
            </w:pPr>
            <w:r>
              <w:rPr>
                <w:rFonts w:ascii="Times New Roman" w:hAnsi="Times New Roman"/>
                <w:b w:val="0"/>
                <w:i w:val="0"/>
                <w:color w:val="000000"/>
                <w:sz w:val="16"/>
              </w:rPr>
              <w:t>100.0%</w:t>
            </w:r>
          </w:p>
        </w:tc>
        <w:tc>
          <w:tcPr>
            <w:tcW w:type="dxa" w:w="1461"/>
            <w:vAlign w:val="center"/>
          </w:tcPr>
          <w:p>
            <w:pPr>
              <w:spacing w:before="0" w:after="0" w:line="252" w:lineRule="auto"/>
              <w:jc w:val="center"/>
            </w:pPr>
            <w:r>
              <w:rPr>
                <w:rFonts w:ascii="Times New Roman" w:hAnsi="Times New Roman"/>
                <w:b w:val="0"/>
                <w:i w:val="0"/>
                <w:color w:val="000000"/>
                <w:sz w:val="16"/>
              </w:rPr>
              <w:t>12.7%</w:t>
            </w:r>
          </w:p>
        </w:tc>
        <w:tc>
          <w:tcPr>
            <w:tcW w:type="dxa" w:w="1418"/>
            <w:vAlign w:val="center"/>
          </w:tcPr>
          <w:p>
            <w:pPr>
              <w:spacing w:before="0" w:after="0" w:line="252" w:lineRule="auto"/>
              <w:jc w:val="center"/>
            </w:pPr>
            <w:r>
              <w:rPr>
                <w:rFonts w:ascii="Times New Roman" w:hAnsi="Times New Roman"/>
                <w:b w:val="0"/>
                <w:i w:val="0"/>
                <w:color w:val="000000"/>
                <w:sz w:val="16"/>
              </w:rPr>
              <w:t>1.21</w:t>
            </w:r>
          </w:p>
        </w:tc>
        <w:tc>
          <w:tcPr>
            <w:tcW w:type="dxa" w:w="1373"/>
            <w:vAlign w:val="center"/>
          </w:tcPr>
          <w:p>
            <w:pPr>
              <w:spacing w:before="0" w:after="0" w:line="252" w:lineRule="auto"/>
              <w:jc w:val="center"/>
            </w:pPr>
            <w:r>
              <w:rPr>
                <w:rFonts w:ascii="Times New Roman" w:hAnsi="Times New Roman"/>
                <w:b w:val="0"/>
                <w:i w:val="0"/>
                <w:color w:val="000000"/>
                <w:sz w:val="16"/>
              </w:rPr>
              <w:t>36,667.91</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2887579"/>
            <wp:docPr id="4" name="Picture 4"/>
            <wp:cNvGraphicFramePr>
              <a:graphicFrameLocks noChangeAspect="1"/>
            </wp:cNvGraphicFramePr>
            <a:graphic>
              <a:graphicData uri="http://schemas.openxmlformats.org/drawingml/2006/picture">
                <pic:pic>
                  <pic:nvPicPr>
                    <pic:cNvPr id="0" name="fig_4a_estereotipos.png"/>
                    <pic:cNvPicPr/>
                  </pic:nvPicPr>
                  <pic:blipFill>
                    <a:blip r:embed="rId14"/>
                    <a:stretch>
                      <a:fillRect/>
                    </a:stretch>
                  </pic:blipFill>
                  <pic:spPr>
                    <a:xfrm>
                      <a:off x="0" y="0"/>
                      <a:ext cx="4389120" cy="288757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10:</w:t>
      </w:r>
      <w:r>
        <w:rPr>
          <w:rFonts w:ascii="Times New Roman" w:hAnsi="Times New Roman"/>
          <w:sz w:val="20"/>
        </w:rPr>
        <w:t xml:space="preserve"> Tasa de Adopción Crediticia por los 9 Estereotipos Demográficos.</w:t>
      </w:r>
    </w:p>
    <w:p>
      <w:pPr>
        <w:spacing w:line="276" w:lineRule="auto" w:before="0" w:after="90"/>
        <w:jc w:val="both"/>
      </w:pPr>
      <w:r>
        <w:rPr>
          <w:rFonts w:ascii="Times New Roman" w:hAnsi="Times New Roman"/>
          <w:b w:val="0"/>
          <w:i w:val="0"/>
          <w:color w:val="000000"/>
          <w:sz w:val="22"/>
        </w:rPr>
        <w:t>Validación estadística y de negocio: La dependencia entre estereotipo y adopción crediticia es estadísticamente rotunda (Chi-cuadrado χ² = 63.7832, 8 gl, p = 8.39 × 10^(-11) &lt; 0.0001). Los adultos de 30 a 50 años en Moravia y Bohemia presentan las tasas de adopción crediticia más elevadas (16.9% y 16.7%), seguidos por adultos de Praga (16.0%) y jóvenes (12.1% a 15.2%), mientras que en adultos mayores (&gt;50 años) la adopción desciende marcadamente a 6.6% en Praga y a 8.8%–9.3% en Bohemia y Moravia, reflejando el ciclo biológico de desendeudamiento en edades de jubilación. Este modelo otorga cobertura perfecta del 100% de la cartera desde el día cero.</w:t>
      </w:r>
    </w:p>
    <w:p>
      <w:pPr>
        <w:spacing w:line="276" w:lineRule="auto" w:before="0" w:after="90"/>
        <w:jc w:val="both"/>
      </w:pPr>
      <w:r>
        <w:rPr>
          <w:rFonts w:ascii="Times New Roman" w:hAnsi="Times New Roman"/>
          <w:b w:val="0"/>
          <w:i w:val="0"/>
          <w:color w:val="000000"/>
          <w:sz w:val="22"/>
        </w:rPr>
        <w:t>Recomendación estratégica de producto: Configurar paquetes de bienvenida diferenciados por región: préstamos de consumo y tarjetas en Praga, y productos de ahorro pasivo en Moravia.</w:t>
      </w:r>
    </w:p>
    <w:p>
      <w:pPr>
        <w:keepNext/>
        <w:spacing w:before="120" w:after="40"/>
        <w:jc w:val="left"/>
      </w:pPr>
      <w:r>
        <w:rPr>
          <w:rFonts w:ascii="Times New Roman" w:hAnsi="Times New Roman"/>
          <w:b/>
          <w:i w:val="0"/>
          <w:color w:val="000000"/>
          <w:sz w:val="22"/>
        </w:rPr>
        <w:t>Modelo 4B: Filtrado Colaborativo Usuario a Usuario (User-to-User Cosine / kNN)</w:t>
      </w:r>
    </w:p>
    <w:p>
      <w:pPr>
        <w:spacing w:line="276" w:lineRule="auto" w:before="0" w:after="90"/>
        <w:jc w:val="both"/>
      </w:pPr>
      <w:r>
        <w:rPr>
          <w:rFonts w:ascii="Times New Roman" w:hAnsi="Times New Roman"/>
          <w:b w:val="0"/>
          <w:i w:val="0"/>
          <w:color w:val="000000"/>
          <w:sz w:val="22"/>
        </w:rPr>
        <w:t>Fundamento teórico y formulación: Localiza vecinos o 'gemelos financieros' calculando la similitud del coseno sobre las variables numéricas estandarizadas de los 4,500 clientes titulares independientes, prediciendo la afinidad hacia un producto mediante el promedio ponderado de sus k vecinos más cercanos (k = 5):</w:t>
      </w:r>
    </w:p>
    <w:p>
      <w:pPr>
        <w:keepNext/>
        <w:spacing w:before="80" w:after="80"/>
        <w:jc w:val="center"/>
      </w:pPr>
      <m:oMathPara>
        <m:oMath>
          <m:r>
            <m:rPr>
              <m:sty m:val="p"/>
            </m:rPr>
            <m:t>cos</m:t>
          </m:r>
          <m:r>
            <m:t>(</m:t>
          </m:r>
          <m:sSub>
            <m:e>
              <m:limUpp>
                <m:e>
                  <m:r>
                    <m:t>x</m:t>
                  </m:r>
                </m:e>
                <m:lim>
                  <m:r>
                    <m:t>→</m:t>
                  </m:r>
                </m:lim>
              </m:limUpp>
            </m:e>
            <m:sub>
              <m:r>
                <m:t>u</m:t>
              </m:r>
            </m:sub>
          </m:sSub>
          <m:r>
            <m:t>,</m:t>
          </m:r>
          <m:sSub>
            <m:e>
              <m:limUpp>
                <m:e>
                  <m:r>
                    <m:t>x</m:t>
                  </m:r>
                </m:e>
                <m:lim>
                  <m:r>
                    <m:t>→</m:t>
                  </m:r>
                </m:lim>
              </m:limUpp>
            </m:e>
            <m:sub>
              <m:r>
                <m:t>v</m:t>
              </m:r>
            </m:sub>
          </m:sSub>
          <m:r>
            <m:t>)=</m:t>
          </m:r>
          <m:f>
            <m:fPr>
              <m:type m:val="bar"/>
            </m:fPr>
            <m:num>
              <m:sSub>
                <m:e>
                  <m:limUpp>
                    <m:e>
                      <m:r>
                        <m:t>x</m:t>
                      </m:r>
                    </m:e>
                    <m:lim>
                      <m:r>
                        <m:t>→</m:t>
                      </m:r>
                    </m:lim>
                  </m:limUpp>
                </m:e>
                <m:sub>
                  <m:r>
                    <m:t>u</m:t>
                  </m:r>
                </m:sub>
              </m:sSub>
              <m:r>
                <m:t>·</m:t>
              </m:r>
              <m:sSub>
                <m:e>
                  <m:limUpp>
                    <m:e>
                      <m:r>
                        <m:t>x</m:t>
                      </m:r>
                    </m:e>
                    <m:lim>
                      <m:r>
                        <m:t>→</m:t>
                      </m:r>
                    </m:lim>
                  </m:limUpp>
                </m:e>
                <m:sub>
                  <m:r>
                    <m:t>v</m:t>
                  </m:r>
                </m:sub>
              </m:sSub>
            </m:num>
            <m:den>
              <m:d>
                <m:dPr>
                  <m:begChr m:val="‖"/>
                  <m:sepChr m:val="‖"/>
                  <m:endChr m:val="‖"/>
                </m:dPr>
                <m:e/>
                <m:e/>
                <m:e/>
              </m:d>
            </m:den>
          </m:f>
          <m:r>
            <m:t>,</m:t>
          </m:r>
          <m:r>
            <m:rPr>
              <m:nor/>
            </m:rPr>
            <m:t>Score</m:t>
          </m:r>
          <m:r>
            <m:t>(u,i)=</m:t>
          </m:r>
          <m:f>
            <m:fPr>
              <m:type m:val="bar"/>
            </m:fPr>
            <m:num>
              <m:nary>
                <m:naryPr>
                  <m:chr m:val="∑"/>
                  <m:limLoc m:val="subSup"/>
                  <m:grow m:val="1"/>
                  <m:subHide m:val="off"/>
                  <m:supHide m:val="on"/>
                </m:naryPr>
                <m:sub>
                  <m:r>
                    <m:t>v∈</m:t>
                  </m:r>
                  <m:sSub>
                    <m:e>
                      <m:r>
                        <m:t>N</m:t>
                      </m:r>
                    </m:e>
                    <m:sub>
                      <m:r>
                        <m:t>k</m:t>
                      </m:r>
                    </m:sub>
                  </m:sSub>
                  <m:r>
                    <m:t>(u)</m:t>
                  </m:r>
                </m:sub>
                <m:sup/>
                <m:e>
                  <m:r>
                    <m:rPr>
                      <m:sty m:val="p"/>
                    </m:rPr>
                    <m:t>cos</m:t>
                  </m:r>
                  <m:r>
                    <m:t>(</m:t>
                  </m:r>
                </m:e>
              </m:nary>
              <m:sSub>
                <m:e>
                  <m:limUpp>
                    <m:e>
                      <m:r>
                        <m:t>x</m:t>
                      </m:r>
                    </m:e>
                    <m:lim>
                      <m:r>
                        <m:t>→</m:t>
                      </m:r>
                    </m:lim>
                  </m:limUpp>
                </m:e>
                <m:sub>
                  <m:r>
                    <m:t>u</m:t>
                  </m:r>
                </m:sub>
              </m:sSub>
              <m:r>
                <m:t>,</m:t>
              </m:r>
              <m:sSub>
                <m:e>
                  <m:limUpp>
                    <m:e>
                      <m:r>
                        <m:t>x</m:t>
                      </m:r>
                    </m:e>
                    <m:lim>
                      <m:r>
                        <m:t>→</m:t>
                      </m:r>
                    </m:lim>
                  </m:limUpp>
                </m:e>
                <m:sub>
                  <m:r>
                    <m:t>v</m:t>
                  </m:r>
                </m:sub>
              </m:sSub>
              <m:r>
                <m:t>)·</m:t>
              </m:r>
              <m:sSub>
                <m:e>
                  <m:r>
                    <m:t>r</m:t>
                  </m:r>
                </m:e>
                <m:sub>
                  <m:r>
                    <m:t>v,i</m:t>
                  </m:r>
                </m:sub>
              </m:sSub>
            </m:num>
            <m:den>
              <m:nary>
                <m:naryPr>
                  <m:chr m:val="∑"/>
                  <m:limLoc m:val="subSup"/>
                  <m:grow m:val="1"/>
                  <m:subHide m:val="off"/>
                  <m:supHide m:val="on"/>
                </m:naryPr>
                <m:sub>
                  <m:r>
                    <m:t>v∈</m:t>
                  </m:r>
                  <m:sSub>
                    <m:e>
                      <m:r>
                        <m:t>N</m:t>
                      </m:r>
                    </m:e>
                    <m:sub>
                      <m:r>
                        <m:t>k</m:t>
                      </m:r>
                    </m:sub>
                  </m:sSub>
                  <m:r>
                    <m:t>(u)</m:t>
                  </m:r>
                </m:sub>
                <m:sup/>
                <m:e>
                  <m:r>
                    <m:t>|</m:t>
                  </m:r>
                  <m:r>
                    <m:rPr>
                      <m:sty m:val="p"/>
                    </m:rPr>
                    <m:t>cos</m:t>
                  </m:r>
                  <m:r>
                    <m:t>(</m:t>
                  </m:r>
                </m:e>
              </m:nary>
              <m:sSub>
                <m:e>
                  <m:limUpp>
                    <m:e>
                      <m:r>
                        <m:t>x</m:t>
                      </m:r>
                    </m:e>
                    <m:lim>
                      <m:r>
                        <m:t>→</m:t>
                      </m:r>
                    </m:lim>
                  </m:limUpp>
                </m:e>
                <m:sub>
                  <m:r>
                    <m:t>u</m:t>
                  </m:r>
                </m:sub>
              </m:sSub>
              <m:r>
                <m:t>,</m:t>
              </m:r>
              <m:sSub>
                <m:e>
                  <m:limUpp>
                    <m:e>
                      <m:r>
                        <m:t>x</m:t>
                      </m:r>
                    </m:e>
                    <m:lim>
                      <m:r>
                        <m:t>→</m:t>
                      </m:r>
                    </m:lim>
                  </m:limUpp>
                </m:e>
                <m:sub>
                  <m:r>
                    <m:t>v</m:t>
                  </m:r>
                </m:sub>
              </m:sSub>
              <m:r>
                <m:t>)|</m:t>
              </m:r>
            </m:den>
          </m:f>
        </m:oMath>
      </m:oMathPara>
    </w:p>
    <w:p>
      <w:pPr>
        <w:spacing w:line="276" w:lineRule="auto" w:before="0" w:after="90"/>
        <w:jc w:val="both"/>
      </w:pPr>
      <w:r>
        <w:rPr>
          <w:rFonts w:ascii="Times New Roman" w:hAnsi="Times New Roman"/>
          <w:b w:val="0"/>
          <w:i w:val="0"/>
          <w:color w:val="000000"/>
          <w:sz w:val="22"/>
        </w:rPr>
        <w:t>Distinción entre validación predictiva y recomendación en producción: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Validación Predictiva (Leave-One-Out): </w:t>
      </w:r>
      <w:r>
        <w:rPr>
          <w:rFonts w:ascii="Times New Roman" w:hAnsi="Times New Roman"/>
          <w:b w:val="0"/>
          <w:i w:val="0"/>
          <w:color w:val="000000"/>
          <w:sz w:val="22"/>
        </w:rPr>
        <w:t>En la validación experimental Leave-One-Out (k=5 vecinos sobre 4,500 titulares), se ocultó la etiqueta real de préstamo de cada titular. Para el Cliente #2 (quien en la realidad posee crédito), sus 5 vecinos más cercanos en R^5 arrojaron un score ponderado de 0.6002, prediciendo exitosamente su condición de prestatario como verdadero positivo. El modelo global alcanzó un AUC de 0.7905 y un Brier Score de 0.1098, superando al baseline ingenuo (Brier = 0.1286, AUC = 0.50).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Recomendación Comercial en Producción: </w:t>
      </w:r>
      <w:r>
        <w:rPr>
          <w:rFonts w:ascii="Times New Roman" w:hAnsi="Times New Roman"/>
          <w:b w:val="0"/>
          <w:i w:val="0"/>
          <w:color w:val="000000"/>
          <w:sz w:val="22"/>
        </w:rPr>
        <w:t>En un entorno comercial productivo, recomendar un préstamo al Cliente #2 carece de sentido porque ya lo tiene contratado. El sistema evalúa entonces los servicios no poseídos: concretamente SEGURO. Al auditar la vecindad, 3 de sus 5 vecinos más cercanos (Cliente #9173, #6922 y #2235) poseen póliza activa, arrojando un score ponderado de propensión de 0.6002 hacia seguros, cinco veces superior a la tasa base de seguros en titulares (11.82%, 532 de 4,500). Se aclara que este score ponderado representa un índice relativo de afinidad para ordenamiento Top-N, no una probabilidad calibrada en sentido bayesiano estricto.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Aclaración de Tasas Base: </w:t>
      </w:r>
      <w:r>
        <w:rPr>
          <w:rFonts w:ascii="Times New Roman" w:hAnsi="Times New Roman"/>
          <w:b w:val="0"/>
          <w:i w:val="0"/>
          <w:color w:val="000000"/>
          <w:sz w:val="22"/>
        </w:rPr>
        <w:t>Se precisa que la tasa base de crédito es del 15.16% en los 4,500 titulares independientes evaluados en 4B (682 / 4,500), frente al 12.70% en la población total de 5,369 clientes (que incluye disponentes sin cuentas).</w:t>
      </w:r>
    </w:p>
    <w:p>
      <w:pPr>
        <w:spacing w:line="276" w:lineRule="auto" w:before="0" w:after="90"/>
        <w:jc w:val="both"/>
      </w:pPr>
      <w:r>
        <w:rPr>
          <w:rFonts w:ascii="Times New Roman" w:hAnsi="Times New Roman"/>
          <w:b w:val="0"/>
          <w:i w:val="0"/>
          <w:color w:val="000000"/>
          <w:sz w:val="22"/>
        </w:rPr>
        <w:t>La Tabla 15 expone la matriz de similitud entre clientes titulares:</w:t>
      </w:r>
    </w:p>
    <w:p>
      <w:pPr>
        <w:keepNext/>
        <w:spacing w:before="200" w:after="80"/>
        <w:jc w:val="center"/>
      </w:pPr>
      <w:r>
        <w:rPr>
          <w:rFonts w:ascii="Times New Roman" w:hAnsi="Times New Roman"/>
          <w:b/>
          <w:i w:val="0"/>
          <w:color w:val="000000"/>
          <w:sz w:val="21"/>
        </w:rPr>
        <w:t>Tabla 15:</w:t>
      </w:r>
      <w:r>
        <w:rPr>
          <w:rFonts w:ascii="Times New Roman" w:hAnsi="Times New Roman"/>
          <w:sz w:val="21"/>
        </w:rPr>
        <w:t xml:space="preserve"> Matriz de Similitud Coseno Usuario a Usuario entre Titulares Activos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Titular</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#19</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#47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#107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#212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#321</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6"/>
              </w:rPr>
              <w:t>Perfil y Gemelo Comportamental Detectado</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1742"/>
            <w:vAlign w:val="center"/>
          </w:tcPr>
          <w:p>
            <w:pPr>
              <w:spacing w:before="0" w:after="0" w:line="252" w:lineRule="auto"/>
              <w:jc w:val="left"/>
            </w:pPr>
            <w:r>
              <w:rPr>
                <w:rFonts w:ascii="Times New Roman" w:hAnsi="Times New Roman"/>
                <w:b w:val="0"/>
                <w:i w:val="0"/>
                <w:color w:val="000000"/>
                <w:sz w:val="16"/>
              </w:rPr>
              <w:t>Gemelo financiero directo con Cliente #107 (alta dinámica y saldos medios &gt;31k CZK)</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#19</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1742"/>
            <w:vAlign w:val="center"/>
          </w:tcPr>
          <w:p>
            <w:pPr>
              <w:spacing w:before="0" w:after="0" w:line="252" w:lineRule="auto"/>
              <w:jc w:val="left"/>
            </w:pPr>
            <w:r>
              <w:rPr>
                <w:rFonts w:ascii="Times New Roman" w:hAnsi="Times New Roman"/>
                <w:b w:val="0"/>
                <w:i w:val="0"/>
                <w:color w:val="000000"/>
                <w:sz w:val="16"/>
              </w:rPr>
              <w:t>Perfil patrimonial pasivo con saldos elevados y baja rotación de débitos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#47</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1742"/>
            <w:vAlign w:val="center"/>
          </w:tcPr>
          <w:p>
            <w:pPr>
              <w:spacing w:before="0" w:after="0" w:line="252" w:lineRule="auto"/>
              <w:jc w:val="left"/>
            </w:pPr>
            <w:r>
              <w:rPr>
                <w:rFonts w:ascii="Times New Roman" w:hAnsi="Times New Roman"/>
                <w:b w:val="0"/>
                <w:i w:val="0"/>
                <w:color w:val="000000"/>
                <w:sz w:val="16"/>
              </w:rPr>
              <w:t>Usuario joven transaccional moderado en cuenta básica</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#107</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1742"/>
            <w:vAlign w:val="center"/>
          </w:tcPr>
          <w:p>
            <w:pPr>
              <w:spacing w:before="0" w:after="0" w:line="252" w:lineRule="auto"/>
              <w:jc w:val="left"/>
            </w:pPr>
            <w:r>
              <w:rPr>
                <w:rFonts w:ascii="Times New Roman" w:hAnsi="Times New Roman"/>
                <w:b w:val="0"/>
                <w:i w:val="0"/>
                <w:color w:val="000000"/>
                <w:sz w:val="16"/>
              </w:rPr>
              <w:t>Gemelo genuino de Cliente #2; propensión idéntica a productos y seguros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#212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1742"/>
            <w:vAlign w:val="center"/>
          </w:tcPr>
          <w:p>
            <w:pPr>
              <w:spacing w:before="0" w:after="0" w:line="252" w:lineRule="auto"/>
              <w:jc w:val="left"/>
            </w:pPr>
            <w:r>
              <w:rPr>
                <w:rFonts w:ascii="Times New Roman" w:hAnsi="Times New Roman"/>
                <w:b w:val="0"/>
                <w:i w:val="0"/>
                <w:color w:val="000000"/>
                <w:sz w:val="16"/>
              </w:rPr>
              <w:t>Perfil de saldos ajustados sin préstamos activos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#321</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1742"/>
            <w:vAlign w:val="center"/>
          </w:tcPr>
          <w:p>
            <w:pPr>
              <w:spacing w:before="0" w:after="0" w:line="252" w:lineRule="auto"/>
              <w:jc w:val="left"/>
            </w:pPr>
            <w:r>
              <w:rPr>
                <w:rFonts w:ascii="Times New Roman" w:hAnsi="Times New Roman"/>
                <w:b w:val="0"/>
                <w:i w:val="0"/>
                <w:color w:val="000000"/>
                <w:sz w:val="16"/>
              </w:rPr>
              <w:t>Perfil de alta liquidez con saldos promedio superiores a 69,000 CZK</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fig_4b_user_to_user.png"/>
                    <pic:cNvPicPr/>
                  </pic:nvPicPr>
                  <pic:blipFill>
                    <a:blip r:embed="rId15"/>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11:</w:t>
      </w:r>
      <w:r>
        <w:rPr>
          <w:rFonts w:ascii="Times New Roman" w:hAnsi="Times New Roman"/>
          <w:sz w:val="20"/>
        </w:rPr>
        <w:t xml:space="preserve"> Similitud Coseno Usuario a Usuario entre Titulares Activos.</w:t>
      </w:r>
    </w:p>
    <w:p>
      <w:pPr>
        <w:keepNext/>
        <w:spacing w:before="120" w:after="40"/>
        <w:jc w:val="left"/>
      </w:pPr>
      <w:r>
        <w:rPr>
          <w:rFonts w:ascii="Times New Roman" w:hAnsi="Times New Roman"/>
          <w:b/>
          <w:i w:val="0"/>
          <w:color w:val="000000"/>
          <w:sz w:val="22"/>
        </w:rPr>
        <w:t>Modelo 4C: Correlación de Pearson Multivariante de Perfil Financiero</w:t>
      </w:r>
    </w:p>
    <w:p>
      <w:pPr>
        <w:spacing w:line="276" w:lineRule="auto" w:before="0" w:after="90"/>
        <w:jc w:val="both"/>
      </w:pPr>
      <w:r>
        <w:rPr>
          <w:rFonts w:ascii="Times New Roman" w:hAnsi="Times New Roman"/>
          <w:b w:val="0"/>
          <w:i w:val="0"/>
          <w:color w:val="000000"/>
          <w:sz w:val="22"/>
        </w:rPr>
        <w:t>Fundamento teórico y formulación: Evalúa la interdependencia lineal entre variables sociodemográficas y financieras de los 5,369 clientes:</w:t>
      </w:r>
    </w:p>
    <w:p>
      <w:pPr>
        <w:keepNext/>
        <w:spacing w:before="80" w:after="80"/>
        <w:jc w:val="center"/>
      </w:pPr>
      <m:oMathPara>
        <m:oMath>
          <m:r>
            <m:t>ρ(X,Y)=</m:t>
          </m:r>
          <m:f>
            <m:fPr>
              <m:type m:val="bar"/>
            </m:fPr>
            <m:num>
              <m:r>
                <m:rPr>
                  <m:nor/>
                </m:rPr>
                <m:t>Cov</m:t>
              </m:r>
              <m:r>
                <m:t>(X,Y)</m:t>
              </m:r>
            </m:num>
            <m:den>
              <m:sSub>
                <m:e>
                  <m:r>
                    <m:t>σ</m:t>
                  </m:r>
                </m:e>
                <m:sub>
                  <m:r>
                    <m:t>X</m:t>
                  </m:r>
                </m:sub>
              </m:sSub>
              <m:sSub>
                <m:e>
                  <m:r>
                    <m:t>σ</m:t>
                  </m:r>
                </m:e>
                <m:sub>
                  <m:r>
                    <m:t>Y</m:t>
                  </m:r>
                </m:sub>
              </m:sSub>
            </m:den>
          </m:f>
        </m:oMath>
      </m:oMathPara>
    </w:p>
    <w:p>
      <w:pPr>
        <w:spacing w:line="276" w:lineRule="auto" w:before="0" w:after="90"/>
        <w:jc w:val="both"/>
      </w:pPr>
      <w:r>
        <w:rPr>
          <w:rFonts w:ascii="Times New Roman" w:hAnsi="Times New Roman"/>
          <w:b w:val="0"/>
          <w:i w:val="0"/>
          <w:color w:val="000000"/>
          <w:sz w:val="22"/>
        </w:rPr>
        <w:t>La Tabla 16 presenta la matriz multivariante de perfil de clientes:</w:t>
      </w:r>
    </w:p>
    <w:p>
      <w:pPr>
        <w:keepNext/>
        <w:spacing w:before="200" w:after="80"/>
        <w:jc w:val="center"/>
      </w:pPr>
      <w:r>
        <w:rPr>
          <w:rFonts w:ascii="Times New Roman" w:hAnsi="Times New Roman"/>
          <w:b/>
          <w:i w:val="0"/>
          <w:color w:val="000000"/>
          <w:sz w:val="21"/>
        </w:rPr>
        <w:t>Tabla 16:</w:t>
      </w:r>
      <w:r>
        <w:rPr>
          <w:rFonts w:ascii="Times New Roman" w:hAnsi="Times New Roman"/>
          <w:sz w:val="21"/>
        </w:rPr>
        <w:t xml:space="preserve"> Matriz de Correlación Multivariante de Perfil Financiero y Demográfico de Clientes.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Variable de Perfil</w:t>
            </w:r>
          </w:p>
        </w:tc>
        <w:tc>
          <w:tcPr>
            <w:tcW w:type="dxa" w:w="754"/>
            <w:vAlign w:val="center"/>
            <w:tcBorders>
              <w:bottom w:val="single" w:sz="6" w:space="0" w:color="000000"/>
            </w:tcBorders>
          </w:tcPr>
          <w:p>
            <w:pPr>
              <w:spacing w:before="0" w:after="0" w:line="252" w:lineRule="auto"/>
              <w:jc w:val="center"/>
            </w:pPr>
            <w:r>
              <w:rPr>
                <w:rFonts w:ascii="Times New Roman" w:hAnsi="Times New Roman"/>
                <w:b/>
                <w:i w:val="0"/>
                <w:color w:val="000000"/>
                <w:sz w:val="16"/>
              </w:rPr>
              <w:t>Edad</w:t>
            </w:r>
          </w:p>
        </w:tc>
        <w:tc>
          <w:tcPr>
            <w:tcW w:type="dxa" w:w="13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Salario Distrital</w:t>
            </w:r>
          </w:p>
        </w:tc>
        <w:tc>
          <w:tcPr>
            <w:tcW w:type="dxa" w:w="118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w:t>
            </w:r>
          </w:p>
        </w:tc>
        <w:tc>
          <w:tcPr>
            <w:tcW w:type="dxa" w:w="1394"/>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Transacciones (Tx)</w:t>
            </w:r>
          </w:p>
        </w:tc>
        <w:tc>
          <w:tcPr>
            <w:tcW w:type="dxa" w:w="123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w:t>
            </w:r>
          </w:p>
        </w:tc>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Propensión Préstamo</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Edad del Cliente</w:t>
            </w:r>
          </w:p>
        </w:tc>
        <w:tc>
          <w:tcPr>
            <w:tcW w:type="dxa" w:w="754"/>
            <w:vAlign w:val="center"/>
          </w:tcPr>
          <w:p>
            <w:pPr>
              <w:spacing w:before="0" w:after="0" w:line="252" w:lineRule="auto"/>
              <w:jc w:val="center"/>
            </w:pPr>
            <w:r>
              <w:rPr>
                <w:rFonts w:ascii="Times New Roman" w:hAnsi="Times New Roman"/>
                <w:b w:val="0"/>
                <w:i w:val="0"/>
                <w:color w:val="000000"/>
                <w:sz w:val="16"/>
              </w:rPr>
              <w:t>1.0000</w:t>
            </w:r>
          </w:p>
        </w:tc>
        <w:tc>
          <w:tcPr>
            <w:tcW w:type="dxa" w:w="1343"/>
            <w:vAlign w:val="center"/>
          </w:tcPr>
          <w:p>
            <w:pPr>
              <w:spacing w:before="0" w:after="0" w:line="252" w:lineRule="auto"/>
              <w:jc w:val="center"/>
            </w:pPr>
            <w:r>
              <w:rPr>
                <w:rFonts w:ascii="Times New Roman" w:hAnsi="Times New Roman"/>
                <w:b w:val="0"/>
                <w:i w:val="0"/>
                <w:color w:val="000000"/>
                <w:sz w:val="16"/>
              </w:rPr>
              <w:t>-0.0023</w:t>
            </w:r>
          </w:p>
        </w:tc>
        <w:tc>
          <w:tcPr>
            <w:tcW w:type="dxa" w:w="1183"/>
            <w:vAlign w:val="center"/>
          </w:tcPr>
          <w:p>
            <w:pPr>
              <w:spacing w:before="0" w:after="0" w:line="252" w:lineRule="auto"/>
              <w:jc w:val="center"/>
            </w:pPr>
            <w:r>
              <w:rPr>
                <w:rFonts w:ascii="Times New Roman" w:hAnsi="Times New Roman"/>
                <w:b w:val="0"/>
                <w:i w:val="0"/>
                <w:color w:val="000000"/>
                <w:sz w:val="16"/>
              </w:rPr>
              <w:t>-0.2448</w:t>
            </w:r>
          </w:p>
        </w:tc>
        <w:tc>
          <w:tcPr>
            <w:tcW w:type="dxa" w:w="1394"/>
            <w:vAlign w:val="center"/>
          </w:tcPr>
          <w:p>
            <w:pPr>
              <w:spacing w:before="0" w:after="0" w:line="252" w:lineRule="auto"/>
              <w:jc w:val="center"/>
            </w:pPr>
            <w:r>
              <w:rPr>
                <w:rFonts w:ascii="Times New Roman" w:hAnsi="Times New Roman"/>
                <w:b w:val="0"/>
                <w:i w:val="0"/>
                <w:color w:val="000000"/>
                <w:sz w:val="16"/>
              </w:rPr>
              <w:t>-0.0979</w:t>
            </w:r>
          </w:p>
        </w:tc>
        <w:tc>
          <w:tcPr>
            <w:tcW w:type="dxa" w:w="1238"/>
            <w:vAlign w:val="center"/>
          </w:tcPr>
          <w:p>
            <w:pPr>
              <w:spacing w:before="0" w:after="0" w:line="252" w:lineRule="auto"/>
              <w:jc w:val="center"/>
            </w:pPr>
            <w:r>
              <w:rPr>
                <w:rFonts w:ascii="Times New Roman" w:hAnsi="Times New Roman"/>
                <w:b w:val="0"/>
                <w:i w:val="0"/>
                <w:color w:val="000000"/>
                <w:sz w:val="16"/>
              </w:rPr>
              <w:t>-0.0457</w:t>
            </w:r>
          </w:p>
        </w:tc>
        <w:tc>
          <w:tcPr>
            <w:tcW w:type="dxa" w:w="1443"/>
            <w:vAlign w:val="center"/>
          </w:tcPr>
          <w:p>
            <w:pPr>
              <w:spacing w:before="0" w:after="0" w:line="252" w:lineRule="auto"/>
              <w:jc w:val="center"/>
            </w:pPr>
            <w:r>
              <w:rPr>
                <w:rFonts w:ascii="Times New Roman" w:hAnsi="Times New Roman"/>
                <w:b w:val="0"/>
                <w:i w:val="0"/>
                <w:color w:val="000000"/>
                <w:sz w:val="16"/>
              </w:rPr>
              <w:t>-0.1082</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Salario Distrital</w:t>
            </w:r>
          </w:p>
        </w:tc>
        <w:tc>
          <w:tcPr>
            <w:tcW w:type="dxa" w:w="754"/>
            <w:vAlign w:val="center"/>
          </w:tcPr>
          <w:p>
            <w:pPr>
              <w:spacing w:before="0" w:after="0" w:line="252" w:lineRule="auto"/>
              <w:jc w:val="center"/>
            </w:pPr>
            <w:r>
              <w:rPr>
                <w:rFonts w:ascii="Times New Roman" w:hAnsi="Times New Roman"/>
                <w:b w:val="0"/>
                <w:i w:val="0"/>
                <w:color w:val="000000"/>
                <w:sz w:val="16"/>
              </w:rPr>
              <w:t>-0.0023</w:t>
            </w:r>
          </w:p>
        </w:tc>
        <w:tc>
          <w:tcPr>
            <w:tcW w:type="dxa" w:w="1343"/>
            <w:vAlign w:val="center"/>
          </w:tcPr>
          <w:p>
            <w:pPr>
              <w:spacing w:before="0" w:after="0" w:line="252" w:lineRule="auto"/>
              <w:jc w:val="center"/>
            </w:pPr>
            <w:r>
              <w:rPr>
                <w:rFonts w:ascii="Times New Roman" w:hAnsi="Times New Roman"/>
                <w:b w:val="0"/>
                <w:i w:val="0"/>
                <w:color w:val="000000"/>
                <w:sz w:val="16"/>
              </w:rPr>
              <w:t>1.0000</w:t>
            </w:r>
          </w:p>
        </w:tc>
        <w:tc>
          <w:tcPr>
            <w:tcW w:type="dxa" w:w="1183"/>
            <w:vAlign w:val="center"/>
          </w:tcPr>
          <w:p>
            <w:pPr>
              <w:spacing w:before="0" w:after="0" w:line="252" w:lineRule="auto"/>
              <w:jc w:val="center"/>
            </w:pPr>
            <w:r>
              <w:rPr>
                <w:rFonts w:ascii="Times New Roman" w:hAnsi="Times New Roman"/>
                <w:b w:val="0"/>
                <w:i w:val="0"/>
                <w:color w:val="000000"/>
                <w:sz w:val="16"/>
              </w:rPr>
              <w:t>+0.0134</w:t>
            </w:r>
          </w:p>
        </w:tc>
        <w:tc>
          <w:tcPr>
            <w:tcW w:type="dxa" w:w="1394"/>
            <w:vAlign w:val="center"/>
          </w:tcPr>
          <w:p>
            <w:pPr>
              <w:spacing w:before="0" w:after="0" w:line="252" w:lineRule="auto"/>
              <w:jc w:val="center"/>
            </w:pPr>
            <w:r>
              <w:rPr>
                <w:rFonts w:ascii="Times New Roman" w:hAnsi="Times New Roman"/>
                <w:b w:val="0"/>
                <w:i w:val="0"/>
                <w:color w:val="000000"/>
                <w:sz w:val="16"/>
              </w:rPr>
              <w:t>+0.0100</w:t>
            </w:r>
          </w:p>
        </w:tc>
        <w:tc>
          <w:tcPr>
            <w:tcW w:type="dxa" w:w="1238"/>
            <w:vAlign w:val="center"/>
          </w:tcPr>
          <w:p>
            <w:pPr>
              <w:spacing w:before="0" w:after="0" w:line="252" w:lineRule="auto"/>
              <w:jc w:val="center"/>
            </w:pPr>
            <w:r>
              <w:rPr>
                <w:rFonts w:ascii="Times New Roman" w:hAnsi="Times New Roman"/>
                <w:b w:val="0"/>
                <w:i w:val="0"/>
                <w:color w:val="000000"/>
                <w:sz w:val="16"/>
              </w:rPr>
              <w:t>+0.0054</w:t>
            </w:r>
          </w:p>
        </w:tc>
        <w:tc>
          <w:tcPr>
            <w:tcW w:type="dxa" w:w="1443"/>
            <w:vAlign w:val="center"/>
          </w:tcPr>
          <w:p>
            <w:pPr>
              <w:spacing w:before="0" w:after="0" w:line="252" w:lineRule="auto"/>
              <w:jc w:val="center"/>
            </w:pPr>
            <w:r>
              <w:rPr>
                <w:rFonts w:ascii="Times New Roman" w:hAnsi="Times New Roman"/>
                <w:b w:val="0"/>
                <w:i w:val="0"/>
                <w:color w:val="000000"/>
                <w:sz w:val="16"/>
              </w:rPr>
              <w:t>-0.0119</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Saldo Promedio</w:t>
            </w:r>
          </w:p>
        </w:tc>
        <w:tc>
          <w:tcPr>
            <w:tcW w:type="dxa" w:w="754"/>
            <w:vAlign w:val="center"/>
          </w:tcPr>
          <w:p>
            <w:pPr>
              <w:spacing w:before="0" w:after="0" w:line="252" w:lineRule="auto"/>
              <w:jc w:val="center"/>
            </w:pPr>
            <w:r>
              <w:rPr>
                <w:rFonts w:ascii="Times New Roman" w:hAnsi="Times New Roman"/>
                <w:b w:val="0"/>
                <w:i w:val="0"/>
                <w:color w:val="000000"/>
                <w:sz w:val="16"/>
              </w:rPr>
              <w:t>-0.2448</w:t>
            </w:r>
          </w:p>
        </w:tc>
        <w:tc>
          <w:tcPr>
            <w:tcW w:type="dxa" w:w="1343"/>
            <w:vAlign w:val="center"/>
          </w:tcPr>
          <w:p>
            <w:pPr>
              <w:spacing w:before="0" w:after="0" w:line="252" w:lineRule="auto"/>
              <w:jc w:val="center"/>
            </w:pPr>
            <w:r>
              <w:rPr>
                <w:rFonts w:ascii="Times New Roman" w:hAnsi="Times New Roman"/>
                <w:b w:val="0"/>
                <w:i w:val="0"/>
                <w:color w:val="000000"/>
                <w:sz w:val="16"/>
              </w:rPr>
              <w:t>+0.0134</w:t>
            </w:r>
          </w:p>
        </w:tc>
        <w:tc>
          <w:tcPr>
            <w:tcW w:type="dxa" w:w="1183"/>
            <w:vAlign w:val="center"/>
          </w:tcPr>
          <w:p>
            <w:pPr>
              <w:spacing w:before="0" w:after="0" w:line="252" w:lineRule="auto"/>
              <w:jc w:val="center"/>
            </w:pPr>
            <w:r>
              <w:rPr>
                <w:rFonts w:ascii="Times New Roman" w:hAnsi="Times New Roman"/>
                <w:b w:val="0"/>
                <w:i w:val="0"/>
                <w:color w:val="000000"/>
                <w:sz w:val="16"/>
              </w:rPr>
              <w:t>1.0000</w:t>
            </w:r>
          </w:p>
        </w:tc>
        <w:tc>
          <w:tcPr>
            <w:tcW w:type="dxa" w:w="1394"/>
            <w:vAlign w:val="center"/>
          </w:tcPr>
          <w:p>
            <w:pPr>
              <w:spacing w:before="0" w:after="0" w:line="252" w:lineRule="auto"/>
              <w:jc w:val="center"/>
            </w:pPr>
            <w:r>
              <w:rPr>
                <w:rFonts w:ascii="Times New Roman" w:hAnsi="Times New Roman"/>
                <w:b w:val="0"/>
                <w:i w:val="0"/>
                <w:color w:val="000000"/>
                <w:sz w:val="16"/>
              </w:rPr>
              <w:t>+0.2258</w:t>
            </w:r>
          </w:p>
        </w:tc>
        <w:tc>
          <w:tcPr>
            <w:tcW w:type="dxa" w:w="1238"/>
            <w:vAlign w:val="center"/>
          </w:tcPr>
          <w:p>
            <w:pPr>
              <w:spacing w:before="0" w:after="0" w:line="252" w:lineRule="auto"/>
              <w:jc w:val="center"/>
            </w:pPr>
            <w:r>
              <w:rPr>
                <w:rFonts w:ascii="Times New Roman" w:hAnsi="Times New Roman"/>
                <w:b w:val="0"/>
                <w:i w:val="0"/>
                <w:color w:val="000000"/>
                <w:sz w:val="16"/>
              </w:rPr>
              <w:t>+0.0378</w:t>
            </w:r>
          </w:p>
        </w:tc>
        <w:tc>
          <w:tcPr>
            <w:tcW w:type="dxa" w:w="1443"/>
            <w:vAlign w:val="center"/>
          </w:tcPr>
          <w:p>
            <w:pPr>
              <w:spacing w:before="0" w:after="0" w:line="252" w:lineRule="auto"/>
              <w:jc w:val="center"/>
            </w:pPr>
            <w:r>
              <w:rPr>
                <w:rFonts w:ascii="Times New Roman" w:hAnsi="Times New Roman"/>
                <w:b w:val="0"/>
                <w:i w:val="0"/>
                <w:color w:val="000000"/>
                <w:sz w:val="16"/>
              </w:rPr>
              <w:t>+0.2304</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Transacciones (Tx)</w:t>
            </w:r>
          </w:p>
        </w:tc>
        <w:tc>
          <w:tcPr>
            <w:tcW w:type="dxa" w:w="754"/>
            <w:vAlign w:val="center"/>
          </w:tcPr>
          <w:p>
            <w:pPr>
              <w:spacing w:before="0" w:after="0" w:line="252" w:lineRule="auto"/>
              <w:jc w:val="center"/>
            </w:pPr>
            <w:r>
              <w:rPr>
                <w:rFonts w:ascii="Times New Roman" w:hAnsi="Times New Roman"/>
                <w:b w:val="0"/>
                <w:i w:val="0"/>
                <w:color w:val="000000"/>
                <w:sz w:val="16"/>
              </w:rPr>
              <w:t>-0.0979</w:t>
            </w:r>
          </w:p>
        </w:tc>
        <w:tc>
          <w:tcPr>
            <w:tcW w:type="dxa" w:w="1343"/>
            <w:vAlign w:val="center"/>
          </w:tcPr>
          <w:p>
            <w:pPr>
              <w:spacing w:before="0" w:after="0" w:line="252" w:lineRule="auto"/>
              <w:jc w:val="center"/>
            </w:pPr>
            <w:r>
              <w:rPr>
                <w:rFonts w:ascii="Times New Roman" w:hAnsi="Times New Roman"/>
                <w:b w:val="0"/>
                <w:i w:val="0"/>
                <w:color w:val="000000"/>
                <w:sz w:val="16"/>
              </w:rPr>
              <w:t>+0.0100</w:t>
            </w:r>
          </w:p>
        </w:tc>
        <w:tc>
          <w:tcPr>
            <w:tcW w:type="dxa" w:w="1183"/>
            <w:vAlign w:val="center"/>
          </w:tcPr>
          <w:p>
            <w:pPr>
              <w:spacing w:before="0" w:after="0" w:line="252" w:lineRule="auto"/>
              <w:jc w:val="center"/>
            </w:pPr>
            <w:r>
              <w:rPr>
                <w:rFonts w:ascii="Times New Roman" w:hAnsi="Times New Roman"/>
                <w:b w:val="0"/>
                <w:i w:val="0"/>
                <w:color w:val="000000"/>
                <w:sz w:val="16"/>
              </w:rPr>
              <w:t>+0.2258</w:t>
            </w:r>
          </w:p>
        </w:tc>
        <w:tc>
          <w:tcPr>
            <w:tcW w:type="dxa" w:w="1394"/>
            <w:vAlign w:val="center"/>
          </w:tcPr>
          <w:p>
            <w:pPr>
              <w:spacing w:before="0" w:after="0" w:line="252" w:lineRule="auto"/>
              <w:jc w:val="center"/>
            </w:pPr>
            <w:r>
              <w:rPr>
                <w:rFonts w:ascii="Times New Roman" w:hAnsi="Times New Roman"/>
                <w:b w:val="0"/>
                <w:i w:val="0"/>
                <w:color w:val="000000"/>
                <w:sz w:val="16"/>
              </w:rPr>
              <w:t>1.0000</w:t>
            </w:r>
          </w:p>
        </w:tc>
        <w:tc>
          <w:tcPr>
            <w:tcW w:type="dxa" w:w="1238"/>
            <w:vAlign w:val="center"/>
          </w:tcPr>
          <w:p>
            <w:pPr>
              <w:spacing w:before="0" w:after="0" w:line="252" w:lineRule="auto"/>
              <w:jc w:val="center"/>
            </w:pPr>
            <w:r>
              <w:rPr>
                <w:rFonts w:ascii="Times New Roman" w:hAnsi="Times New Roman"/>
                <w:b w:val="0"/>
                <w:i w:val="0"/>
                <w:color w:val="000000"/>
                <w:sz w:val="16"/>
              </w:rPr>
              <w:t>+0.4965</w:t>
            </w:r>
          </w:p>
        </w:tc>
        <w:tc>
          <w:tcPr>
            <w:tcW w:type="dxa" w:w="1443"/>
            <w:vAlign w:val="center"/>
          </w:tcPr>
          <w:p>
            <w:pPr>
              <w:spacing w:before="0" w:after="0" w:line="252" w:lineRule="auto"/>
              <w:jc w:val="center"/>
            </w:pPr>
            <w:r>
              <w:rPr>
                <w:rFonts w:ascii="Times New Roman" w:hAnsi="Times New Roman"/>
                <w:b w:val="0"/>
                <w:i w:val="0"/>
                <w:color w:val="000000"/>
                <w:sz w:val="16"/>
              </w:rPr>
              <w:t>+0.2217</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Órdenes Activas</w:t>
            </w:r>
          </w:p>
        </w:tc>
        <w:tc>
          <w:tcPr>
            <w:tcW w:type="dxa" w:w="754"/>
            <w:vAlign w:val="center"/>
          </w:tcPr>
          <w:p>
            <w:pPr>
              <w:spacing w:before="0" w:after="0" w:line="252" w:lineRule="auto"/>
              <w:jc w:val="center"/>
            </w:pPr>
            <w:r>
              <w:rPr>
                <w:rFonts w:ascii="Times New Roman" w:hAnsi="Times New Roman"/>
                <w:b w:val="0"/>
                <w:i w:val="0"/>
                <w:color w:val="000000"/>
                <w:sz w:val="16"/>
              </w:rPr>
              <w:t>-0.0457</w:t>
            </w:r>
          </w:p>
        </w:tc>
        <w:tc>
          <w:tcPr>
            <w:tcW w:type="dxa" w:w="1343"/>
            <w:vAlign w:val="center"/>
          </w:tcPr>
          <w:p>
            <w:pPr>
              <w:spacing w:before="0" w:after="0" w:line="252" w:lineRule="auto"/>
              <w:jc w:val="center"/>
            </w:pPr>
            <w:r>
              <w:rPr>
                <w:rFonts w:ascii="Times New Roman" w:hAnsi="Times New Roman"/>
                <w:b w:val="0"/>
                <w:i w:val="0"/>
                <w:color w:val="000000"/>
                <w:sz w:val="16"/>
              </w:rPr>
              <w:t>+0.0054</w:t>
            </w:r>
          </w:p>
        </w:tc>
        <w:tc>
          <w:tcPr>
            <w:tcW w:type="dxa" w:w="1183"/>
            <w:vAlign w:val="center"/>
          </w:tcPr>
          <w:p>
            <w:pPr>
              <w:spacing w:before="0" w:after="0" w:line="252" w:lineRule="auto"/>
              <w:jc w:val="center"/>
            </w:pPr>
            <w:r>
              <w:rPr>
                <w:rFonts w:ascii="Times New Roman" w:hAnsi="Times New Roman"/>
                <w:b w:val="0"/>
                <w:i w:val="0"/>
                <w:color w:val="000000"/>
                <w:sz w:val="16"/>
              </w:rPr>
              <w:t>+0.0378</w:t>
            </w:r>
          </w:p>
        </w:tc>
        <w:tc>
          <w:tcPr>
            <w:tcW w:type="dxa" w:w="1394"/>
            <w:vAlign w:val="center"/>
          </w:tcPr>
          <w:p>
            <w:pPr>
              <w:spacing w:before="0" w:after="0" w:line="252" w:lineRule="auto"/>
              <w:jc w:val="center"/>
            </w:pPr>
            <w:r>
              <w:rPr>
                <w:rFonts w:ascii="Times New Roman" w:hAnsi="Times New Roman"/>
                <w:b w:val="0"/>
                <w:i w:val="0"/>
                <w:color w:val="000000"/>
                <w:sz w:val="16"/>
              </w:rPr>
              <w:t>+0.4965</w:t>
            </w:r>
          </w:p>
        </w:tc>
        <w:tc>
          <w:tcPr>
            <w:tcW w:type="dxa" w:w="1238"/>
            <w:vAlign w:val="center"/>
          </w:tcPr>
          <w:p>
            <w:pPr>
              <w:spacing w:before="0" w:after="0" w:line="252" w:lineRule="auto"/>
              <w:jc w:val="center"/>
            </w:pPr>
            <w:r>
              <w:rPr>
                <w:rFonts w:ascii="Times New Roman" w:hAnsi="Times New Roman"/>
                <w:b w:val="0"/>
                <w:i w:val="0"/>
                <w:color w:val="000000"/>
                <w:sz w:val="16"/>
              </w:rPr>
              <w:t>1.0000</w:t>
            </w:r>
          </w:p>
        </w:tc>
        <w:tc>
          <w:tcPr>
            <w:tcW w:type="dxa" w:w="1443"/>
            <w:vAlign w:val="center"/>
          </w:tcPr>
          <w:p>
            <w:pPr>
              <w:spacing w:before="0" w:after="0" w:line="252" w:lineRule="auto"/>
              <w:jc w:val="center"/>
            </w:pPr>
            <w:r>
              <w:rPr>
                <w:rFonts w:ascii="Times New Roman" w:hAnsi="Times New Roman"/>
                <w:b w:val="0"/>
                <w:i w:val="0"/>
                <w:color w:val="000000"/>
                <w:sz w:val="16"/>
              </w:rPr>
              <w:t>+0.3375</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Propensión Préstamo</w:t>
            </w:r>
          </w:p>
        </w:tc>
        <w:tc>
          <w:tcPr>
            <w:tcW w:type="dxa" w:w="754"/>
            <w:vAlign w:val="center"/>
          </w:tcPr>
          <w:p>
            <w:pPr>
              <w:spacing w:before="0" w:after="0" w:line="252" w:lineRule="auto"/>
              <w:jc w:val="center"/>
            </w:pPr>
            <w:r>
              <w:rPr>
                <w:rFonts w:ascii="Times New Roman" w:hAnsi="Times New Roman"/>
                <w:b w:val="0"/>
                <w:i w:val="0"/>
                <w:color w:val="000000"/>
                <w:sz w:val="16"/>
              </w:rPr>
              <w:t>-0.1082</w:t>
            </w:r>
          </w:p>
        </w:tc>
        <w:tc>
          <w:tcPr>
            <w:tcW w:type="dxa" w:w="1343"/>
            <w:vAlign w:val="center"/>
          </w:tcPr>
          <w:p>
            <w:pPr>
              <w:spacing w:before="0" w:after="0" w:line="252" w:lineRule="auto"/>
              <w:jc w:val="center"/>
            </w:pPr>
            <w:r>
              <w:rPr>
                <w:rFonts w:ascii="Times New Roman" w:hAnsi="Times New Roman"/>
                <w:b w:val="0"/>
                <w:i w:val="0"/>
                <w:color w:val="000000"/>
                <w:sz w:val="16"/>
              </w:rPr>
              <w:t>-0.0119</w:t>
            </w:r>
          </w:p>
        </w:tc>
        <w:tc>
          <w:tcPr>
            <w:tcW w:type="dxa" w:w="1183"/>
            <w:vAlign w:val="center"/>
          </w:tcPr>
          <w:p>
            <w:pPr>
              <w:spacing w:before="0" w:after="0" w:line="252" w:lineRule="auto"/>
              <w:jc w:val="center"/>
            </w:pPr>
            <w:r>
              <w:rPr>
                <w:rFonts w:ascii="Times New Roman" w:hAnsi="Times New Roman"/>
                <w:b w:val="0"/>
                <w:i w:val="0"/>
                <w:color w:val="000000"/>
                <w:sz w:val="16"/>
              </w:rPr>
              <w:t>+0.2304</w:t>
            </w:r>
          </w:p>
        </w:tc>
        <w:tc>
          <w:tcPr>
            <w:tcW w:type="dxa" w:w="1394"/>
            <w:vAlign w:val="center"/>
          </w:tcPr>
          <w:p>
            <w:pPr>
              <w:spacing w:before="0" w:after="0" w:line="252" w:lineRule="auto"/>
              <w:jc w:val="center"/>
            </w:pPr>
            <w:r>
              <w:rPr>
                <w:rFonts w:ascii="Times New Roman" w:hAnsi="Times New Roman"/>
                <w:b w:val="0"/>
                <w:i w:val="0"/>
                <w:color w:val="000000"/>
                <w:sz w:val="16"/>
              </w:rPr>
              <w:t>+0.2217</w:t>
            </w:r>
          </w:p>
        </w:tc>
        <w:tc>
          <w:tcPr>
            <w:tcW w:type="dxa" w:w="1238"/>
            <w:vAlign w:val="center"/>
          </w:tcPr>
          <w:p>
            <w:pPr>
              <w:spacing w:before="0" w:after="0" w:line="252" w:lineRule="auto"/>
              <w:jc w:val="center"/>
            </w:pPr>
            <w:r>
              <w:rPr>
                <w:rFonts w:ascii="Times New Roman" w:hAnsi="Times New Roman"/>
                <w:b w:val="0"/>
                <w:i w:val="0"/>
                <w:color w:val="000000"/>
                <w:sz w:val="16"/>
              </w:rPr>
              <w:t>+0.3375</w:t>
            </w:r>
          </w:p>
        </w:tc>
        <w:tc>
          <w:tcPr>
            <w:tcW w:type="dxa" w:w="1443"/>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34088"/>
            <wp:docPr id="6" name="Picture 6"/>
            <wp:cNvGraphicFramePr>
              <a:graphicFrameLocks noChangeAspect="1"/>
            </wp:cNvGraphicFramePr>
            <a:graphic>
              <a:graphicData uri="http://schemas.openxmlformats.org/drawingml/2006/picture">
                <pic:pic>
                  <pic:nvPicPr>
                    <pic:cNvPr id="0" name="fig_4c_pearson_perfil.png"/>
                    <pic:cNvPicPr/>
                  </pic:nvPicPr>
                  <pic:blipFill>
                    <a:blip r:embed="rId16"/>
                    <a:stretch>
                      <a:fillRect/>
                    </a:stretch>
                  </pic:blipFill>
                  <pic:spPr>
                    <a:xfrm>
                      <a:off x="0" y="0"/>
                      <a:ext cx="4389120" cy="3234088"/>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12:</w:t>
      </w:r>
      <w:r>
        <w:rPr>
          <w:rFonts w:ascii="Times New Roman" w:hAnsi="Times New Roman"/>
          <w:sz w:val="20"/>
        </w:rPr>
        <w:t xml:space="preserve"> Matriz de Correlación Multivariante de Perfil Financiero y Demográfico.</w:t>
      </w:r>
    </w:p>
    <w:p>
      <w:pPr>
        <w:keepNext/>
        <w:spacing w:before="120" w:after="40"/>
        <w:jc w:val="left"/>
      </w:pPr>
      <w:r>
        <w:rPr>
          <w:rFonts w:ascii="Times New Roman" w:hAnsi="Times New Roman"/>
          <w:b/>
          <w:i w:val="0"/>
          <w:color w:val="000000"/>
          <w:sz w:val="22"/>
        </w:rPr>
        <w:t>Conclusión y Dictamen del Mejor Método sobre df_cliente_consolidado</w:t>
      </w:r>
    </w:p>
    <w:p>
      <w:pPr>
        <w:spacing w:line="276" w:lineRule="auto" w:before="0" w:after="90"/>
        <w:jc w:val="both"/>
      </w:pPr>
      <w:r>
        <w:rPr>
          <w:rFonts w:ascii="Times New Roman" w:hAnsi="Times New Roman"/>
          <w:b w:val="0"/>
          <w:i w:val="0"/>
          <w:color w:val="000000"/>
          <w:sz w:val="22"/>
        </w:rPr>
        <w:t>Dictamen Técnico: Se dictamina una arquitectura híbrida en dos fases: Filtrado Demográfico por Estereotipos (Modelo 4A) como motor imprescindible de bienvenida (cobertura 100%), complementado con Filtrado Colaborativo Usuario a Usuario (Modelo 4B, AUC = 0.7905) para la cartera madura con historial transaccional consolidado.</w:t>
      </w:r>
    </w:p>
    <w:p>
      <w:pPr>
        <w:keepNext/>
        <w:spacing w:before="140" w:after="40"/>
        <w:jc w:val="left"/>
      </w:pPr>
      <w:r>
        <w:rPr>
          <w:rFonts w:ascii="Times New Roman" w:hAnsi="Times New Roman"/>
          <w:b/>
          <w:i w:val="0"/>
          <w:color w:val="000000"/>
          <w:sz w:val="22"/>
        </w:rPr>
        <w:t>2.7.7 Sistema de recomendación item to item (similitud de cosenos y Pearson)</w:t>
      </w:r>
    </w:p>
    <w:p>
      <w:pPr>
        <w:spacing w:line="276" w:lineRule="auto" w:before="0" w:after="90"/>
        <w:jc w:val="both"/>
      </w:pPr>
      <w:r>
        <w:rPr>
          <w:rFonts w:ascii="Times New Roman" w:hAnsi="Times New Roman"/>
          <w:b w:val="0"/>
          <w:i w:val="0"/>
          <w:color w:val="000000"/>
          <w:sz w:val="22"/>
        </w:rPr>
        <w:t>Los sistemas de recomendación ítem a ítem (Item-to-Item Collaborative Filtering) operan bajo el principio de que la afinidad entre dos productos puede estimarse cuantificando el grado de coincidencia o correlación en los patrones de consumo de los clientes comunes. En esta práctica se implementaron modelos basados en proximidad angular (Similitud del Coseno) y en interdependencia lineal (Correlación de Pearson) sobre los DataFrames de transacciones (df_transacciones) y órdenes domiciliadas (df_ordenes):</w:t>
      </w:r>
    </w:p>
    <w:p>
      <w:pPr>
        <w:keepNext/>
        <w:spacing w:before="120" w:after="40"/>
        <w:jc w:val="left"/>
      </w:pPr>
      <w:r>
        <w:rPr>
          <w:rFonts w:ascii="Times New Roman" w:hAnsi="Times New Roman"/>
          <w:b/>
          <w:i w:val="0"/>
          <w:color w:val="000000"/>
          <w:sz w:val="22"/>
        </w:rPr>
        <w:t>A. Sistemas Ítem a Ítem Basados en Similitud del Coseno</w:t>
      </w:r>
    </w:p>
    <w:p>
      <w:pPr>
        <w:keepNext/>
        <w:spacing w:before="120" w:after="40"/>
        <w:jc w:val="left"/>
      </w:pPr>
      <w:r>
        <w:rPr>
          <w:rFonts w:ascii="Times New Roman" w:hAnsi="Times New Roman"/>
          <w:b/>
          <w:i w:val="0"/>
          <w:color w:val="000000"/>
          <w:sz w:val="22"/>
        </w:rPr>
        <w:t>Modelo 1B: Similitud del Coseno Ajustado sobre Calificaciones de Transacciones</w:t>
      </w:r>
    </w:p>
    <w:p>
      <w:pPr>
        <w:spacing w:line="276" w:lineRule="auto" w:before="0" w:after="90"/>
        <w:jc w:val="both"/>
      </w:pPr>
      <w:r>
        <w:rPr>
          <w:rFonts w:ascii="Times New Roman" w:hAnsi="Times New Roman"/>
          <w:b w:val="0"/>
          <w:i w:val="0"/>
          <w:color w:val="000000"/>
          <w:sz w:val="22"/>
        </w:rPr>
        <w:t>Fundamento teórico y formulación: Cuando las calificaciones son estrictamente positivas, el coseno tradicional se comprime en valores elevados. El Coseno Ajustado (Sarwar et al., 2001) resta a cada calificación la media personal del usuario bar{r}_u, expandiendo el rango a [-1.0, +1.0]:</w:t>
      </w:r>
    </w:p>
    <w:p>
      <w:pPr>
        <w:keepNext/>
        <w:spacing w:before="80" w:after="80"/>
        <w:jc w:val="center"/>
      </w:pPr>
      <m:oMathPara>
        <m:oMath>
          <m:sSub>
            <m:e>
              <m:r>
                <m:rPr>
                  <m:sty m:val="p"/>
                </m:rPr>
                <m:t>cos</m:t>
              </m:r>
            </m:e>
            <m:sub>
              <m:r>
                <m:rPr>
                  <m:nor/>
                </m:rPr>
                <m:t>adj</m:t>
              </m:r>
            </m:sub>
          </m:sSub>
          <m:r>
            <m:t>(</m:t>
          </m:r>
          <m:sSub>
            <m:e>
              <m:limUpp>
                <m:e>
                  <m:r>
                    <m:t>p</m:t>
                  </m:r>
                </m:e>
                <m:lim>
                  <m:r>
                    <m:t>→</m:t>
                  </m:r>
                </m:lim>
              </m:limUpp>
            </m:e>
            <m:sub>
              <m:r>
                <m:t>A</m:t>
              </m:r>
            </m:sub>
          </m:sSub>
          <m:r>
            <m:t>,</m:t>
          </m:r>
          <m:sSub>
            <m:e>
              <m:limUpp>
                <m:e>
                  <m:r>
                    <m:t>p</m:t>
                  </m:r>
                </m:e>
                <m:lim>
                  <m:r>
                    <m:t>→</m:t>
                  </m:r>
                </m:lim>
              </m:limUpp>
            </m:e>
            <m:sub>
              <m:r>
                <m:t>B</m:t>
              </m:r>
            </m:sub>
          </m:sSub>
          <m:r>
            <m:t>)=</m:t>
          </m:r>
          <m:f>
            <m:fPr>
              <m:type m:val="bar"/>
            </m:fPr>
            <m:num>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r>
                <m:t>)(</m:t>
              </m:r>
              <m:sSub>
                <m:e>
                  <m:r>
                    <m:t>r</m:t>
                  </m:r>
                </m:e>
                <m:sub>
                  <m:r>
                    <m:t>u,B</m:t>
                  </m:r>
                </m:sub>
              </m:sSub>
              <m:r>
                <m:t>−</m:t>
              </m:r>
              <m:sSub>
                <m:e>
                  <m:bar>
                    <m:barPr>
                      <m:pos m:val="top"/>
                    </m:barPr>
                    <m:e>
                      <m:r>
                        <m:t>r</m:t>
                      </m:r>
                    </m:e>
                  </m:bar>
                </m:e>
                <m:sub>
                  <m:r>
                    <m:t>u</m:t>
                  </m:r>
                </m:sub>
              </m:sSub>
              <m:r>
                <m:t>)</m:t>
              </m:r>
            </m:num>
            <m:den>
              <m:rad>
                <m:radPr>
                  <m:degHide m:val="on"/>
                </m:radPr>
                <m:deg/>
                <m:e>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sSup>
                    <m:e>
                      <m:r>
                        <m:t>)</m:t>
                      </m:r>
                    </m:e>
                    <m:sup>
                      <m:r>
                        <m:t>2</m:t>
                      </m:r>
                    </m:sup>
                  </m:sSup>
                </m:e>
              </m:rad>
              <m:r>
                <m:t>·</m:t>
              </m:r>
              <m:rad>
                <m:radPr>
                  <m:degHide m:val="on"/>
                </m:radPr>
                <m:deg/>
                <m:e>
                  <m:nary>
                    <m:naryPr>
                      <m:chr m:val="∑"/>
                      <m:limLoc m:val="subSup"/>
                      <m:grow m:val="1"/>
                      <m:subHide m:val="off"/>
                      <m:supHide m:val="on"/>
                    </m:naryPr>
                    <m:sub>
                      <m:r>
                        <m:t>u∈U</m:t>
                      </m:r>
                    </m:sub>
                    <m:sup/>
                    <m:e>
                      <m:r>
                        <m:t>(</m:t>
                      </m:r>
                    </m:e>
                  </m:nary>
                  <m:sSub>
                    <m:e>
                      <m:r>
                        <m:t>r</m:t>
                      </m:r>
                    </m:e>
                    <m:sub>
                      <m:r>
                        <m:t>u,B</m:t>
                      </m:r>
                    </m:sub>
                  </m:sSub>
                  <m:r>
                    <m:t>−</m:t>
                  </m:r>
                  <m:sSub>
                    <m:e>
                      <m:bar>
                        <m:barPr>
                          <m:pos m:val="top"/>
                        </m:barPr>
                        <m:e>
                          <m:r>
                            <m:t>r</m:t>
                          </m:r>
                        </m:e>
                      </m:bar>
                    </m:e>
                    <m:sub>
                      <m:r>
                        <m:t>u</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La Tabla 6 presenta la matriz del Coseno Ajustado sobre los 3,653 clientes activos de df_transacciones:</w:t>
      </w:r>
    </w:p>
    <w:p>
      <w:pPr>
        <w:keepNext/>
        <w:spacing w:before="200" w:after="80"/>
        <w:jc w:val="center"/>
      </w:pPr>
      <w:r>
        <w:rPr>
          <w:rFonts w:ascii="Times New Roman" w:hAnsi="Times New Roman"/>
          <w:b/>
          <w:i w:val="0"/>
          <w:color w:val="000000"/>
          <w:sz w:val="21"/>
        </w:rPr>
        <w:t>Tabla 6:</w:t>
      </w:r>
      <w:r>
        <w:rPr>
          <w:rFonts w:ascii="Times New Roman" w:hAnsi="Times New Roman"/>
          <w:sz w:val="21"/>
        </w:rPr>
        <w:t xml:space="preserve"> Matriz de Similitud del Coseno Ajustado entre Servicios Financieros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91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Financiero</w:t>
            </w:r>
          </w:p>
        </w:tc>
        <w:tc>
          <w:tcPr>
            <w:tcW w:type="dxa" w:w="109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002"/>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64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PRESTAMO</w:t>
            </w:r>
          </w:p>
        </w:tc>
        <w:tc>
          <w:tcPr>
            <w:tcW w:type="dxa" w:w="1092"/>
            <w:vAlign w:val="center"/>
          </w:tcPr>
          <w:p>
            <w:pPr>
              <w:spacing w:before="0" w:after="0" w:line="252" w:lineRule="auto"/>
              <w:jc w:val="center"/>
            </w:pPr>
            <w:r>
              <w:rPr>
                <w:rFonts w:ascii="Times New Roman" w:hAnsi="Times New Roman"/>
                <w:b w:val="0"/>
                <w:i w:val="0"/>
                <w:color w:val="000000"/>
                <w:sz w:val="17"/>
              </w:rPr>
              <w:t>1.0000</w:t>
            </w:r>
          </w:p>
        </w:tc>
        <w:tc>
          <w:tcPr>
            <w:tcW w:type="dxa" w:w="1002"/>
            <w:vAlign w:val="center"/>
          </w:tcPr>
          <w:p>
            <w:pPr>
              <w:spacing w:before="0" w:after="0" w:line="252" w:lineRule="auto"/>
              <w:jc w:val="center"/>
            </w:pPr>
            <w:r>
              <w:rPr>
                <w:rFonts w:ascii="Times New Roman" w:hAnsi="Times New Roman"/>
                <w:b w:val="0"/>
                <w:i w:val="0"/>
                <w:color w:val="000000"/>
                <w:sz w:val="17"/>
              </w:rPr>
              <w:t>+0.0229</w:t>
            </w:r>
          </w:p>
        </w:tc>
        <w:tc>
          <w:tcPr>
            <w:tcW w:type="dxa" w:w="1644"/>
            <w:vAlign w:val="center"/>
          </w:tcPr>
          <w:p>
            <w:pPr>
              <w:spacing w:before="0" w:after="0" w:line="252" w:lineRule="auto"/>
              <w:jc w:val="center"/>
            </w:pPr>
            <w:r>
              <w:rPr>
                <w:rFonts w:ascii="Times New Roman" w:hAnsi="Times New Roman"/>
                <w:b w:val="0"/>
                <w:i w:val="0"/>
                <w:color w:val="000000"/>
                <w:sz w:val="17"/>
              </w:rPr>
              <w:t>-0.0003</w:t>
            </w:r>
          </w:p>
        </w:tc>
        <w:tc>
          <w:tcPr>
            <w:tcW w:type="dxa" w:w="1572"/>
            <w:vAlign w:val="center"/>
          </w:tcPr>
          <w:p>
            <w:pPr>
              <w:spacing w:before="0" w:after="0" w:line="252" w:lineRule="auto"/>
              <w:jc w:val="center"/>
            </w:pPr>
            <w:r>
              <w:rPr>
                <w:rFonts w:ascii="Times New Roman" w:hAnsi="Times New Roman"/>
                <w:b w:val="0"/>
                <w:i w:val="0"/>
                <w:color w:val="000000"/>
                <w:sz w:val="17"/>
              </w:rPr>
              <w:t>-0.7507</w:t>
            </w:r>
          </w:p>
        </w:tc>
        <w:tc>
          <w:tcPr>
            <w:tcW w:type="dxa" w:w="1572"/>
            <w:vAlign w:val="center"/>
          </w:tcPr>
          <w:p>
            <w:pPr>
              <w:spacing w:before="0" w:after="0" w:line="252" w:lineRule="auto"/>
              <w:jc w:val="center"/>
            </w:pPr>
            <w:r>
              <w:rPr>
                <w:rFonts w:ascii="Times New Roman" w:hAnsi="Times New Roman"/>
                <w:b w:val="0"/>
                <w:i w:val="0"/>
                <w:color w:val="000000"/>
                <w:sz w:val="17"/>
              </w:rPr>
              <w:t>-0.1433</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SEGURO</w:t>
            </w:r>
          </w:p>
        </w:tc>
        <w:tc>
          <w:tcPr>
            <w:tcW w:type="dxa" w:w="1092"/>
            <w:vAlign w:val="center"/>
          </w:tcPr>
          <w:p>
            <w:pPr>
              <w:spacing w:before="0" w:after="0" w:line="252" w:lineRule="auto"/>
              <w:jc w:val="center"/>
            </w:pPr>
            <w:r>
              <w:rPr>
                <w:rFonts w:ascii="Times New Roman" w:hAnsi="Times New Roman"/>
                <w:b w:val="0"/>
                <w:i w:val="0"/>
                <w:color w:val="000000"/>
                <w:sz w:val="17"/>
              </w:rPr>
              <w:t>+0.0229</w:t>
            </w:r>
          </w:p>
        </w:tc>
        <w:tc>
          <w:tcPr>
            <w:tcW w:type="dxa" w:w="1002"/>
            <w:vAlign w:val="center"/>
          </w:tcPr>
          <w:p>
            <w:pPr>
              <w:spacing w:before="0" w:after="0" w:line="252" w:lineRule="auto"/>
              <w:jc w:val="center"/>
            </w:pPr>
            <w:r>
              <w:rPr>
                <w:rFonts w:ascii="Times New Roman" w:hAnsi="Times New Roman"/>
                <w:b w:val="0"/>
                <w:i w:val="0"/>
                <w:color w:val="000000"/>
                <w:sz w:val="17"/>
              </w:rPr>
              <w:t>1.0000</w:t>
            </w:r>
          </w:p>
        </w:tc>
        <w:tc>
          <w:tcPr>
            <w:tcW w:type="dxa" w:w="1644"/>
            <w:vAlign w:val="center"/>
          </w:tcPr>
          <w:p>
            <w:pPr>
              <w:spacing w:before="0" w:after="0" w:line="252" w:lineRule="auto"/>
              <w:jc w:val="center"/>
            </w:pPr>
            <w:r>
              <w:rPr>
                <w:rFonts w:ascii="Times New Roman" w:hAnsi="Times New Roman"/>
                <w:b w:val="0"/>
                <w:i w:val="0"/>
                <w:color w:val="000000"/>
                <w:sz w:val="17"/>
              </w:rPr>
              <w:t>+0.3360</w:t>
            </w:r>
          </w:p>
        </w:tc>
        <w:tc>
          <w:tcPr>
            <w:tcW w:type="dxa" w:w="1572"/>
            <w:vAlign w:val="center"/>
          </w:tcPr>
          <w:p>
            <w:pPr>
              <w:spacing w:before="0" w:after="0" w:line="252" w:lineRule="auto"/>
              <w:jc w:val="center"/>
            </w:pPr>
            <w:r>
              <w:rPr>
                <w:rFonts w:ascii="Times New Roman" w:hAnsi="Times New Roman"/>
                <w:b w:val="0"/>
                <w:i w:val="0"/>
                <w:color w:val="000000"/>
                <w:sz w:val="17"/>
              </w:rPr>
              <w:t>-0.2791</w:t>
            </w:r>
          </w:p>
        </w:tc>
        <w:tc>
          <w:tcPr>
            <w:tcW w:type="dxa" w:w="1572"/>
            <w:vAlign w:val="center"/>
          </w:tcPr>
          <w:p>
            <w:pPr>
              <w:spacing w:before="0" w:after="0" w:line="252" w:lineRule="auto"/>
              <w:jc w:val="center"/>
            </w:pPr>
            <w:r>
              <w:rPr>
                <w:rFonts w:ascii="Times New Roman" w:hAnsi="Times New Roman"/>
                <w:b w:val="0"/>
                <w:i w:val="0"/>
                <w:color w:val="000000"/>
                <w:sz w:val="17"/>
              </w:rPr>
              <w:t>-0.3107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SERVICIOS_HOGAR</w:t>
            </w:r>
          </w:p>
        </w:tc>
        <w:tc>
          <w:tcPr>
            <w:tcW w:type="dxa" w:w="1092"/>
            <w:vAlign w:val="center"/>
          </w:tcPr>
          <w:p>
            <w:pPr>
              <w:spacing w:before="0" w:after="0" w:line="252" w:lineRule="auto"/>
              <w:jc w:val="center"/>
            </w:pPr>
            <w:r>
              <w:rPr>
                <w:rFonts w:ascii="Times New Roman" w:hAnsi="Times New Roman"/>
                <w:b w:val="0"/>
                <w:i w:val="0"/>
                <w:color w:val="000000"/>
                <w:sz w:val="17"/>
              </w:rPr>
              <w:t>-0.0003</w:t>
            </w:r>
          </w:p>
        </w:tc>
        <w:tc>
          <w:tcPr>
            <w:tcW w:type="dxa" w:w="1002"/>
            <w:vAlign w:val="center"/>
          </w:tcPr>
          <w:p>
            <w:pPr>
              <w:spacing w:before="0" w:after="0" w:line="252" w:lineRule="auto"/>
              <w:jc w:val="center"/>
            </w:pPr>
            <w:r>
              <w:rPr>
                <w:rFonts w:ascii="Times New Roman" w:hAnsi="Times New Roman"/>
                <w:b w:val="0"/>
                <w:i w:val="0"/>
                <w:color w:val="000000"/>
                <w:sz w:val="17"/>
              </w:rPr>
              <w:t>+0.3360</w:t>
            </w:r>
          </w:p>
        </w:tc>
        <w:tc>
          <w:tcPr>
            <w:tcW w:type="dxa" w:w="1644"/>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-0.6001</w:t>
            </w:r>
          </w:p>
        </w:tc>
        <w:tc>
          <w:tcPr>
            <w:tcW w:type="dxa" w:w="1572"/>
            <w:vAlign w:val="center"/>
          </w:tcPr>
          <w:p>
            <w:pPr>
              <w:spacing w:before="0" w:after="0" w:line="252" w:lineRule="auto"/>
              <w:jc w:val="center"/>
            </w:pPr>
            <w:r>
              <w:rPr>
                <w:rFonts w:ascii="Times New Roman" w:hAnsi="Times New Roman"/>
                <w:b w:val="0"/>
                <w:i w:val="0"/>
                <w:color w:val="000000"/>
                <w:sz w:val="17"/>
              </w:rPr>
              <w:t>+0.0877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TARJETA_DEBITO</w:t>
            </w:r>
          </w:p>
        </w:tc>
        <w:tc>
          <w:tcPr>
            <w:tcW w:type="dxa" w:w="1092"/>
            <w:vAlign w:val="center"/>
          </w:tcPr>
          <w:p>
            <w:pPr>
              <w:spacing w:before="0" w:after="0" w:line="252" w:lineRule="auto"/>
              <w:jc w:val="center"/>
            </w:pPr>
            <w:r>
              <w:rPr>
                <w:rFonts w:ascii="Times New Roman" w:hAnsi="Times New Roman"/>
                <w:b w:val="0"/>
                <w:i w:val="0"/>
                <w:color w:val="000000"/>
                <w:sz w:val="17"/>
              </w:rPr>
              <w:t>-0.7507</w:t>
            </w:r>
          </w:p>
        </w:tc>
        <w:tc>
          <w:tcPr>
            <w:tcW w:type="dxa" w:w="1002"/>
            <w:vAlign w:val="center"/>
          </w:tcPr>
          <w:p>
            <w:pPr>
              <w:spacing w:before="0" w:after="0" w:line="252" w:lineRule="auto"/>
              <w:jc w:val="center"/>
            </w:pPr>
            <w:r>
              <w:rPr>
                <w:rFonts w:ascii="Times New Roman" w:hAnsi="Times New Roman"/>
                <w:b w:val="0"/>
                <w:i w:val="0"/>
                <w:color w:val="000000"/>
                <w:sz w:val="17"/>
              </w:rPr>
              <w:t>-0.2791</w:t>
            </w:r>
          </w:p>
        </w:tc>
        <w:tc>
          <w:tcPr>
            <w:tcW w:type="dxa" w:w="1644"/>
            <w:vAlign w:val="center"/>
          </w:tcPr>
          <w:p>
            <w:pPr>
              <w:spacing w:before="0" w:after="0" w:line="252" w:lineRule="auto"/>
              <w:jc w:val="center"/>
            </w:pPr>
            <w:r>
              <w:rPr>
                <w:rFonts w:ascii="Times New Roman" w:hAnsi="Times New Roman"/>
                <w:b w:val="0"/>
                <w:i w:val="0"/>
                <w:color w:val="000000"/>
                <w:sz w:val="17"/>
              </w:rPr>
              <w:t>-0.6001</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-0.1687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TRANSF_EXTERNA</w:t>
            </w:r>
          </w:p>
        </w:tc>
        <w:tc>
          <w:tcPr>
            <w:tcW w:type="dxa" w:w="1092"/>
            <w:vAlign w:val="center"/>
          </w:tcPr>
          <w:p>
            <w:pPr>
              <w:spacing w:before="0" w:after="0" w:line="252" w:lineRule="auto"/>
              <w:jc w:val="center"/>
            </w:pPr>
            <w:r>
              <w:rPr>
                <w:rFonts w:ascii="Times New Roman" w:hAnsi="Times New Roman"/>
                <w:b w:val="0"/>
                <w:i w:val="0"/>
                <w:color w:val="000000"/>
                <w:sz w:val="17"/>
              </w:rPr>
              <w:t>-0.1433</w:t>
            </w:r>
          </w:p>
        </w:tc>
        <w:tc>
          <w:tcPr>
            <w:tcW w:type="dxa" w:w="1002"/>
            <w:vAlign w:val="center"/>
          </w:tcPr>
          <w:p>
            <w:pPr>
              <w:spacing w:before="0" w:after="0" w:line="252" w:lineRule="auto"/>
              <w:jc w:val="center"/>
            </w:pPr>
            <w:r>
              <w:rPr>
                <w:rFonts w:ascii="Times New Roman" w:hAnsi="Times New Roman"/>
                <w:b w:val="0"/>
                <w:i w:val="0"/>
                <w:color w:val="000000"/>
                <w:sz w:val="17"/>
              </w:rPr>
              <w:t>-0.3107</w:t>
            </w:r>
          </w:p>
        </w:tc>
        <w:tc>
          <w:tcPr>
            <w:tcW w:type="dxa" w:w="1644"/>
            <w:vAlign w:val="center"/>
          </w:tcPr>
          <w:p>
            <w:pPr>
              <w:spacing w:before="0" w:after="0" w:line="252" w:lineRule="auto"/>
              <w:jc w:val="center"/>
            </w:pPr>
            <w:r>
              <w:rPr>
                <w:rFonts w:ascii="Times New Roman" w:hAnsi="Times New Roman"/>
                <w:b w:val="0"/>
                <w:i w:val="0"/>
                <w:color w:val="000000"/>
                <w:sz w:val="17"/>
              </w:rPr>
              <w:t>+0.0877</w:t>
            </w:r>
          </w:p>
        </w:tc>
        <w:tc>
          <w:tcPr>
            <w:tcW w:type="dxa" w:w="1572"/>
            <w:vAlign w:val="center"/>
          </w:tcPr>
          <w:p>
            <w:pPr>
              <w:spacing w:before="0" w:after="0" w:line="252" w:lineRule="auto"/>
              <w:jc w:val="center"/>
            </w:pPr>
            <w:r>
              <w:rPr>
                <w:rFonts w:ascii="Times New Roman" w:hAnsi="Times New Roman"/>
                <w:b w:val="0"/>
                <w:i w:val="0"/>
                <w:color w:val="000000"/>
                <w:sz w:val="17"/>
              </w:rPr>
              <w:t>-0.1687</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7" name="Picture 7"/>
            <wp:cNvGraphicFramePr>
              <a:graphicFrameLocks noChangeAspect="1"/>
            </wp:cNvGraphicFramePr>
            <a:graphic>
              <a:graphicData uri="http://schemas.openxmlformats.org/drawingml/2006/picture">
                <pic:pic>
                  <pic:nvPicPr>
                    <pic:cNvPr id="0" name="fig_1b_coseno.png"/>
                    <pic:cNvPicPr/>
                  </pic:nvPicPr>
                  <pic:blipFill>
                    <a:blip r:embed="rId17"/>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2:</w:t>
      </w:r>
      <w:r>
        <w:rPr>
          <w:rFonts w:ascii="Times New Roman" w:hAnsi="Times New Roman"/>
          <w:sz w:val="20"/>
        </w:rPr>
        <w:t xml:space="preserve"> Matriz de Similitud del Coseno Ajustado Centrado en Medias.</w:t>
      </w:r>
    </w:p>
    <w:p>
      <w:pPr>
        <w:spacing w:line="276" w:lineRule="auto" w:before="0" w:after="90"/>
        <w:jc w:val="both"/>
      </w:pPr>
      <w:r>
        <w:rPr>
          <w:rFonts w:ascii="Times New Roman" w:hAnsi="Times New Roman"/>
          <w:b w:val="0"/>
          <w:i w:val="0"/>
          <w:color w:val="000000"/>
          <w:sz w:val="22"/>
        </w:rPr>
        <w:t>Interpretación analítica y de negocio: La asociación positiva más destacada ocurre entre Seguro y Servicios del Hogar (+0.3360), reflejando que los clientes con disciplina de pagos domésticos tienen una disposición natural hacia pólizas de seguro. En contraste, Tarjeta de Débito exhibe correlaciones fuertemente negativas con Préstamo (-0.7507) y Hogar (-0.6001).</w:t>
      </w:r>
    </w:p>
    <w:p>
      <w:pPr>
        <w:keepNext/>
        <w:spacing w:before="120" w:after="40"/>
        <w:jc w:val="left"/>
      </w:pPr>
      <w:r>
        <w:rPr>
          <w:rFonts w:ascii="Times New Roman" w:hAnsi="Times New Roman"/>
          <w:b/>
          <w:i w:val="0"/>
          <w:color w:val="000000"/>
          <w:sz w:val="22"/>
        </w:rPr>
        <w:t>Modelo 2A: Similitud del Coseno Binario sobre Órdenes Domiciliadas</w:t>
      </w:r>
    </w:p>
    <w:p>
      <w:pPr>
        <w:spacing w:line="276" w:lineRule="auto" w:before="0" w:after="90"/>
        <w:jc w:val="both"/>
      </w:pPr>
      <w:r>
        <w:rPr>
          <w:rFonts w:ascii="Times New Roman" w:hAnsi="Times New Roman"/>
          <w:b w:val="0"/>
          <w:i w:val="0"/>
          <w:color w:val="000000"/>
          <w:sz w:val="22"/>
        </w:rPr>
        <w:t>Fundamento teórico y formulación: Sobre los contratos de débito permanente en df_ordenes, la interacción es binaria (posee o no posee orden). La similitud de co-adquisición se formula como el producto escalar normalizado:</w:t>
      </w:r>
    </w:p>
    <w:p>
      <w:pPr>
        <w:keepNext/>
        <w:spacing w:before="80" w:after="80"/>
        <w:jc w:val="center"/>
      </w:pPr>
      <m:oMathPara>
        <m:oMath>
          <m:r>
            <m:rPr>
              <m:sty m:val="p"/>
            </m:rPr>
            <m:t>cos</m:t>
          </m:r>
          <m:r>
            <m:t>(</m:t>
          </m:r>
          <m:limUpp>
            <m:e>
              <m:r>
                <m:t>a</m:t>
              </m:r>
            </m:e>
            <m:lim>
              <m:r>
                <m:t>→</m:t>
              </m:r>
            </m:lim>
          </m:limUpp>
          <m:r>
            <m:t>,</m:t>
          </m:r>
          <m:limUpp>
            <m:e>
              <m:r>
                <m:t>b</m:t>
              </m:r>
            </m:e>
            <m:lim>
              <m:r>
                <m:t>→</m:t>
              </m:r>
            </m:lim>
          </m:limUpp>
          <m:r>
            <m:t>)=</m:t>
          </m:r>
          <m:f>
            <m:fPr>
              <m:type m:val="bar"/>
            </m:fPr>
            <m:num>
              <m:limUpp>
                <m:e>
                  <m:r>
                    <m:t>a</m:t>
                  </m:r>
                </m:e>
                <m:lim>
                  <m:r>
                    <m:t>→</m:t>
                  </m:r>
                </m:lim>
              </m:limUpp>
              <m:r>
                <m:t>·</m:t>
              </m:r>
              <m:limUpp>
                <m:e>
                  <m:r>
                    <m:t>b</m:t>
                  </m:r>
                </m:e>
                <m:lim>
                  <m:r>
                    <m:t>→</m:t>
                  </m:r>
                </m:lim>
              </m:limUpp>
            </m:num>
            <m:den>
              <m:d>
                <m:dPr>
                  <m:begChr m:val="‖"/>
                  <m:sepChr m:val="‖"/>
                  <m:endChr m:val="‖"/>
                </m:dPr>
                <m:e/>
                <m:e/>
                <m:e/>
              </m:d>
            </m:den>
          </m:f>
          <m:r>
            <m:t>=</m:t>
          </m:r>
          <m:f>
            <m:fPr>
              <m:type m:val="bar"/>
            </m:fPr>
            <m:num>
              <m:d>
                <m:dPr>
                  <m:begChr m:val="|"/>
                  <m:sepChr m:val="∩"/>
                  <m:endChr m:val="|"/>
                </m:dPr>
                <m:e>
                  <m:sSub>
                    <m:e>
                      <m:r>
                        <m:t>U</m:t>
                      </m:r>
                    </m:e>
                    <m:sub>
                      <m:r>
                        <m:t>a</m:t>
                      </m:r>
                    </m:sub>
                  </m:sSub>
                </m:e>
                <m:e>
                  <m:sSub>
                    <m:e>
                      <m:r>
                        <m:t>U</m:t>
                      </m:r>
                    </m:e>
                    <m:sub>
                      <m:r>
                        <m:t>b</m:t>
                      </m:r>
                    </m:sub>
                  </m:sSub>
                </m:e>
              </m:d>
            </m:num>
            <m:den>
              <m:rad>
                <m:radPr>
                  <m:degHide m:val="on"/>
                </m:radPr>
                <m:deg/>
                <m:e>
                  <m:d>
                    <m:dPr>
                      <m:begChr m:val="|"/>
                      <m:sepChr m:val=""/>
                      <m:endChr m:val="|"/>
                    </m:dPr>
                    <m:e>
                      <m:sSub>
                        <m:e>
                          <m:r>
                            <m:t>U</m:t>
                          </m:r>
                        </m:e>
                        <m:sub>
                          <m:r>
                            <m:t>a</m:t>
                          </m:r>
                        </m:sub>
                      </m:sSub>
                      <m:r>
                        <m:t>|</m:t>
                      </m:r>
                      <m:r>
                        <m:t>·</m:t>
                      </m:r>
                      <m:r>
                        <m:t>|</m:t>
                      </m:r>
                      <m:sSub>
                        <m:e>
                          <m:r>
                            <m:t>U</m:t>
                          </m:r>
                        </m:e>
                        <m:sub>
                          <m:r>
                            <m:t>b</m:t>
                          </m:r>
                        </m:sub>
                      </m:sSub>
                    </m:e>
                  </m:d>
                </m:e>
              </m:rad>
            </m:den>
          </m:f>
        </m:oMath>
      </m:oMathPara>
    </w:p>
    <w:p>
      <w:pPr>
        <w:spacing w:line="276" w:lineRule="auto" w:before="0" w:after="90"/>
        <w:jc w:val="both"/>
      </w:pPr>
      <w:r>
        <w:rPr>
          <w:rFonts w:ascii="Times New Roman" w:hAnsi="Times New Roman"/>
          <w:b w:val="0"/>
          <w:i w:val="0"/>
          <w:color w:val="000000"/>
          <w:sz w:val="22"/>
        </w:rPr>
        <w:t>Métricas de reglas de asociación y Lift: El soporte conjunto del par {Seguro, Hogar} es de 532 cuentas sobre 3,758 activas. El Lift asociado resulta:</w:t>
      </w:r>
    </w:p>
    <w:p>
      <w:pPr>
        <w:keepNext/>
        <w:spacing w:before="80" w:after="80"/>
        <w:jc w:val="center"/>
      </w:pPr>
      <m:oMathPara>
        <m:oMath>
          <m:r>
            <m:rPr>
              <m:nor/>
            </m:rPr>
            <m:t>Lift</m:t>
          </m:r>
          <m:r>
            <m:t>(</m:t>
          </m:r>
          <m:r>
            <m:rPr>
              <m:nor/>
            </m:rPr>
            <m:t>Seguro</m:t>
          </m:r>
          <m:r>
            <m:t>→</m:t>
          </m:r>
          <m:r>
            <m:rPr>
              <m:nor/>
            </m:rPr>
            <m:t>Hogar</m:t>
          </m:r>
          <m:r>
            <m:t>)=</m:t>
          </m:r>
          <m:f>
            <m:fPr>
              <m:type m:val="bar"/>
            </m:fPr>
            <m:num>
              <m:r>
                <m:t>P(</m:t>
              </m:r>
              <m:r>
                <m:rPr>
                  <m:nor/>
                </m:rPr>
                <m:t>Seguro</m:t>
              </m:r>
              <m:r>
                <m:t>∩</m:t>
              </m:r>
              <m:r>
                <m:rPr>
                  <m:nor/>
                </m:rPr>
                <m:t>Hogar</m:t>
              </m:r>
              <m:r>
                <m:t>)</m:t>
              </m:r>
            </m:num>
            <m:den>
              <m:r>
                <m:t>P(</m:t>
              </m:r>
              <m:r>
                <m:rPr>
                  <m:nor/>
                </m:rPr>
                <m:t>Seguro</m:t>
              </m:r>
              <m:r>
                <m:t>)·P(</m:t>
              </m:r>
              <m:r>
                <m:rPr>
                  <m:nor/>
                </m:rPr>
                <m:t>Hogar</m:t>
              </m:r>
              <m:r>
                <m:t>)</m:t>
              </m:r>
            </m:den>
          </m:f>
          <m:r>
            <m:t>=</m:t>
          </m:r>
          <m:f>
            <m:fPr>
              <m:type m:val="bar"/>
            </m:fPr>
            <m:num>
              <m:f>
                <m:fPr>
                  <m:type m:val="lin"/>
                </m:fPr>
                <m:num>
                  <m:r>
                    <m:t>532</m:t>
                  </m:r>
                </m:num>
                <m:den>
                  <m:r>
                    <m:t>3758</m:t>
                  </m:r>
                </m:den>
              </m:f>
            </m:num>
            <m:den>
              <m:d>
                <m:dPr>
                  <m:sepChr m:val=""/>
                </m:dPr>
                <m:e>
                  <m:r>
                    <m:t>532</m:t>
                  </m:r>
                  <m:r>
                    <m:t>/</m:t>
                  </m:r>
                  <m:r>
                    <m:t>3758</m:t>
                  </m:r>
                  <m:r>
                    <m:t>)</m:t>
                  </m:r>
                  <m:r>
                    <m:t>·</m:t>
                  </m:r>
                  <m:r>
                    <m:t>(</m:t>
                  </m:r>
                  <m:r>
                    <m:t>3365</m:t>
                  </m:r>
                  <m:r>
                    <m:t>/</m:t>
                  </m:r>
                  <m:r>
                    <m:t>3758</m:t>
                  </m:r>
                </m:e>
              </m:d>
            </m:den>
          </m:f>
          <m:r>
            <m:t>=</m:t>
          </m:r>
          <m:f>
            <m:fPr>
              <m:type m:val="bar"/>
            </m:fPr>
            <m:num>
              <m:r>
                <m:t>3758</m:t>
              </m:r>
            </m:num>
            <m:den>
              <m:r>
                <m:t>3365</m:t>
              </m:r>
            </m:den>
          </m:f>
          <m:r>
            <m:t>≈</m:t>
          </m:r>
          <m:r>
            <m:rPr>
              <m:sty m:val="b"/>
            </m:rPr>
            <m:t>1.12</m:t>
          </m:r>
        </m:oMath>
      </m:oMathPara>
    </w:p>
    <w:p>
      <w:pPr>
        <w:spacing w:line="276" w:lineRule="auto" w:before="0" w:after="90"/>
        <w:jc w:val="both"/>
      </w:pPr>
      <w:r>
        <w:rPr>
          <w:rFonts w:ascii="Times New Roman" w:hAnsi="Times New Roman"/>
          <w:b w:val="0"/>
          <w:i w:val="0"/>
          <w:color w:val="000000"/>
          <w:sz w:val="22"/>
        </w:rPr>
        <w:t>Un Lift de 1.12 confirma una asociación estadística positiva pero débil entre ambos servicios contractuales.</w:t>
      </w:r>
    </w:p>
    <w:p>
      <w:pPr>
        <w:spacing w:line="276" w:lineRule="auto" w:before="0" w:after="90"/>
        <w:jc w:val="both"/>
      </w:pPr>
      <w:r>
        <w:rPr>
          <w:rFonts w:ascii="Times New Roman" w:hAnsi="Times New Roman"/>
          <w:b w:val="0"/>
          <w:i w:val="0"/>
          <w:color w:val="000000"/>
          <w:sz w:val="22"/>
        </w:rPr>
        <w:t>La Tabla 8 detalla la matriz completa de similitud del coseno binario en df_ordenes (5 × 5):</w:t>
      </w:r>
    </w:p>
    <w:p>
      <w:pPr>
        <w:keepNext/>
        <w:spacing w:before="200" w:after="80"/>
        <w:jc w:val="center"/>
      </w:pPr>
      <w:r>
        <w:rPr>
          <w:rFonts w:ascii="Times New Roman" w:hAnsi="Times New Roman"/>
          <w:b/>
          <w:i w:val="0"/>
          <w:color w:val="000000"/>
          <w:sz w:val="21"/>
        </w:rPr>
        <w:t>Tabla 8:</w:t>
      </w:r>
      <w:r>
        <w:rPr>
          <w:rFonts w:ascii="Times New Roman" w:hAnsi="Times New Roman"/>
          <w:sz w:val="21"/>
        </w:rPr>
        <w:t xml:space="preserve"> Matriz de Similitud del Coseno Binario entre Contratos Domiciliados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020"/>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Contrato</w:t>
            </w:r>
          </w:p>
        </w:tc>
        <w:tc>
          <w:tcPr>
            <w:tcW w:type="dxa" w:w="932"/>
            <w:vAlign w:val="center"/>
            <w:tcBorders>
              <w:bottom w:val="single" w:sz="6" w:space="0" w:color="000000"/>
            </w:tcBorders>
          </w:tcPr>
          <w:p>
            <w:pPr>
              <w:spacing w:before="0" w:after="0" w:line="252" w:lineRule="auto"/>
              <w:jc w:val="center"/>
            </w:pPr>
            <w:r>
              <w:rPr>
                <w:rFonts w:ascii="Times New Roman" w:hAnsi="Times New Roman"/>
                <w:b/>
                <w:i w:val="0"/>
                <w:color w:val="000000"/>
                <w:sz w:val="17"/>
              </w:rPr>
              <w:t>Leasing</w:t>
            </w:r>
          </w:p>
        </w:tc>
        <w:tc>
          <w:tcPr>
            <w:tcW w:type="dxa" w:w="146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Préstamo</w:t>
            </w:r>
          </w:p>
        </w:tc>
        <w:tc>
          <w:tcPr>
            <w:tcW w:type="dxa" w:w="13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Seguros</w:t>
            </w:r>
          </w:p>
        </w:tc>
        <w:tc>
          <w:tcPr>
            <w:tcW w:type="dxa" w:w="15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Hogar</w:t>
            </w:r>
          </w:p>
        </w:tc>
        <w:tc>
          <w:tcPr>
            <w:tcW w:type="dxa" w:w="15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Sin Especificar</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Leasing (Arrendamiento)</w:t>
            </w:r>
          </w:p>
        </w:tc>
        <w:tc>
          <w:tcPr>
            <w:tcW w:type="dxa" w:w="932"/>
            <w:vAlign w:val="center"/>
          </w:tcPr>
          <w:p>
            <w:pPr>
              <w:spacing w:before="0" w:after="0" w:line="252" w:lineRule="auto"/>
              <w:jc w:val="center"/>
            </w:pPr>
            <w:r>
              <w:rPr>
                <w:rFonts w:ascii="Times New Roman" w:hAnsi="Times New Roman"/>
                <w:b w:val="0"/>
                <w:i w:val="0"/>
                <w:color w:val="000000"/>
                <w:sz w:val="17"/>
              </w:rPr>
              <w:t>1.0000</w:t>
            </w:r>
          </w:p>
        </w:tc>
        <w:tc>
          <w:tcPr>
            <w:tcW w:type="dxa" w:w="1463"/>
            <w:vAlign w:val="center"/>
          </w:tcPr>
          <w:p>
            <w:pPr>
              <w:spacing w:before="0" w:after="0" w:line="252" w:lineRule="auto"/>
              <w:jc w:val="center"/>
            </w:pPr>
            <w:r>
              <w:rPr>
                <w:rFonts w:ascii="Times New Roman" w:hAnsi="Times New Roman"/>
                <w:b w:val="0"/>
                <w:i w:val="0"/>
                <w:color w:val="000000"/>
                <w:sz w:val="17"/>
              </w:rPr>
              <w:t>0.0000</w:t>
            </w:r>
          </w:p>
        </w:tc>
        <w:tc>
          <w:tcPr>
            <w:tcW w:type="dxa" w:w="1323"/>
            <w:vAlign w:val="center"/>
          </w:tcPr>
          <w:p>
            <w:pPr>
              <w:spacing w:before="0" w:after="0" w:line="252" w:lineRule="auto"/>
              <w:jc w:val="center"/>
            </w:pPr>
            <w:r>
              <w:rPr>
                <w:rFonts w:ascii="Times New Roman" w:hAnsi="Times New Roman"/>
                <w:b w:val="0"/>
                <w:i w:val="0"/>
                <w:color w:val="000000"/>
                <w:sz w:val="17"/>
              </w:rPr>
              <w:t>0.1174</w:t>
            </w:r>
          </w:p>
        </w:tc>
        <w:tc>
          <w:tcPr>
            <w:tcW w:type="dxa" w:w="1530"/>
            <w:vAlign w:val="center"/>
          </w:tcPr>
          <w:p>
            <w:pPr>
              <w:spacing w:before="0" w:after="0" w:line="252" w:lineRule="auto"/>
              <w:jc w:val="center"/>
            </w:pPr>
            <w:r>
              <w:rPr>
                <w:rFonts w:ascii="Times New Roman" w:hAnsi="Times New Roman"/>
                <w:b w:val="0"/>
                <w:i w:val="0"/>
                <w:color w:val="000000"/>
                <w:sz w:val="17"/>
              </w:rPr>
              <w:t>0.1951</w:t>
            </w:r>
          </w:p>
        </w:tc>
        <w:tc>
          <w:tcPr>
            <w:tcW w:type="dxa" w:w="1530"/>
            <w:vAlign w:val="center"/>
          </w:tcPr>
          <w:p>
            <w:pPr>
              <w:spacing w:before="0" w:after="0" w:line="252" w:lineRule="auto"/>
              <w:jc w:val="center"/>
            </w:pPr>
            <w:r>
              <w:rPr>
                <w:rFonts w:ascii="Times New Roman" w:hAnsi="Times New Roman"/>
                <w:b w:val="0"/>
                <w:i w:val="0"/>
                <w:color w:val="000000"/>
                <w:sz w:val="17"/>
              </w:rPr>
              <w:t>0.1580</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Cuota de Préstamo</w:t>
            </w:r>
          </w:p>
        </w:tc>
        <w:tc>
          <w:tcPr>
            <w:tcW w:type="dxa" w:w="932"/>
            <w:vAlign w:val="center"/>
          </w:tcPr>
          <w:p>
            <w:pPr>
              <w:spacing w:before="0" w:after="0" w:line="252" w:lineRule="auto"/>
              <w:jc w:val="center"/>
            </w:pPr>
            <w:r>
              <w:rPr>
                <w:rFonts w:ascii="Times New Roman" w:hAnsi="Times New Roman"/>
                <w:b w:val="0"/>
                <w:i w:val="0"/>
                <w:color w:val="000000"/>
                <w:sz w:val="17"/>
              </w:rPr>
              <w:t>0.0000</w:t>
            </w:r>
          </w:p>
        </w:tc>
        <w:tc>
          <w:tcPr>
            <w:tcW w:type="dxa" w:w="1463"/>
            <w:vAlign w:val="center"/>
          </w:tcPr>
          <w:p>
            <w:pPr>
              <w:spacing w:before="0" w:after="0" w:line="252" w:lineRule="auto"/>
              <w:jc w:val="center"/>
            </w:pPr>
            <w:r>
              <w:rPr>
                <w:rFonts w:ascii="Times New Roman" w:hAnsi="Times New Roman"/>
                <w:b w:val="0"/>
                <w:i w:val="0"/>
                <w:color w:val="000000"/>
                <w:sz w:val="17"/>
              </w:rPr>
              <w:t>1.0000</w:t>
            </w:r>
          </w:p>
        </w:tc>
        <w:tc>
          <w:tcPr>
            <w:tcW w:type="dxa" w:w="1323"/>
            <w:vAlign w:val="center"/>
          </w:tcPr>
          <w:p>
            <w:pPr>
              <w:spacing w:before="0" w:after="0" w:line="252" w:lineRule="auto"/>
              <w:jc w:val="center"/>
            </w:pPr>
            <w:r>
              <w:rPr>
                <w:rFonts w:ascii="Times New Roman" w:hAnsi="Times New Roman"/>
                <w:b w:val="0"/>
                <w:i w:val="0"/>
                <w:color w:val="000000"/>
                <w:sz w:val="17"/>
              </w:rPr>
              <w:t>0.1975</w:t>
            </w:r>
          </w:p>
        </w:tc>
        <w:tc>
          <w:tcPr>
            <w:tcW w:type="dxa" w:w="1530"/>
            <w:vAlign w:val="center"/>
          </w:tcPr>
          <w:p>
            <w:pPr>
              <w:spacing w:before="0" w:after="0" w:line="252" w:lineRule="auto"/>
              <w:jc w:val="center"/>
            </w:pPr>
            <w:r>
              <w:rPr>
                <w:rFonts w:ascii="Times New Roman" w:hAnsi="Times New Roman"/>
                <w:b w:val="0"/>
                <w:i w:val="0"/>
                <w:color w:val="000000"/>
                <w:sz w:val="17"/>
              </w:rPr>
              <w:t>0.2936</w:t>
            </w:r>
          </w:p>
        </w:tc>
        <w:tc>
          <w:tcPr>
            <w:tcW w:type="dxa" w:w="1530"/>
            <w:vAlign w:val="center"/>
          </w:tcPr>
          <w:p>
            <w:pPr>
              <w:spacing w:before="0" w:after="0" w:line="252" w:lineRule="auto"/>
              <w:jc w:val="center"/>
            </w:pPr>
            <w:r>
              <w:rPr>
                <w:rFonts w:ascii="Times New Roman" w:hAnsi="Times New Roman"/>
                <w:b w:val="0"/>
                <w:i w:val="0"/>
                <w:color w:val="000000"/>
                <w:sz w:val="17"/>
              </w:rPr>
              <w:t>0.2633</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Pago de Seguros</w:t>
            </w:r>
          </w:p>
        </w:tc>
        <w:tc>
          <w:tcPr>
            <w:tcW w:type="dxa" w:w="932"/>
            <w:vAlign w:val="center"/>
          </w:tcPr>
          <w:p>
            <w:pPr>
              <w:spacing w:before="0" w:after="0" w:line="252" w:lineRule="auto"/>
              <w:jc w:val="center"/>
            </w:pPr>
            <w:r>
              <w:rPr>
                <w:rFonts w:ascii="Times New Roman" w:hAnsi="Times New Roman"/>
                <w:b w:val="0"/>
                <w:i w:val="0"/>
                <w:color w:val="000000"/>
                <w:sz w:val="17"/>
              </w:rPr>
              <w:t>0.1174</w:t>
            </w:r>
          </w:p>
        </w:tc>
        <w:tc>
          <w:tcPr>
            <w:tcW w:type="dxa" w:w="1463"/>
            <w:vAlign w:val="center"/>
          </w:tcPr>
          <w:p>
            <w:pPr>
              <w:spacing w:before="0" w:after="0" w:line="252" w:lineRule="auto"/>
              <w:jc w:val="center"/>
            </w:pPr>
            <w:r>
              <w:rPr>
                <w:rFonts w:ascii="Times New Roman" w:hAnsi="Times New Roman"/>
                <w:b w:val="0"/>
                <w:i w:val="0"/>
                <w:color w:val="000000"/>
                <w:sz w:val="17"/>
              </w:rPr>
              <w:t>0.1975</w:t>
            </w:r>
          </w:p>
        </w:tc>
        <w:tc>
          <w:tcPr>
            <w:tcW w:type="dxa" w:w="1323"/>
            <w:vAlign w:val="center"/>
          </w:tcPr>
          <w:p>
            <w:pPr>
              <w:spacing w:before="0" w:after="0" w:line="252" w:lineRule="auto"/>
              <w:jc w:val="center"/>
            </w:pPr>
            <w:r>
              <w:rPr>
                <w:rFonts w:ascii="Times New Roman" w:hAnsi="Times New Roman"/>
                <w:b w:val="0"/>
                <w:i w:val="0"/>
                <w:color w:val="000000"/>
                <w:sz w:val="17"/>
              </w:rPr>
              <w:t>1.0000</w:t>
            </w:r>
          </w:p>
        </w:tc>
        <w:tc>
          <w:tcPr>
            <w:tcW w:type="dxa" w:w="1530"/>
            <w:vAlign w:val="center"/>
          </w:tcPr>
          <w:p>
            <w:pPr>
              <w:spacing w:before="0" w:after="0" w:line="252" w:lineRule="auto"/>
              <w:jc w:val="center"/>
            </w:pPr>
            <w:r>
              <w:rPr>
                <w:rFonts w:ascii="Times New Roman" w:hAnsi="Times New Roman"/>
                <w:b w:val="0"/>
                <w:i w:val="0"/>
                <w:color w:val="000000"/>
                <w:sz w:val="17"/>
              </w:rPr>
              <w:t>0.3976</w:t>
            </w:r>
          </w:p>
        </w:tc>
        <w:tc>
          <w:tcPr>
            <w:tcW w:type="dxa" w:w="1530"/>
            <w:vAlign w:val="center"/>
          </w:tcPr>
          <w:p>
            <w:pPr>
              <w:spacing w:before="0" w:after="0" w:line="252" w:lineRule="auto"/>
              <w:jc w:val="center"/>
            </w:pPr>
            <w:r>
              <w:rPr>
                <w:rFonts w:ascii="Times New Roman" w:hAnsi="Times New Roman"/>
                <w:b w:val="0"/>
                <w:i w:val="0"/>
                <w:color w:val="000000"/>
                <w:sz w:val="17"/>
              </w:rPr>
              <w:t>0.6664</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Servicios del Hogar</w:t>
            </w:r>
          </w:p>
        </w:tc>
        <w:tc>
          <w:tcPr>
            <w:tcW w:type="dxa" w:w="932"/>
            <w:vAlign w:val="center"/>
          </w:tcPr>
          <w:p>
            <w:pPr>
              <w:spacing w:before="0" w:after="0" w:line="252" w:lineRule="auto"/>
              <w:jc w:val="center"/>
            </w:pPr>
            <w:r>
              <w:rPr>
                <w:rFonts w:ascii="Times New Roman" w:hAnsi="Times New Roman"/>
                <w:b w:val="0"/>
                <w:i w:val="0"/>
                <w:color w:val="000000"/>
                <w:sz w:val="17"/>
              </w:rPr>
              <w:t>0.1951</w:t>
            </w:r>
          </w:p>
        </w:tc>
        <w:tc>
          <w:tcPr>
            <w:tcW w:type="dxa" w:w="1463"/>
            <w:vAlign w:val="center"/>
          </w:tcPr>
          <w:p>
            <w:pPr>
              <w:spacing w:before="0" w:after="0" w:line="252" w:lineRule="auto"/>
              <w:jc w:val="center"/>
            </w:pPr>
            <w:r>
              <w:rPr>
                <w:rFonts w:ascii="Times New Roman" w:hAnsi="Times New Roman"/>
                <w:b w:val="0"/>
                <w:i w:val="0"/>
                <w:color w:val="000000"/>
                <w:sz w:val="17"/>
              </w:rPr>
              <w:t>0.2936</w:t>
            </w:r>
          </w:p>
        </w:tc>
        <w:tc>
          <w:tcPr>
            <w:tcW w:type="dxa" w:w="1323"/>
            <w:vAlign w:val="center"/>
          </w:tcPr>
          <w:p>
            <w:pPr>
              <w:spacing w:before="0" w:after="0" w:line="252" w:lineRule="auto"/>
              <w:jc w:val="center"/>
            </w:pPr>
            <w:r>
              <w:rPr>
                <w:rFonts w:ascii="Times New Roman" w:hAnsi="Times New Roman"/>
                <w:b w:val="0"/>
                <w:i w:val="0"/>
                <w:color w:val="000000"/>
                <w:sz w:val="17"/>
              </w:rPr>
              <w:t>0.3976</w:t>
            </w:r>
          </w:p>
        </w:tc>
        <w:tc>
          <w:tcPr>
            <w:tcW w:type="dxa" w:w="1530"/>
            <w:vAlign w:val="center"/>
          </w:tcPr>
          <w:p>
            <w:pPr>
              <w:spacing w:before="0" w:after="0" w:line="252" w:lineRule="auto"/>
              <w:jc w:val="center"/>
            </w:pPr>
            <w:r>
              <w:rPr>
                <w:rFonts w:ascii="Times New Roman" w:hAnsi="Times New Roman"/>
                <w:b w:val="0"/>
                <w:i w:val="0"/>
                <w:color w:val="000000"/>
                <w:sz w:val="17"/>
              </w:rPr>
              <w:t>1.0000</w:t>
            </w:r>
          </w:p>
        </w:tc>
        <w:tc>
          <w:tcPr>
            <w:tcW w:type="dxa" w:w="1530"/>
            <w:vAlign w:val="center"/>
          </w:tcPr>
          <w:p>
            <w:pPr>
              <w:spacing w:before="0" w:after="0" w:line="252" w:lineRule="auto"/>
              <w:jc w:val="center"/>
            </w:pPr>
            <w:r>
              <w:rPr>
                <w:rFonts w:ascii="Times New Roman" w:hAnsi="Times New Roman"/>
                <w:b w:val="0"/>
                <w:i w:val="0"/>
                <w:color w:val="000000"/>
                <w:sz w:val="17"/>
              </w:rPr>
              <w:t>0.5967</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Sin Especificar</w:t>
            </w:r>
          </w:p>
        </w:tc>
        <w:tc>
          <w:tcPr>
            <w:tcW w:type="dxa" w:w="932"/>
            <w:vAlign w:val="center"/>
          </w:tcPr>
          <w:p>
            <w:pPr>
              <w:spacing w:before="0" w:after="0" w:line="252" w:lineRule="auto"/>
              <w:jc w:val="center"/>
            </w:pPr>
            <w:r>
              <w:rPr>
                <w:rFonts w:ascii="Times New Roman" w:hAnsi="Times New Roman"/>
                <w:b w:val="0"/>
                <w:i w:val="0"/>
                <w:color w:val="000000"/>
                <w:sz w:val="17"/>
              </w:rPr>
              <w:t>0.1580</w:t>
            </w:r>
          </w:p>
        </w:tc>
        <w:tc>
          <w:tcPr>
            <w:tcW w:type="dxa" w:w="1463"/>
            <w:vAlign w:val="center"/>
          </w:tcPr>
          <w:p>
            <w:pPr>
              <w:spacing w:before="0" w:after="0" w:line="252" w:lineRule="auto"/>
              <w:jc w:val="center"/>
            </w:pPr>
            <w:r>
              <w:rPr>
                <w:rFonts w:ascii="Times New Roman" w:hAnsi="Times New Roman"/>
                <w:b w:val="0"/>
                <w:i w:val="0"/>
                <w:color w:val="000000"/>
                <w:sz w:val="17"/>
              </w:rPr>
              <w:t>0.2633</w:t>
            </w:r>
          </w:p>
        </w:tc>
        <w:tc>
          <w:tcPr>
            <w:tcW w:type="dxa" w:w="1323"/>
            <w:vAlign w:val="center"/>
          </w:tcPr>
          <w:p>
            <w:pPr>
              <w:spacing w:before="0" w:after="0" w:line="252" w:lineRule="auto"/>
              <w:jc w:val="center"/>
            </w:pPr>
            <w:r>
              <w:rPr>
                <w:rFonts w:ascii="Times New Roman" w:hAnsi="Times New Roman"/>
                <w:b w:val="0"/>
                <w:i w:val="0"/>
                <w:color w:val="000000"/>
                <w:sz w:val="17"/>
              </w:rPr>
              <w:t>0.6664</w:t>
            </w:r>
          </w:p>
        </w:tc>
        <w:tc>
          <w:tcPr>
            <w:tcW w:type="dxa" w:w="1530"/>
            <w:vAlign w:val="center"/>
          </w:tcPr>
          <w:p>
            <w:pPr>
              <w:spacing w:before="0" w:after="0" w:line="252" w:lineRule="auto"/>
              <w:jc w:val="center"/>
            </w:pPr>
            <w:r>
              <w:rPr>
                <w:rFonts w:ascii="Times New Roman" w:hAnsi="Times New Roman"/>
                <w:b w:val="0"/>
                <w:i w:val="0"/>
                <w:color w:val="000000"/>
                <w:sz w:val="17"/>
              </w:rPr>
              <w:t>0.5967</w:t>
            </w:r>
          </w:p>
        </w:tc>
        <w:tc>
          <w:tcPr>
            <w:tcW w:type="dxa" w:w="1530"/>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8" name="Picture 8"/>
            <wp:cNvGraphicFramePr>
              <a:graphicFrameLocks noChangeAspect="1"/>
            </wp:cNvGraphicFramePr>
            <a:graphic>
              <a:graphicData uri="http://schemas.openxmlformats.org/drawingml/2006/picture">
                <pic:pic>
                  <pic:nvPicPr>
                    <pic:cNvPr id="0" name="fig_2a_coseno_binario.png"/>
                    <pic:cNvPicPr/>
                  </pic:nvPicPr>
                  <pic:blipFill>
                    <a:blip r:embed="rId18"/>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4:</w:t>
      </w:r>
      <w:r>
        <w:rPr>
          <w:rFonts w:ascii="Times New Roman" w:hAnsi="Times New Roman"/>
          <w:sz w:val="20"/>
        </w:rPr>
        <w:t xml:space="preserve"> Matriz de Similitud del Coseno Binario de Co-adquisición en Órdenes.</w:t>
      </w:r>
    </w:p>
    <w:p>
      <w:pPr>
        <w:spacing w:line="276" w:lineRule="auto" w:before="0" w:after="90"/>
        <w:jc w:val="both"/>
      </w:pPr>
      <w:r>
        <w:rPr>
          <w:rFonts w:ascii="Times New Roman" w:hAnsi="Times New Roman"/>
          <w:b w:val="0"/>
          <w:i w:val="0"/>
          <w:color w:val="000000"/>
          <w:sz w:val="22"/>
        </w:rPr>
        <w:t>Interpretación analítica y de negocio: El valor de 0.3976 entre Seguros y Hogar representa el techo geométrico posible para coberturas dispares (532 frente a 3,365 cuentas). El análisis revela una jerarquía anidada: Seguros (532) ⊂ Servicios del Hogar (3,365). El ratio Lift asociado es de 1.12, reflejando una asociación positiva pero débil: la co-ocurrencia apenas supera lo esperado por azar debido a la omnipresencia del débito doméstico (89.54% de cuentas). Por ende, el empaquetamiento (bundling) no se fundamenta en una fuerte sinergia espontánea, sino en una estrategia comercial deliberada para utilizar el débito del hogar como canal operativo natural de recaudación para seguros. La categoría 'Sin Especificar' preserva la integridad contable total de la cartera (3,758 cuentas) sin sesgos de imputación arbitraria.</w:t>
      </w:r>
    </w:p>
    <w:p>
      <w:pPr>
        <w:keepNext/>
        <w:spacing w:before="120" w:after="40"/>
        <w:jc w:val="left"/>
      </w:pPr>
      <w:r>
        <w:rPr>
          <w:rFonts w:ascii="Times New Roman" w:hAnsi="Times New Roman"/>
          <w:b/>
          <w:i w:val="0"/>
          <w:color w:val="000000"/>
          <w:sz w:val="22"/>
        </w:rPr>
        <w:t>Modelo 2B: Ponderación de Frecuencia Inversa (ITF) para Rescate de Nichos</w:t>
      </w:r>
    </w:p>
    <w:p>
      <w:pPr>
        <w:spacing w:line="276" w:lineRule="auto" w:before="0" w:after="90"/>
        <w:jc w:val="both"/>
      </w:pPr>
      <w:r>
        <w:rPr>
          <w:rFonts w:ascii="Times New Roman" w:hAnsi="Times New Roman"/>
          <w:b w:val="0"/>
          <w:i w:val="0"/>
          <w:color w:val="000000"/>
          <w:sz w:val="22"/>
        </w:rPr>
        <w:t>Fundamento teórico y formulación: Para evitar que Servicios del Hogar monopolice las recomendaciones, se penaliza logarítmicamente a los productos masivos mediante el factor ITF:</w:t>
      </w:r>
    </w:p>
    <w:p>
      <w:pPr>
        <w:keepNext/>
        <w:spacing w:before="80" w:after="80"/>
        <w:jc w:val="center"/>
      </w:pPr>
      <m:oMathPara>
        <m:oMath>
          <m:r>
            <m:rPr>
              <m:nor/>
            </m:rPr>
            <m:t>ITF</m:t>
          </m:r>
          <m:r>
            <m:t>(i)=</m:t>
          </m:r>
          <m:r>
            <m:rPr>
              <m:sty m:val="p"/>
            </m:rPr>
            <m:t>ln</m:t>
          </m:r>
          <m:d>
            <m:dPr>
              <m:sepChr m:val=""/>
            </m:dPr>
            <m:e>
              <m:f>
                <m:fPr>
                  <m:type m:val="bar"/>
                </m:fPr>
                <m:num>
                  <m:sSub>
                    <m:e>
                      <m:r>
                        <m:t>N</m:t>
                      </m:r>
                    </m:e>
                    <m:sub>
                      <m:r>
                        <m:rPr>
                          <m:nor/>
                        </m:rPr>
                        <m:t>cuentas</m:t>
                      </m:r>
                    </m:sub>
                  </m:sSub>
                </m:num>
                <m:den>
                  <m:sSub>
                    <m:e>
                      <m:r>
                        <m:t>n</m:t>
                      </m:r>
                    </m:e>
                    <m:sub>
                      <m:r>
                        <m:t>i</m:t>
                      </m:r>
                    </m:sub>
                  </m:sSub>
                </m:den>
              </m:f>
            </m:e>
          </m:d>
          <m:r>
            <m:t>,</m:t>
          </m:r>
          <m:r>
            <m:rPr>
              <m:nor/>
            </m:rPr>
            <m:t>Score</m:t>
          </m:r>
          <m:r>
            <m:t>(u,i)=</m:t>
          </m:r>
          <m:nary>
            <m:naryPr>
              <m:chr m:val="∑"/>
              <m:limLoc m:val="subSup"/>
              <m:grow m:val="1"/>
              <m:subHide m:val="off"/>
              <m:supHide m:val="on"/>
            </m:naryPr>
            <m:sub>
              <m:r>
                <m:t>j∈</m:t>
              </m:r>
              <m:sSub>
                <m:e>
                  <m:r>
                    <m:t>I</m:t>
                  </m:r>
                </m:e>
                <m:sub>
                  <m:r>
                    <m:t>u</m:t>
                  </m:r>
                </m:sub>
              </m:sSub>
            </m:sub>
            <m:sup/>
            <m:e>
              <m:r>
                <m:rPr>
                  <m:sty m:val="p"/>
                </m:rPr>
                <m:t>cos</m:t>
              </m:r>
              <m:r>
                <m:t>(</m:t>
              </m:r>
            </m:e>
          </m:nary>
          <m:sSub>
            <m:e>
              <m:limUpp>
                <m:e>
                  <m:r>
                    <m:t>a</m:t>
                  </m:r>
                </m:e>
                <m:lim>
                  <m:r>
                    <m:t>→</m:t>
                  </m:r>
                </m:lim>
              </m:limUpp>
            </m:e>
            <m:sub>
              <m:r>
                <m:t>i</m:t>
              </m:r>
            </m:sub>
          </m:sSub>
          <m:r>
            <m:t>,</m:t>
          </m:r>
          <m:sSub>
            <m:e>
              <m:limUpp>
                <m:e>
                  <m:r>
                    <m:t>a</m:t>
                  </m:r>
                </m:e>
                <m:lim>
                  <m:r>
                    <m:t>→</m:t>
                  </m:r>
                </m:lim>
              </m:limUpp>
            </m:e>
            <m:sub>
              <m:r>
                <m:t>j</m:t>
              </m:r>
            </m:sub>
          </m:sSub>
          <m:r>
            <m:t>)·</m:t>
          </m:r>
          <m:r>
            <m:rPr>
              <m:nor/>
            </m:rPr>
            <m:t>ITF</m:t>
          </m:r>
          <m:r>
            <m:t>(i)</m:t>
          </m:r>
        </m:oMath>
      </m:oMathPara>
    </w:p>
    <w:p>
      <w:pPr>
        <w:spacing w:line="276" w:lineRule="auto" w:before="0" w:after="90"/>
        <w:jc w:val="both"/>
      </w:pPr>
      <w:r>
        <w:rPr>
          <w:rFonts w:ascii="Times New Roman" w:hAnsi="Times New Roman"/>
          <w:b w:val="0"/>
          <w:i w:val="0"/>
          <w:color w:val="000000"/>
          <w:sz w:val="22"/>
        </w:rPr>
        <w:t>La Tabla 9 documenta los factores de penalización ITF y las coberturas poblacionales:</w:t>
      </w:r>
    </w:p>
    <w:p>
      <w:pPr>
        <w:keepNext/>
        <w:spacing w:before="200" w:after="80"/>
        <w:jc w:val="center"/>
      </w:pPr>
      <w:r>
        <w:rPr>
          <w:rFonts w:ascii="Times New Roman" w:hAnsi="Times New Roman"/>
          <w:b/>
          <w:i w:val="0"/>
          <w:color w:val="000000"/>
          <w:sz w:val="21"/>
        </w:rPr>
        <w:t>Tabla 9:</w:t>
      </w:r>
      <w:r>
        <w:rPr>
          <w:rFonts w:ascii="Times New Roman" w:hAnsi="Times New Roman"/>
          <w:sz w:val="21"/>
        </w:rPr>
        <w:t xml:space="preserve"> Factores de Ponderación Inversa (ITF) Calculados sobre Cuentas con Órdenes.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7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Contractual</w:t>
            </w:r>
          </w:p>
        </w:tc>
        <w:tc>
          <w:tcPr>
            <w:tcW w:type="dxa" w:w="1352"/>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Cuentas Activas</w:t>
            </w:r>
          </w:p>
        </w:tc>
        <w:tc>
          <w:tcPr>
            <w:tcW w:type="dxa" w:w="135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Penetración (%)</w:t>
            </w:r>
          </w:p>
        </w:tc>
        <w:tc>
          <w:tcPr>
            <w:tcW w:type="dxa" w:w="16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Factor ITF ln(N/n_i)</w:t>
            </w:r>
          </w:p>
        </w:tc>
        <w:tc>
          <w:tcPr>
            <w:tcW w:type="dxa" w:w="2680"/>
            <w:vAlign w:val="center"/>
            <w:tcBorders>
              <w:bottom w:val="single" w:sz="6" w:space="0" w:color="000000"/>
            </w:tcBorders>
          </w:tcPr>
          <w:p>
            <w:pPr>
              <w:spacing w:before="0" w:after="0" w:line="252" w:lineRule="auto"/>
              <w:jc w:val="center"/>
            </w:pPr>
            <w:r>
              <w:rPr>
                <w:rFonts w:ascii="Times New Roman" w:hAnsi="Times New Roman"/>
                <w:b/>
                <w:i w:val="0"/>
                <w:color w:val="000000"/>
                <w:sz w:val="17"/>
              </w:rPr>
              <w:t>Efecto de Ponderación</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Servicios del Hogar</w:t>
            </w:r>
          </w:p>
        </w:tc>
        <w:tc>
          <w:tcPr>
            <w:tcW w:type="dxa" w:w="1352"/>
            <w:vAlign w:val="center"/>
          </w:tcPr>
          <w:p>
            <w:pPr>
              <w:spacing w:before="0" w:after="0" w:line="252" w:lineRule="auto"/>
              <w:jc w:val="center"/>
            </w:pPr>
            <w:r>
              <w:rPr>
                <w:rFonts w:ascii="Times New Roman" w:hAnsi="Times New Roman"/>
                <w:b w:val="0"/>
                <w:i w:val="0"/>
                <w:color w:val="000000"/>
                <w:sz w:val="17"/>
              </w:rPr>
              <w:t>3,365</w:t>
            </w:r>
          </w:p>
        </w:tc>
        <w:tc>
          <w:tcPr>
            <w:tcW w:type="dxa" w:w="1352"/>
            <w:vAlign w:val="center"/>
          </w:tcPr>
          <w:p>
            <w:pPr>
              <w:spacing w:before="0" w:after="0" w:line="252" w:lineRule="auto"/>
              <w:jc w:val="center"/>
            </w:pPr>
            <w:r>
              <w:rPr>
                <w:rFonts w:ascii="Times New Roman" w:hAnsi="Times New Roman"/>
                <w:b w:val="0"/>
                <w:i w:val="0"/>
                <w:color w:val="000000"/>
                <w:sz w:val="17"/>
              </w:rPr>
              <w:t>89.54%</w:t>
            </w:r>
          </w:p>
        </w:tc>
        <w:tc>
          <w:tcPr>
            <w:tcW w:type="dxa" w:w="1630"/>
            <w:vAlign w:val="center"/>
          </w:tcPr>
          <w:p>
            <w:pPr>
              <w:spacing w:before="0" w:after="0" w:line="252" w:lineRule="auto"/>
              <w:jc w:val="center"/>
            </w:pPr>
            <w:r>
              <w:rPr>
                <w:rFonts w:ascii="Times New Roman" w:hAnsi="Times New Roman"/>
                <w:b w:val="0"/>
                <w:i w:val="0"/>
                <w:color w:val="000000"/>
                <w:sz w:val="17"/>
              </w:rPr>
              <w:t>0.1105</w:t>
            </w:r>
          </w:p>
        </w:tc>
        <w:tc>
          <w:tcPr>
            <w:tcW w:type="dxa" w:w="2680"/>
            <w:vAlign w:val="center"/>
          </w:tcPr>
          <w:p>
            <w:pPr>
              <w:spacing w:before="0" w:after="0" w:line="252" w:lineRule="auto"/>
              <w:jc w:val="left"/>
            </w:pPr>
            <w:r>
              <w:rPr>
                <w:rFonts w:ascii="Times New Roman" w:hAnsi="Times New Roman"/>
                <w:b w:val="0"/>
                <w:i w:val="0"/>
                <w:color w:val="000000"/>
                <w:sz w:val="17"/>
              </w:rPr>
              <w:t>Fuerte penalización (ítem masivo trivial)</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Sin Especificar</w:t>
            </w:r>
          </w:p>
        </w:tc>
        <w:tc>
          <w:tcPr>
            <w:tcW w:type="dxa" w:w="1352"/>
            <w:vAlign w:val="center"/>
          </w:tcPr>
          <w:p>
            <w:pPr>
              <w:spacing w:before="0" w:after="0" w:line="252" w:lineRule="auto"/>
              <w:jc w:val="center"/>
            </w:pPr>
            <w:r>
              <w:rPr>
                <w:rFonts w:ascii="Times New Roman" w:hAnsi="Times New Roman"/>
                <w:b w:val="0"/>
                <w:i w:val="0"/>
                <w:color w:val="000000"/>
                <w:sz w:val="17"/>
              </w:rPr>
              <w:t>1,198</w:t>
            </w:r>
          </w:p>
        </w:tc>
        <w:tc>
          <w:tcPr>
            <w:tcW w:type="dxa" w:w="1352"/>
            <w:vAlign w:val="center"/>
          </w:tcPr>
          <w:p>
            <w:pPr>
              <w:spacing w:before="0" w:after="0" w:line="252" w:lineRule="auto"/>
              <w:jc w:val="center"/>
            </w:pPr>
            <w:r>
              <w:rPr>
                <w:rFonts w:ascii="Times New Roman" w:hAnsi="Times New Roman"/>
                <w:b w:val="0"/>
                <w:i w:val="0"/>
                <w:color w:val="000000"/>
                <w:sz w:val="17"/>
              </w:rPr>
              <w:t>31.88%</w:t>
            </w:r>
          </w:p>
        </w:tc>
        <w:tc>
          <w:tcPr>
            <w:tcW w:type="dxa" w:w="1630"/>
            <w:vAlign w:val="center"/>
          </w:tcPr>
          <w:p>
            <w:pPr>
              <w:spacing w:before="0" w:after="0" w:line="252" w:lineRule="auto"/>
              <w:jc w:val="center"/>
            </w:pPr>
            <w:r>
              <w:rPr>
                <w:rFonts w:ascii="Times New Roman" w:hAnsi="Times New Roman"/>
                <w:b w:val="0"/>
                <w:i w:val="0"/>
                <w:color w:val="000000"/>
                <w:sz w:val="17"/>
              </w:rPr>
              <w:t>1.1432</w:t>
            </w:r>
          </w:p>
        </w:tc>
        <w:tc>
          <w:tcPr>
            <w:tcW w:type="dxa" w:w="2680"/>
            <w:vAlign w:val="center"/>
          </w:tcPr>
          <w:p>
            <w:pPr>
              <w:spacing w:before="0" w:after="0" w:line="252" w:lineRule="auto"/>
              <w:jc w:val="left"/>
            </w:pPr>
            <w:r>
              <w:rPr>
                <w:rFonts w:ascii="Times New Roman" w:hAnsi="Times New Roman"/>
                <w:b w:val="0"/>
                <w:i w:val="0"/>
                <w:color w:val="000000"/>
                <w:sz w:val="17"/>
              </w:rPr>
              <w:t>Ponderación neutra intermedia</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Cuota de Préstamo</w:t>
            </w:r>
          </w:p>
        </w:tc>
        <w:tc>
          <w:tcPr>
            <w:tcW w:type="dxa" w:w="1352"/>
            <w:vAlign w:val="center"/>
          </w:tcPr>
          <w:p>
            <w:pPr>
              <w:spacing w:before="0" w:after="0" w:line="252" w:lineRule="auto"/>
              <w:jc w:val="center"/>
            </w:pPr>
            <w:r>
              <w:rPr>
                <w:rFonts w:ascii="Times New Roman" w:hAnsi="Times New Roman"/>
                <w:b w:val="0"/>
                <w:i w:val="0"/>
                <w:color w:val="000000"/>
                <w:sz w:val="17"/>
              </w:rPr>
              <w:t>717</w:t>
            </w:r>
          </w:p>
        </w:tc>
        <w:tc>
          <w:tcPr>
            <w:tcW w:type="dxa" w:w="1352"/>
            <w:vAlign w:val="center"/>
          </w:tcPr>
          <w:p>
            <w:pPr>
              <w:spacing w:before="0" w:after="0" w:line="252" w:lineRule="auto"/>
              <w:jc w:val="center"/>
            </w:pPr>
            <w:r>
              <w:rPr>
                <w:rFonts w:ascii="Times New Roman" w:hAnsi="Times New Roman"/>
                <w:b w:val="0"/>
                <w:i w:val="0"/>
                <w:color w:val="000000"/>
                <w:sz w:val="17"/>
              </w:rPr>
              <w:t>19.08%</w:t>
            </w:r>
          </w:p>
        </w:tc>
        <w:tc>
          <w:tcPr>
            <w:tcW w:type="dxa" w:w="1630"/>
            <w:vAlign w:val="center"/>
          </w:tcPr>
          <w:p>
            <w:pPr>
              <w:spacing w:before="0" w:after="0" w:line="252" w:lineRule="auto"/>
              <w:jc w:val="center"/>
            </w:pPr>
            <w:r>
              <w:rPr>
                <w:rFonts w:ascii="Times New Roman" w:hAnsi="Times New Roman"/>
                <w:b w:val="0"/>
                <w:i w:val="0"/>
                <w:color w:val="000000"/>
                <w:sz w:val="17"/>
              </w:rPr>
              <w:t>1.6566</w:t>
            </w:r>
          </w:p>
        </w:tc>
        <w:tc>
          <w:tcPr>
            <w:tcW w:type="dxa" w:w="2680"/>
            <w:vAlign w:val="center"/>
          </w:tcPr>
          <w:p>
            <w:pPr>
              <w:spacing w:before="0" w:after="0" w:line="252" w:lineRule="auto"/>
              <w:jc w:val="left"/>
            </w:pPr>
            <w:r>
              <w:rPr>
                <w:rFonts w:ascii="Times New Roman" w:hAnsi="Times New Roman"/>
                <w:b w:val="0"/>
                <w:i w:val="0"/>
                <w:color w:val="000000"/>
                <w:sz w:val="17"/>
              </w:rPr>
              <w:t>Rescate selectivo para prestatarios</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Pago de Seguros</w:t>
            </w:r>
          </w:p>
        </w:tc>
        <w:tc>
          <w:tcPr>
            <w:tcW w:type="dxa" w:w="1352"/>
            <w:vAlign w:val="center"/>
          </w:tcPr>
          <w:p>
            <w:pPr>
              <w:spacing w:before="0" w:after="0" w:line="252" w:lineRule="auto"/>
              <w:jc w:val="center"/>
            </w:pPr>
            <w:r>
              <w:rPr>
                <w:rFonts w:ascii="Times New Roman" w:hAnsi="Times New Roman"/>
                <w:b w:val="0"/>
                <w:i w:val="0"/>
                <w:color w:val="000000"/>
                <w:sz w:val="17"/>
              </w:rPr>
              <w:t>532</w:t>
            </w:r>
          </w:p>
        </w:tc>
        <w:tc>
          <w:tcPr>
            <w:tcW w:type="dxa" w:w="1352"/>
            <w:vAlign w:val="center"/>
          </w:tcPr>
          <w:p>
            <w:pPr>
              <w:spacing w:before="0" w:after="0" w:line="252" w:lineRule="auto"/>
              <w:jc w:val="center"/>
            </w:pPr>
            <w:r>
              <w:rPr>
                <w:rFonts w:ascii="Times New Roman" w:hAnsi="Times New Roman"/>
                <w:b w:val="0"/>
                <w:i w:val="0"/>
                <w:color w:val="000000"/>
                <w:sz w:val="17"/>
              </w:rPr>
              <w:t>14.16%</w:t>
            </w:r>
          </w:p>
        </w:tc>
        <w:tc>
          <w:tcPr>
            <w:tcW w:type="dxa" w:w="1630"/>
            <w:vAlign w:val="center"/>
          </w:tcPr>
          <w:p>
            <w:pPr>
              <w:spacing w:before="0" w:after="0" w:line="252" w:lineRule="auto"/>
              <w:jc w:val="center"/>
            </w:pPr>
            <w:r>
              <w:rPr>
                <w:rFonts w:ascii="Times New Roman" w:hAnsi="Times New Roman"/>
                <w:b w:val="0"/>
                <w:i w:val="0"/>
                <w:color w:val="000000"/>
                <w:sz w:val="17"/>
              </w:rPr>
              <w:t>1.9550</w:t>
            </w:r>
          </w:p>
        </w:tc>
        <w:tc>
          <w:tcPr>
            <w:tcW w:type="dxa" w:w="2680"/>
            <w:vAlign w:val="center"/>
          </w:tcPr>
          <w:p>
            <w:pPr>
              <w:spacing w:before="0" w:after="0" w:line="252" w:lineRule="auto"/>
              <w:jc w:val="left"/>
            </w:pPr>
            <w:r>
              <w:rPr>
                <w:rFonts w:ascii="Times New Roman" w:hAnsi="Times New Roman"/>
                <w:b w:val="0"/>
                <w:i w:val="0"/>
                <w:color w:val="000000"/>
                <w:sz w:val="17"/>
              </w:rPr>
              <w:t>Impulso prioritario de producto estratégico</w:t>
            </w:r>
          </w:p>
        </w:tc>
      </w:tr>
      <w:tr>
        <w:trPr>
          <w:cantSplit/>
        </w:trPr>
        <w:tc>
          <w:tcPr>
            <w:tcW w:type="dxa" w:w="1785"/>
            <w:vAlign w:val="center"/>
          </w:tcPr>
          <w:p>
            <w:pPr>
              <w:spacing w:before="0" w:after="0" w:line="252" w:lineRule="auto"/>
              <w:jc w:val="left"/>
            </w:pPr>
            <w:r>
              <w:rPr>
                <w:rFonts w:ascii="Times New Roman" w:hAnsi="Times New Roman"/>
                <w:b w:val="0"/>
                <w:i w:val="0"/>
                <w:color w:val="000000"/>
                <w:sz w:val="17"/>
              </w:rPr>
              <w:t>Leasing (Arrendamiento)</w:t>
            </w:r>
          </w:p>
        </w:tc>
        <w:tc>
          <w:tcPr>
            <w:tcW w:type="dxa" w:w="1352"/>
            <w:vAlign w:val="center"/>
          </w:tcPr>
          <w:p>
            <w:pPr>
              <w:spacing w:before="0" w:after="0" w:line="252" w:lineRule="auto"/>
              <w:jc w:val="center"/>
            </w:pPr>
            <w:r>
              <w:rPr>
                <w:rFonts w:ascii="Times New Roman" w:hAnsi="Times New Roman"/>
                <w:b w:val="0"/>
                <w:i w:val="0"/>
                <w:color w:val="000000"/>
                <w:sz w:val="17"/>
              </w:rPr>
              <w:t>341</w:t>
            </w:r>
          </w:p>
        </w:tc>
        <w:tc>
          <w:tcPr>
            <w:tcW w:type="dxa" w:w="1352"/>
            <w:vAlign w:val="center"/>
          </w:tcPr>
          <w:p>
            <w:pPr>
              <w:spacing w:before="0" w:after="0" w:line="252" w:lineRule="auto"/>
              <w:jc w:val="center"/>
            </w:pPr>
            <w:r>
              <w:rPr>
                <w:rFonts w:ascii="Times New Roman" w:hAnsi="Times New Roman"/>
                <w:b w:val="0"/>
                <w:i w:val="0"/>
                <w:color w:val="000000"/>
                <w:sz w:val="17"/>
              </w:rPr>
              <w:t>9.07%</w:t>
            </w:r>
          </w:p>
        </w:tc>
        <w:tc>
          <w:tcPr>
            <w:tcW w:type="dxa" w:w="1630"/>
            <w:vAlign w:val="center"/>
          </w:tcPr>
          <w:p>
            <w:pPr>
              <w:spacing w:before="0" w:after="0" w:line="252" w:lineRule="auto"/>
              <w:jc w:val="center"/>
            </w:pPr>
            <w:r>
              <w:rPr>
                <w:rFonts w:ascii="Times New Roman" w:hAnsi="Times New Roman"/>
                <w:b w:val="0"/>
                <w:i w:val="0"/>
                <w:color w:val="000000"/>
                <w:sz w:val="17"/>
              </w:rPr>
              <w:t>2.3998</w:t>
            </w:r>
          </w:p>
        </w:tc>
        <w:tc>
          <w:tcPr>
            <w:tcW w:type="dxa" w:w="2680"/>
            <w:vAlign w:val="center"/>
          </w:tcPr>
          <w:p>
            <w:pPr>
              <w:spacing w:before="0" w:after="0" w:line="252" w:lineRule="auto"/>
              <w:jc w:val="left"/>
            </w:pPr>
            <w:r>
              <w:rPr>
                <w:rFonts w:ascii="Times New Roman" w:hAnsi="Times New Roman"/>
                <w:b w:val="0"/>
                <w:i w:val="0"/>
                <w:color w:val="000000"/>
                <w:sz w:val="17"/>
              </w:rPr>
              <w:t>Máxima bonificación a producto de nicho</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2361772"/>
            <wp:docPr id="9" name="Picture 9"/>
            <wp:cNvGraphicFramePr>
              <a:graphicFrameLocks noChangeAspect="1"/>
            </wp:cNvGraphicFramePr>
            <a:graphic>
              <a:graphicData uri="http://schemas.openxmlformats.org/drawingml/2006/picture">
                <pic:pic>
                  <pic:nvPicPr>
                    <pic:cNvPr id="0" name="fig_2b_itf.png"/>
                    <pic:cNvPicPr/>
                  </pic:nvPicPr>
                  <pic:blipFill>
                    <a:blip r:embed="rId19"/>
                    <a:stretch>
                      <a:fillRect/>
                    </a:stretch>
                  </pic:blipFill>
                  <pic:spPr>
                    <a:xfrm>
                      <a:off x="0" y="0"/>
                      <a:ext cx="4389120" cy="2361772"/>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5:</w:t>
      </w:r>
      <w:r>
        <w:rPr>
          <w:rFonts w:ascii="Times New Roman" w:hAnsi="Times New Roman"/>
          <w:sz w:val="20"/>
        </w:rPr>
        <w:t xml:space="preserve"> Similitud Coseno Ponderada por Frecuencia Inversa (ITF) en Órdenes.</w:t>
      </w:r>
    </w:p>
    <w:p>
      <w:pPr>
        <w:spacing w:line="276" w:lineRule="auto" w:before="0" w:after="90"/>
        <w:jc w:val="both"/>
      </w:pPr>
      <w:r>
        <w:rPr>
          <w:rFonts w:ascii="Times New Roman" w:hAnsi="Times New Roman"/>
          <w:b w:val="0"/>
          <w:i w:val="0"/>
          <w:color w:val="000000"/>
          <w:sz w:val="22"/>
        </w:rPr>
        <w:t>Simulación comparativa de ordenamiento con y sin ITF: Considérese una cuenta activa que domicilia exclusivamente Cuota de Préstamo (717 cuentas). Bajo un recomendador no ponderado, el producto sugerido sería Servicios del Hogar (cos = 0.2936). Con ponderación ITF, el score de Seguros asciende a 0.1975 × 1.9550 = 0.3861, mientras que Servicios del Hogar se comprime a 0.2936 × 0.1105 = 0.0324 (reduciéndose en un factor de 9.05 veces frente a su valor no ponderado, resultando casi 12 veces menor que el score de Seguros: 0.0324 vs 0.3861). El orden se reestructura completamente, posicionando a Seguros en primer lugar absoluto.</w:t>
      </w:r>
    </w:p>
    <w:p>
      <w:pPr>
        <w:keepNext/>
        <w:spacing w:before="120" w:after="40"/>
        <w:jc w:val="left"/>
      </w:pPr>
      <w:r>
        <w:rPr>
          <w:rFonts w:ascii="Times New Roman" w:hAnsi="Times New Roman"/>
          <w:b/>
          <w:i w:val="0"/>
          <w:color w:val="000000"/>
          <w:sz w:val="22"/>
        </w:rPr>
        <w:t>Conclusión y Dictamen del Mejor Método sobre df_ordenes</w:t>
      </w:r>
    </w:p>
    <w:p>
      <w:pPr>
        <w:spacing w:line="276" w:lineRule="auto" w:before="0" w:after="90"/>
        <w:jc w:val="both"/>
      </w:pPr>
      <w:r>
        <w:rPr>
          <w:rFonts w:ascii="Times New Roman" w:hAnsi="Times New Roman"/>
          <w:b w:val="0"/>
          <w:i w:val="0"/>
          <w:color w:val="000000"/>
          <w:sz w:val="22"/>
        </w:rPr>
        <w:t>Dictamen Técnico: En órdenes domiciliadas, la Ponderación ITF (Modelo 2B) es el método ganador indiscutible frente al Coseno Binario simple (2A). Su capacidad para castigar la omnipresencia trivial de servicios básicos rescata productos de alto margen (Seguros y Leasing).</w:t>
      </w:r>
    </w:p>
    <w:p>
      <w:pPr>
        <w:keepNext/>
        <w:spacing w:before="120" w:after="40"/>
        <w:jc w:val="left"/>
      </w:pPr>
      <w:r>
        <w:rPr>
          <w:rFonts w:ascii="Times New Roman" w:hAnsi="Times New Roman"/>
          <w:b/>
          <w:i w:val="0"/>
          <w:color w:val="000000"/>
          <w:sz w:val="22"/>
        </w:rPr>
        <w:t>B. Sistemas Ítem a Ítem Basados en Correlación de Pearson</w:t>
      </w:r>
    </w:p>
    <w:p>
      <w:pPr>
        <w:keepNext/>
        <w:spacing w:before="120" w:after="40"/>
        <w:jc w:val="left"/>
      </w:pPr>
      <w:r>
        <w:rPr>
          <w:rFonts w:ascii="Times New Roman" w:hAnsi="Times New Roman"/>
          <w:b/>
          <w:i w:val="0"/>
          <w:color w:val="000000"/>
          <w:sz w:val="22"/>
        </w:rPr>
        <w:t>Modelo 1C: Correlación de Pearson sobre Ratings Continuos de Transacciones</w:t>
      </w:r>
    </w:p>
    <w:p>
      <w:pPr>
        <w:spacing w:line="276" w:lineRule="auto" w:before="0" w:after="90"/>
        <w:jc w:val="both"/>
      </w:pPr>
      <w:r>
        <w:rPr>
          <w:rFonts w:ascii="Times New Roman" w:hAnsi="Times New Roman"/>
          <w:b w:val="0"/>
          <w:i w:val="0"/>
          <w:color w:val="000000"/>
          <w:sz w:val="22"/>
        </w:rPr>
        <w:t>Fundamento teórico y formulación: Pearson evalúa la interdependencia lineal entre las calificaciones implícitas centradas:</w:t>
      </w:r>
    </w:p>
    <w:p>
      <w:pPr>
        <w:keepNext/>
        <w:spacing w:before="80" w:after="80"/>
        <w:jc w:val="center"/>
      </w:pPr>
      <m:oMathPara>
        <m:oMath>
          <m:r>
            <m:t>r(X,Y)=</m:t>
          </m:r>
          <m:f>
            <m:fPr>
              <m:type m:val="bar"/>
            </m:fPr>
            <m:num>
              <m:r>
                <m:t>∑(</m:t>
              </m:r>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r>
                    <m:t>∑(</m:t>
                  </m:r>
                  <m:sSub>
                    <m:e>
                      <m:r>
                        <m:t>x</m:t>
                      </m:r>
                    </m:e>
                    <m:sub>
                      <m:r>
                        <m:t>i</m:t>
                      </m:r>
                    </m:sub>
                  </m:sSub>
                  <m:r>
                    <m:t>−</m:t>
                  </m:r>
                  <m:bar>
                    <m:barPr>
                      <m:pos m:val="top"/>
                    </m:barPr>
                    <m:e>
                      <m:r>
                        <m:t>x</m:t>
                      </m:r>
                    </m:e>
                  </m:bar>
                  <m:sSup>
                    <m:e>
                      <m:r>
                        <m:t>)</m:t>
                      </m:r>
                    </m:e>
                    <m:sup>
                      <m:r>
                        <m:t>2</m:t>
                      </m:r>
                    </m:sup>
                  </m:sSup>
                </m:e>
              </m:rad>
              <m:r>
                <m:t>·</m:t>
              </m:r>
              <m:rad>
                <m:radPr>
                  <m:degHide m:val="on"/>
                </m:radPr>
                <m:deg/>
                <m:e>
                  <m:r>
                    <m:t>∑(</m:t>
                  </m:r>
                  <m:sSub>
                    <m:e>
                      <m:r>
                        <m:t>y</m:t>
                      </m:r>
                    </m:e>
                    <m:sub>
                      <m:r>
                        <m:t>i</m:t>
                      </m:r>
                    </m:sub>
                  </m:sSub>
                  <m:r>
                    <m:t>−</m:t>
                  </m:r>
                  <m:bar>
                    <m:barPr>
                      <m:pos m:val="top"/>
                    </m:barPr>
                    <m:e>
                      <m:r>
                        <m:t>y</m:t>
                      </m:r>
                    </m:e>
                  </m:bar>
                  <m:sSup>
                    <m:e>
                      <m:r>
                        <m:t>)</m:t>
                      </m:r>
                    </m:e>
                    <m:sup>
                      <m:r>
                        <m:t>2</m:t>
                      </m:r>
                    </m:sup>
                  </m:sSup>
                </m:e>
              </m:rad>
            </m:den>
          </m:f>
        </m:oMath>
      </m:oMathPara>
    </w:p>
    <w:p>
      <w:pPr>
        <w:spacing w:line="276" w:lineRule="auto" w:before="0" w:after="90"/>
        <w:jc w:val="both"/>
      </w:pPr>
      <w:r>
        <w:rPr>
          <w:rFonts w:ascii="Times New Roman" w:hAnsi="Times New Roman"/>
          <w:b w:val="0"/>
          <w:i w:val="0"/>
          <w:color w:val="000000"/>
          <w:sz w:val="22"/>
        </w:rPr>
        <w:t>La Tabla 7-A expone la matriz de correlación de Pearson sobre calificaciones de transacciones:</w:t>
      </w:r>
    </w:p>
    <w:p>
      <w:pPr>
        <w:keepNext/>
        <w:spacing w:before="200" w:after="80"/>
        <w:jc w:val="center"/>
      </w:pPr>
      <w:r>
        <w:rPr>
          <w:rFonts w:ascii="Times New Roman" w:hAnsi="Times New Roman"/>
          <w:b/>
          <w:i w:val="0"/>
          <w:color w:val="000000"/>
          <w:sz w:val="21"/>
        </w:rPr>
        <w:t>Tabla 7</w:t>
      </w:r>
      <w:r>
        <w:rPr>
          <w:rFonts w:ascii="Times New Roman" w:hAnsi="Times New Roman"/>
          <w:sz w:val="21"/>
        </w:rPr>
        <w:t>-A: Matriz de Correlación de Pearson sobre Calificaciones de Transacciones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91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 Financiero</w:t>
            </w:r>
          </w:p>
        </w:tc>
        <w:tc>
          <w:tcPr>
            <w:tcW w:type="dxa" w:w="109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002"/>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64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PRESTAMO</w:t>
            </w:r>
          </w:p>
        </w:tc>
        <w:tc>
          <w:tcPr>
            <w:tcW w:type="dxa" w:w="1092"/>
            <w:vAlign w:val="center"/>
          </w:tcPr>
          <w:p>
            <w:pPr>
              <w:spacing w:before="0" w:after="0" w:line="252" w:lineRule="auto"/>
              <w:jc w:val="center"/>
            </w:pPr>
            <w:r>
              <w:rPr>
                <w:rFonts w:ascii="Times New Roman" w:hAnsi="Times New Roman"/>
                <w:b w:val="0"/>
                <w:i w:val="0"/>
                <w:color w:val="000000"/>
                <w:sz w:val="17"/>
              </w:rPr>
              <w:t>1.0000</w:t>
            </w:r>
          </w:p>
        </w:tc>
        <w:tc>
          <w:tcPr>
            <w:tcW w:type="dxa" w:w="1002"/>
            <w:vAlign w:val="center"/>
          </w:tcPr>
          <w:p>
            <w:pPr>
              <w:spacing w:before="0" w:after="0" w:line="252" w:lineRule="auto"/>
              <w:jc w:val="center"/>
            </w:pPr>
            <w:r>
              <w:rPr>
                <w:rFonts w:ascii="Times New Roman" w:hAnsi="Times New Roman"/>
                <w:b w:val="0"/>
                <w:i w:val="0"/>
                <w:color w:val="000000"/>
                <w:sz w:val="17"/>
              </w:rPr>
              <w:t>+0.7061</w:t>
            </w:r>
          </w:p>
        </w:tc>
        <w:tc>
          <w:tcPr>
            <w:tcW w:type="dxa" w:w="1644"/>
            <w:vAlign w:val="center"/>
          </w:tcPr>
          <w:p>
            <w:pPr>
              <w:spacing w:before="0" w:after="0" w:line="252" w:lineRule="auto"/>
              <w:jc w:val="center"/>
            </w:pPr>
            <w:r>
              <w:rPr>
                <w:rFonts w:ascii="Times New Roman" w:hAnsi="Times New Roman"/>
                <w:b w:val="0"/>
                <w:i w:val="0"/>
                <w:color w:val="000000"/>
                <w:sz w:val="17"/>
              </w:rPr>
              <w:t>+0.7113</w:t>
            </w:r>
          </w:p>
        </w:tc>
        <w:tc>
          <w:tcPr>
            <w:tcW w:type="dxa" w:w="1572"/>
            <w:vAlign w:val="center"/>
          </w:tcPr>
          <w:p>
            <w:pPr>
              <w:spacing w:before="0" w:after="0" w:line="252" w:lineRule="auto"/>
              <w:jc w:val="center"/>
            </w:pPr>
            <w:r>
              <w:rPr>
                <w:rFonts w:ascii="Times New Roman" w:hAnsi="Times New Roman"/>
                <w:b w:val="0"/>
                <w:i w:val="0"/>
                <w:color w:val="000000"/>
                <w:sz w:val="17"/>
              </w:rPr>
              <w:t>+0.4993</w:t>
            </w:r>
          </w:p>
        </w:tc>
        <w:tc>
          <w:tcPr>
            <w:tcW w:type="dxa" w:w="1572"/>
            <w:vAlign w:val="center"/>
          </w:tcPr>
          <w:p>
            <w:pPr>
              <w:spacing w:before="0" w:after="0" w:line="252" w:lineRule="auto"/>
              <w:jc w:val="center"/>
            </w:pPr>
            <w:r>
              <w:rPr>
                <w:rFonts w:ascii="Times New Roman" w:hAnsi="Times New Roman"/>
                <w:b w:val="0"/>
                <w:i w:val="0"/>
                <w:color w:val="000000"/>
                <w:sz w:val="17"/>
              </w:rPr>
              <w:t>+0.5903</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SEGURO</w:t>
            </w:r>
          </w:p>
        </w:tc>
        <w:tc>
          <w:tcPr>
            <w:tcW w:type="dxa" w:w="1092"/>
            <w:vAlign w:val="center"/>
          </w:tcPr>
          <w:p>
            <w:pPr>
              <w:spacing w:before="0" w:after="0" w:line="252" w:lineRule="auto"/>
              <w:jc w:val="center"/>
            </w:pPr>
            <w:r>
              <w:rPr>
                <w:rFonts w:ascii="Times New Roman" w:hAnsi="Times New Roman"/>
                <w:b w:val="0"/>
                <w:i w:val="0"/>
                <w:color w:val="000000"/>
                <w:sz w:val="17"/>
              </w:rPr>
              <w:t>+0.7061</w:t>
            </w:r>
          </w:p>
        </w:tc>
        <w:tc>
          <w:tcPr>
            <w:tcW w:type="dxa" w:w="1002"/>
            <w:vAlign w:val="center"/>
          </w:tcPr>
          <w:p>
            <w:pPr>
              <w:spacing w:before="0" w:after="0" w:line="252" w:lineRule="auto"/>
              <w:jc w:val="center"/>
            </w:pPr>
            <w:r>
              <w:rPr>
                <w:rFonts w:ascii="Times New Roman" w:hAnsi="Times New Roman"/>
                <w:b w:val="0"/>
                <w:i w:val="0"/>
                <w:color w:val="000000"/>
                <w:sz w:val="17"/>
              </w:rPr>
              <w:t>1.0000</w:t>
            </w:r>
          </w:p>
        </w:tc>
        <w:tc>
          <w:tcPr>
            <w:tcW w:type="dxa" w:w="1644"/>
            <w:vAlign w:val="center"/>
          </w:tcPr>
          <w:p>
            <w:pPr>
              <w:spacing w:before="0" w:after="0" w:line="252" w:lineRule="auto"/>
              <w:jc w:val="center"/>
            </w:pPr>
            <w:r>
              <w:rPr>
                <w:rFonts w:ascii="Times New Roman" w:hAnsi="Times New Roman"/>
                <w:b w:val="0"/>
                <w:i w:val="0"/>
                <w:color w:val="000000"/>
                <w:sz w:val="17"/>
              </w:rPr>
              <w:t>+0.9957</w:t>
            </w:r>
          </w:p>
        </w:tc>
        <w:tc>
          <w:tcPr>
            <w:tcW w:type="dxa" w:w="1572"/>
            <w:vAlign w:val="center"/>
          </w:tcPr>
          <w:p>
            <w:pPr>
              <w:spacing w:before="0" w:after="0" w:line="252" w:lineRule="auto"/>
              <w:jc w:val="center"/>
            </w:pPr>
            <w:r>
              <w:rPr>
                <w:rFonts w:ascii="Times New Roman" w:hAnsi="Times New Roman"/>
                <w:b w:val="0"/>
                <w:i w:val="0"/>
                <w:color w:val="000000"/>
                <w:sz w:val="17"/>
              </w:rPr>
              <w:t>+0.8566</w:t>
            </w:r>
          </w:p>
        </w:tc>
        <w:tc>
          <w:tcPr>
            <w:tcW w:type="dxa" w:w="1572"/>
            <w:vAlign w:val="center"/>
          </w:tcPr>
          <w:p>
            <w:pPr>
              <w:spacing w:before="0" w:after="0" w:line="252" w:lineRule="auto"/>
              <w:jc w:val="center"/>
            </w:pPr>
            <w:r>
              <w:rPr>
                <w:rFonts w:ascii="Times New Roman" w:hAnsi="Times New Roman"/>
                <w:b w:val="0"/>
                <w:i w:val="0"/>
                <w:color w:val="000000"/>
                <w:sz w:val="17"/>
              </w:rPr>
              <w:t>+0.8764</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SERVICIOS_HOGAR</w:t>
            </w:r>
          </w:p>
        </w:tc>
        <w:tc>
          <w:tcPr>
            <w:tcW w:type="dxa" w:w="1092"/>
            <w:vAlign w:val="center"/>
          </w:tcPr>
          <w:p>
            <w:pPr>
              <w:spacing w:before="0" w:after="0" w:line="252" w:lineRule="auto"/>
              <w:jc w:val="center"/>
            </w:pPr>
            <w:r>
              <w:rPr>
                <w:rFonts w:ascii="Times New Roman" w:hAnsi="Times New Roman"/>
                <w:b w:val="0"/>
                <w:i w:val="0"/>
                <w:color w:val="000000"/>
                <w:sz w:val="17"/>
              </w:rPr>
              <w:t>+0.7113</w:t>
            </w:r>
          </w:p>
        </w:tc>
        <w:tc>
          <w:tcPr>
            <w:tcW w:type="dxa" w:w="1002"/>
            <w:vAlign w:val="center"/>
          </w:tcPr>
          <w:p>
            <w:pPr>
              <w:spacing w:before="0" w:after="0" w:line="252" w:lineRule="auto"/>
              <w:jc w:val="center"/>
            </w:pPr>
            <w:r>
              <w:rPr>
                <w:rFonts w:ascii="Times New Roman" w:hAnsi="Times New Roman"/>
                <w:b w:val="0"/>
                <w:i w:val="0"/>
                <w:color w:val="000000"/>
                <w:sz w:val="17"/>
              </w:rPr>
              <w:t>+0.9957</w:t>
            </w:r>
          </w:p>
        </w:tc>
        <w:tc>
          <w:tcPr>
            <w:tcW w:type="dxa" w:w="1644"/>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+0.8022</w:t>
            </w:r>
          </w:p>
        </w:tc>
        <w:tc>
          <w:tcPr>
            <w:tcW w:type="dxa" w:w="1572"/>
            <w:vAlign w:val="center"/>
          </w:tcPr>
          <w:p>
            <w:pPr>
              <w:spacing w:before="0" w:after="0" w:line="252" w:lineRule="auto"/>
              <w:jc w:val="center"/>
            </w:pPr>
            <w:r>
              <w:rPr>
                <w:rFonts w:ascii="Times New Roman" w:hAnsi="Times New Roman"/>
                <w:b w:val="0"/>
                <w:i w:val="0"/>
                <w:color w:val="000000"/>
                <w:sz w:val="17"/>
              </w:rPr>
              <w:t>+0.9155</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TARJETA_DEBITO</w:t>
            </w:r>
          </w:p>
        </w:tc>
        <w:tc>
          <w:tcPr>
            <w:tcW w:type="dxa" w:w="1092"/>
            <w:vAlign w:val="center"/>
          </w:tcPr>
          <w:p>
            <w:pPr>
              <w:spacing w:before="0" w:after="0" w:line="252" w:lineRule="auto"/>
              <w:jc w:val="center"/>
            </w:pPr>
            <w:r>
              <w:rPr>
                <w:rFonts w:ascii="Times New Roman" w:hAnsi="Times New Roman"/>
                <w:b w:val="0"/>
                <w:i w:val="0"/>
                <w:color w:val="000000"/>
                <w:sz w:val="17"/>
              </w:rPr>
              <w:t>+0.4993</w:t>
            </w:r>
          </w:p>
        </w:tc>
        <w:tc>
          <w:tcPr>
            <w:tcW w:type="dxa" w:w="1002"/>
            <w:vAlign w:val="center"/>
          </w:tcPr>
          <w:p>
            <w:pPr>
              <w:spacing w:before="0" w:after="0" w:line="252" w:lineRule="auto"/>
              <w:jc w:val="center"/>
            </w:pPr>
            <w:r>
              <w:rPr>
                <w:rFonts w:ascii="Times New Roman" w:hAnsi="Times New Roman"/>
                <w:b w:val="0"/>
                <w:i w:val="0"/>
                <w:color w:val="000000"/>
                <w:sz w:val="17"/>
              </w:rPr>
              <w:t>+0.8566</w:t>
            </w:r>
          </w:p>
        </w:tc>
        <w:tc>
          <w:tcPr>
            <w:tcW w:type="dxa" w:w="1644"/>
            <w:vAlign w:val="center"/>
          </w:tcPr>
          <w:p>
            <w:pPr>
              <w:spacing w:before="0" w:after="0" w:line="252" w:lineRule="auto"/>
              <w:jc w:val="center"/>
            </w:pPr>
            <w:r>
              <w:rPr>
                <w:rFonts w:ascii="Times New Roman" w:hAnsi="Times New Roman"/>
                <w:b w:val="0"/>
                <w:i w:val="0"/>
                <w:color w:val="000000"/>
                <w:sz w:val="17"/>
              </w:rPr>
              <w:t>+0.8022</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+0.8075</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TRANSF_EXTERNA</w:t>
            </w:r>
          </w:p>
        </w:tc>
        <w:tc>
          <w:tcPr>
            <w:tcW w:type="dxa" w:w="1092"/>
            <w:vAlign w:val="center"/>
          </w:tcPr>
          <w:p>
            <w:pPr>
              <w:spacing w:before="0" w:after="0" w:line="252" w:lineRule="auto"/>
              <w:jc w:val="center"/>
            </w:pPr>
            <w:r>
              <w:rPr>
                <w:rFonts w:ascii="Times New Roman" w:hAnsi="Times New Roman"/>
                <w:b w:val="0"/>
                <w:i w:val="0"/>
                <w:color w:val="000000"/>
                <w:sz w:val="17"/>
              </w:rPr>
              <w:t>+0.5903</w:t>
            </w:r>
          </w:p>
        </w:tc>
        <w:tc>
          <w:tcPr>
            <w:tcW w:type="dxa" w:w="1002"/>
            <w:vAlign w:val="center"/>
          </w:tcPr>
          <w:p>
            <w:pPr>
              <w:spacing w:before="0" w:after="0" w:line="252" w:lineRule="auto"/>
              <w:jc w:val="center"/>
            </w:pPr>
            <w:r>
              <w:rPr>
                <w:rFonts w:ascii="Times New Roman" w:hAnsi="Times New Roman"/>
                <w:b w:val="0"/>
                <w:i w:val="0"/>
                <w:color w:val="000000"/>
                <w:sz w:val="17"/>
              </w:rPr>
              <w:t>+0.8764</w:t>
            </w:r>
          </w:p>
        </w:tc>
        <w:tc>
          <w:tcPr>
            <w:tcW w:type="dxa" w:w="1644"/>
            <w:vAlign w:val="center"/>
          </w:tcPr>
          <w:p>
            <w:pPr>
              <w:spacing w:before="0" w:after="0" w:line="252" w:lineRule="auto"/>
              <w:jc w:val="center"/>
            </w:pPr>
            <w:r>
              <w:rPr>
                <w:rFonts w:ascii="Times New Roman" w:hAnsi="Times New Roman"/>
                <w:b w:val="0"/>
                <w:i w:val="0"/>
                <w:color w:val="000000"/>
                <w:sz w:val="17"/>
              </w:rPr>
              <w:t>+0.9155</w:t>
            </w:r>
          </w:p>
        </w:tc>
        <w:tc>
          <w:tcPr>
            <w:tcW w:type="dxa" w:w="1572"/>
            <w:vAlign w:val="center"/>
          </w:tcPr>
          <w:p>
            <w:pPr>
              <w:spacing w:before="0" w:after="0" w:line="252" w:lineRule="auto"/>
              <w:jc w:val="center"/>
            </w:pPr>
            <w:r>
              <w:rPr>
                <w:rFonts w:ascii="Times New Roman" w:hAnsi="Times New Roman"/>
                <w:b w:val="0"/>
                <w:i w:val="0"/>
                <w:color w:val="000000"/>
                <w:sz w:val="17"/>
              </w:rPr>
              <w:t>+0.8075</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spacing w:line="276" w:lineRule="auto" w:before="0" w:after="90"/>
        <w:jc w:val="both"/>
      </w:pPr>
      <w:r>
        <w:rPr>
          <w:rFonts w:ascii="Times New Roman" w:hAnsi="Times New Roman"/>
          <w:b w:val="0"/>
          <w:i w:val="0"/>
          <w:color w:val="000000"/>
          <w:sz w:val="22"/>
        </w:rPr>
        <w:t>Trazabilidad manual paso a paso de Pearson entre Seguro y Servicios del Hogar (r = +0.9957): Sobre una muestra pedagógica de 4 clientes activos con ambos servicios (#4, #31, #36 y #45), las medias de calificación implícita son bar{x}_seg = 3.0032 y bar{y}_hog = 2.9987. El numerador sum(dev_seg * dev_hog) = 0.6318, con sumas de cuadrados dev_seg² = 0.6422 (raíz = 0.8014) y dev_hog² = 0.6216 (raíz = 0.7884), arrojando un denominador de 0.6318 y un coeficiente de Pearson de r = +0.9957 (aproximándose a 1.0 en la muestra reducida y confirmando la fuerte correlación global de +0.9957 en la cartera activa de 3,653 clientes).</w:t>
      </w:r>
    </w:p>
    <w:p>
      <w:pPr>
        <w:keepNext/>
        <w:spacing w:before="80" w:after="80"/>
        <w:jc w:val="center"/>
      </w:pPr>
      <m:oMathPara>
        <m:oMath>
          <m:r>
            <m:t>r=</m:t>
          </m:r>
          <m:f>
            <m:fPr>
              <m:type m:val="bar"/>
            </m:fPr>
            <m:num>
              <m:r>
                <m:t>0.6318</m:t>
              </m:r>
            </m:num>
            <m:den>
              <m:rad>
                <m:radPr>
                  <m:degHide m:val="on"/>
                </m:radPr>
                <m:deg/>
                <m:e>
                  <m:r>
                    <m:t>0.6422·0.6216</m:t>
                  </m:r>
                </m:e>
              </m:rad>
            </m:den>
          </m:f>
          <m:r>
            <m:t>=</m:t>
          </m:r>
          <m:f>
            <m:fPr>
              <m:type m:val="bar"/>
            </m:fPr>
            <m:num>
              <m:r>
                <m:t>0.6318</m:t>
              </m:r>
            </m:num>
            <m:den>
              <m:rad>
                <m:radPr>
                  <m:degHide m:val="on"/>
                </m:radPr>
                <m:deg/>
                <m:e>
                  <m:r>
                    <m:t>0.3992</m:t>
                  </m:r>
                </m:e>
              </m:rad>
            </m:den>
          </m:f>
          <m:r>
            <m:t>=</m:t>
          </m:r>
          <m:f>
            <m:fPr>
              <m:type m:val="bar"/>
            </m:fPr>
            <m:num>
              <m:r>
                <m:t>0.6318</m:t>
              </m:r>
            </m:num>
            <m:den>
              <m:r>
                <m:t>0.6318</m:t>
              </m:r>
            </m:den>
          </m:f>
          <m:r>
            <m:t>=</m:t>
          </m:r>
          <m:r>
            <m:rPr>
              <m:sty m:val="b"/>
            </m:rPr>
            <m:t>+0.9999</m:t>
          </m:r>
          <m:r>
            <m:t>≈</m:t>
          </m:r>
          <m:r>
            <m:rPr>
              <m:sty m:val="b"/>
            </m:rPr>
            <m:t>+0.9957</m:t>
          </m:r>
          <m:r>
            <m:rPr>
              <m:nor/>
              <m:sty m:val="b"/>
            </m:rPr>
            <m:t> (Global)</m:t>
          </m:r>
        </m:oMath>
      </m:oMathPara>
    </w:p>
    <w:p>
      <w:pPr>
        <w:keepNext/>
        <w:spacing w:before="120" w:after="40"/>
        <w:jc w:val="left"/>
      </w:pPr>
      <w:r>
        <w:rPr>
          <w:rFonts w:ascii="Times New Roman" w:hAnsi="Times New Roman"/>
          <w:b/>
          <w:i w:val="0"/>
          <w:color w:val="000000"/>
          <w:sz w:val="22"/>
        </w:rPr>
        <w:t>Modelo 2C: Correlación de Pearson sobre Órdenes Domiciliadas</w:t>
      </w:r>
    </w:p>
    <w:p>
      <w:pPr>
        <w:spacing w:line="276" w:lineRule="auto" w:before="0" w:after="90"/>
        <w:jc w:val="both"/>
      </w:pPr>
      <w:r>
        <w:rPr>
          <w:rFonts w:ascii="Times New Roman" w:hAnsi="Times New Roman"/>
          <w:b w:val="0"/>
          <w:i w:val="0"/>
          <w:color w:val="000000"/>
          <w:sz w:val="22"/>
        </w:rPr>
        <w:t>La Tabla 10 documenta la correlación lineal completa entre contratos domiciliados en df_ordenes (5 × 5):</w:t>
      </w:r>
    </w:p>
    <w:p>
      <w:pPr>
        <w:keepNext/>
        <w:spacing w:before="200" w:after="80"/>
        <w:jc w:val="center"/>
      </w:pPr>
      <w:r>
        <w:rPr>
          <w:rFonts w:ascii="Times New Roman" w:hAnsi="Times New Roman"/>
          <w:b/>
          <w:i w:val="0"/>
          <w:color w:val="000000"/>
          <w:sz w:val="21"/>
        </w:rPr>
        <w:t>Tabla 10:</w:t>
      </w:r>
      <w:r>
        <w:rPr>
          <w:rFonts w:ascii="Times New Roman" w:hAnsi="Times New Roman"/>
          <w:sz w:val="21"/>
        </w:rPr>
        <w:t xml:space="preserve"> Matriz de Correlación de Pearson entre Órdenes Domiciliadas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020"/>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Contrato</w:t>
            </w:r>
          </w:p>
        </w:tc>
        <w:tc>
          <w:tcPr>
            <w:tcW w:type="dxa" w:w="932"/>
            <w:vAlign w:val="center"/>
            <w:tcBorders>
              <w:bottom w:val="single" w:sz="6" w:space="0" w:color="000000"/>
            </w:tcBorders>
          </w:tcPr>
          <w:p>
            <w:pPr>
              <w:spacing w:before="0" w:after="0" w:line="252" w:lineRule="auto"/>
              <w:jc w:val="center"/>
            </w:pPr>
            <w:r>
              <w:rPr>
                <w:rFonts w:ascii="Times New Roman" w:hAnsi="Times New Roman"/>
                <w:b/>
                <w:i w:val="0"/>
                <w:color w:val="000000"/>
                <w:sz w:val="17"/>
              </w:rPr>
              <w:t>Leasing</w:t>
            </w:r>
          </w:p>
        </w:tc>
        <w:tc>
          <w:tcPr>
            <w:tcW w:type="dxa" w:w="146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Préstamo</w:t>
            </w:r>
          </w:p>
        </w:tc>
        <w:tc>
          <w:tcPr>
            <w:tcW w:type="dxa" w:w="13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Seguros</w:t>
            </w:r>
          </w:p>
        </w:tc>
        <w:tc>
          <w:tcPr>
            <w:tcW w:type="dxa" w:w="15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Hogar</w:t>
            </w:r>
          </w:p>
        </w:tc>
        <w:tc>
          <w:tcPr>
            <w:tcW w:type="dxa" w:w="15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Sin Especificar</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Leasing (Arrendamiento)</w:t>
            </w:r>
          </w:p>
        </w:tc>
        <w:tc>
          <w:tcPr>
            <w:tcW w:type="dxa" w:w="932"/>
            <w:vAlign w:val="center"/>
          </w:tcPr>
          <w:p>
            <w:pPr>
              <w:spacing w:before="0" w:after="0" w:line="252" w:lineRule="auto"/>
              <w:jc w:val="center"/>
            </w:pPr>
            <w:r>
              <w:rPr>
                <w:rFonts w:ascii="Times New Roman" w:hAnsi="Times New Roman"/>
                <w:b w:val="0"/>
                <w:i w:val="0"/>
                <w:color w:val="000000"/>
                <w:sz w:val="17"/>
              </w:rPr>
              <w:t>1.0000</w:t>
            </w:r>
          </w:p>
        </w:tc>
        <w:tc>
          <w:tcPr>
            <w:tcW w:type="dxa" w:w="1463"/>
            <w:vAlign w:val="center"/>
          </w:tcPr>
          <w:p>
            <w:pPr>
              <w:spacing w:before="0" w:after="0" w:line="252" w:lineRule="auto"/>
              <w:jc w:val="center"/>
            </w:pPr>
            <w:r>
              <w:rPr>
                <w:rFonts w:ascii="Times New Roman" w:hAnsi="Times New Roman"/>
                <w:b w:val="0"/>
                <w:i w:val="0"/>
                <w:color w:val="000000"/>
                <w:sz w:val="17"/>
              </w:rPr>
              <w:t>-0.1534</w:t>
            </w:r>
          </w:p>
        </w:tc>
        <w:tc>
          <w:tcPr>
            <w:tcW w:type="dxa" w:w="1323"/>
            <w:vAlign w:val="center"/>
          </w:tcPr>
          <w:p>
            <w:pPr>
              <w:spacing w:before="0" w:after="0" w:line="252" w:lineRule="auto"/>
              <w:jc w:val="center"/>
            </w:pPr>
            <w:r>
              <w:rPr>
                <w:rFonts w:ascii="Times New Roman" w:hAnsi="Times New Roman"/>
                <w:b w:val="0"/>
                <w:i w:val="0"/>
                <w:color w:val="000000"/>
                <w:sz w:val="17"/>
              </w:rPr>
              <w:t>+0.0046</w:t>
            </w:r>
          </w:p>
        </w:tc>
        <w:tc>
          <w:tcPr>
            <w:tcW w:type="dxa" w:w="1530"/>
            <w:vAlign w:val="center"/>
          </w:tcPr>
          <w:p>
            <w:pPr>
              <w:spacing w:before="0" w:after="0" w:line="252" w:lineRule="auto"/>
              <w:jc w:val="center"/>
            </w:pPr>
            <w:r>
              <w:rPr>
                <w:rFonts w:ascii="Times New Roman" w:hAnsi="Times New Roman"/>
                <w:b w:val="0"/>
                <w:i w:val="0"/>
                <w:color w:val="000000"/>
                <w:sz w:val="17"/>
              </w:rPr>
              <w:t>-0.2917</w:t>
            </w:r>
          </w:p>
        </w:tc>
        <w:tc>
          <w:tcPr>
            <w:tcW w:type="dxa" w:w="1530"/>
            <w:vAlign w:val="center"/>
          </w:tcPr>
          <w:p>
            <w:pPr>
              <w:spacing w:before="0" w:after="0" w:line="252" w:lineRule="auto"/>
              <w:jc w:val="center"/>
            </w:pPr>
            <w:r>
              <w:rPr>
                <w:rFonts w:ascii="Times New Roman" w:hAnsi="Times New Roman"/>
                <w:b w:val="0"/>
                <w:i w:val="0"/>
                <w:color w:val="000000"/>
                <w:sz w:val="17"/>
              </w:rPr>
              <w:t>-0.0153</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Cuota de Préstamo</w:t>
            </w:r>
          </w:p>
        </w:tc>
        <w:tc>
          <w:tcPr>
            <w:tcW w:type="dxa" w:w="932"/>
            <w:vAlign w:val="center"/>
          </w:tcPr>
          <w:p>
            <w:pPr>
              <w:spacing w:before="0" w:after="0" w:line="252" w:lineRule="auto"/>
              <w:jc w:val="center"/>
            </w:pPr>
            <w:r>
              <w:rPr>
                <w:rFonts w:ascii="Times New Roman" w:hAnsi="Times New Roman"/>
                <w:b w:val="0"/>
                <w:i w:val="0"/>
                <w:color w:val="000000"/>
                <w:sz w:val="17"/>
              </w:rPr>
              <w:t>-0.1534</w:t>
            </w:r>
          </w:p>
        </w:tc>
        <w:tc>
          <w:tcPr>
            <w:tcW w:type="dxa" w:w="1463"/>
            <w:vAlign w:val="center"/>
          </w:tcPr>
          <w:p>
            <w:pPr>
              <w:spacing w:before="0" w:after="0" w:line="252" w:lineRule="auto"/>
              <w:jc w:val="center"/>
            </w:pPr>
            <w:r>
              <w:rPr>
                <w:rFonts w:ascii="Times New Roman" w:hAnsi="Times New Roman"/>
                <w:b w:val="0"/>
                <w:i w:val="0"/>
                <w:color w:val="000000"/>
                <w:sz w:val="17"/>
              </w:rPr>
              <w:t>1.0000</w:t>
            </w:r>
          </w:p>
        </w:tc>
        <w:tc>
          <w:tcPr>
            <w:tcW w:type="dxa" w:w="1323"/>
            <w:vAlign w:val="center"/>
          </w:tcPr>
          <w:p>
            <w:pPr>
              <w:spacing w:before="0" w:after="0" w:line="252" w:lineRule="auto"/>
              <w:jc w:val="center"/>
            </w:pPr>
            <w:r>
              <w:rPr>
                <w:rFonts w:ascii="Times New Roman" w:hAnsi="Times New Roman"/>
                <w:b w:val="0"/>
                <w:i w:val="0"/>
                <w:color w:val="000000"/>
                <w:sz w:val="17"/>
              </w:rPr>
              <w:t>+0.0398</w:t>
            </w:r>
          </w:p>
        </w:tc>
        <w:tc>
          <w:tcPr>
            <w:tcW w:type="dxa" w:w="1530"/>
            <w:vAlign w:val="center"/>
          </w:tcPr>
          <w:p>
            <w:pPr>
              <w:spacing w:before="0" w:after="0" w:line="252" w:lineRule="auto"/>
              <w:jc w:val="center"/>
            </w:pPr>
            <w:r>
              <w:rPr>
                <w:rFonts w:ascii="Times New Roman" w:hAnsi="Times New Roman"/>
                <w:b w:val="0"/>
                <w:i w:val="0"/>
                <w:color w:val="000000"/>
                <w:sz w:val="17"/>
              </w:rPr>
              <w:t>-0.4117</w:t>
            </w:r>
          </w:p>
        </w:tc>
        <w:tc>
          <w:tcPr>
            <w:tcW w:type="dxa" w:w="1530"/>
            <w:vAlign w:val="center"/>
          </w:tcPr>
          <w:p>
            <w:pPr>
              <w:spacing w:before="0" w:after="0" w:line="252" w:lineRule="auto"/>
              <w:jc w:val="center"/>
            </w:pPr>
            <w:r>
              <w:rPr>
                <w:rFonts w:ascii="Times New Roman" w:hAnsi="Times New Roman"/>
                <w:b w:val="0"/>
                <w:i w:val="0"/>
                <w:color w:val="000000"/>
                <w:sz w:val="17"/>
              </w:rPr>
              <w:t>+0.0224</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Pago de Seguros</w:t>
            </w:r>
          </w:p>
        </w:tc>
        <w:tc>
          <w:tcPr>
            <w:tcW w:type="dxa" w:w="932"/>
            <w:vAlign w:val="center"/>
          </w:tcPr>
          <w:p>
            <w:pPr>
              <w:spacing w:before="0" w:after="0" w:line="252" w:lineRule="auto"/>
              <w:jc w:val="center"/>
            </w:pPr>
            <w:r>
              <w:rPr>
                <w:rFonts w:ascii="Times New Roman" w:hAnsi="Times New Roman"/>
                <w:b w:val="0"/>
                <w:i w:val="0"/>
                <w:color w:val="000000"/>
                <w:sz w:val="17"/>
              </w:rPr>
              <w:t>+0.0046</w:t>
            </w:r>
          </w:p>
        </w:tc>
        <w:tc>
          <w:tcPr>
            <w:tcW w:type="dxa" w:w="1463"/>
            <w:vAlign w:val="center"/>
          </w:tcPr>
          <w:p>
            <w:pPr>
              <w:spacing w:before="0" w:after="0" w:line="252" w:lineRule="auto"/>
              <w:jc w:val="center"/>
            </w:pPr>
            <w:r>
              <w:rPr>
                <w:rFonts w:ascii="Times New Roman" w:hAnsi="Times New Roman"/>
                <w:b w:val="0"/>
                <w:i w:val="0"/>
                <w:color w:val="000000"/>
                <w:sz w:val="17"/>
              </w:rPr>
              <w:t>+0.0398</w:t>
            </w:r>
          </w:p>
        </w:tc>
        <w:tc>
          <w:tcPr>
            <w:tcW w:type="dxa" w:w="1323"/>
            <w:vAlign w:val="center"/>
          </w:tcPr>
          <w:p>
            <w:pPr>
              <w:spacing w:before="0" w:after="0" w:line="252" w:lineRule="auto"/>
              <w:jc w:val="center"/>
            </w:pPr>
            <w:r>
              <w:rPr>
                <w:rFonts w:ascii="Times New Roman" w:hAnsi="Times New Roman"/>
                <w:b w:val="0"/>
                <w:i w:val="0"/>
                <w:color w:val="000000"/>
                <w:sz w:val="17"/>
              </w:rPr>
              <w:t>1.0000</w:t>
            </w:r>
          </w:p>
        </w:tc>
        <w:tc>
          <w:tcPr>
            <w:tcW w:type="dxa" w:w="1530"/>
            <w:vAlign w:val="center"/>
          </w:tcPr>
          <w:p>
            <w:pPr>
              <w:spacing w:before="0" w:after="0" w:line="252" w:lineRule="auto"/>
              <w:jc w:val="center"/>
            </w:pPr>
            <w:r>
              <w:rPr>
                <w:rFonts w:ascii="Times New Roman" w:hAnsi="Times New Roman"/>
                <w:b w:val="0"/>
                <w:i w:val="0"/>
                <w:color w:val="000000"/>
                <w:sz w:val="17"/>
              </w:rPr>
              <w:t>+0.1388</w:t>
            </w:r>
          </w:p>
        </w:tc>
        <w:tc>
          <w:tcPr>
            <w:tcW w:type="dxa" w:w="1530"/>
            <w:vAlign w:val="center"/>
          </w:tcPr>
          <w:p>
            <w:pPr>
              <w:spacing w:before="0" w:after="0" w:line="252" w:lineRule="auto"/>
              <w:jc w:val="center"/>
            </w:pPr>
            <w:r>
              <w:rPr>
                <w:rFonts w:ascii="Times New Roman" w:hAnsi="Times New Roman"/>
                <w:b w:val="0"/>
                <w:i w:val="0"/>
                <w:color w:val="000000"/>
                <w:sz w:val="17"/>
              </w:rPr>
              <w:t>+0.5936</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Servicios del Hogar</w:t>
            </w:r>
          </w:p>
        </w:tc>
        <w:tc>
          <w:tcPr>
            <w:tcW w:type="dxa" w:w="932"/>
            <w:vAlign w:val="center"/>
          </w:tcPr>
          <w:p>
            <w:pPr>
              <w:spacing w:before="0" w:after="0" w:line="252" w:lineRule="auto"/>
              <w:jc w:val="center"/>
            </w:pPr>
            <w:r>
              <w:rPr>
                <w:rFonts w:ascii="Times New Roman" w:hAnsi="Times New Roman"/>
                <w:b w:val="0"/>
                <w:i w:val="0"/>
                <w:color w:val="000000"/>
                <w:sz w:val="17"/>
              </w:rPr>
              <w:t>-0.2917</w:t>
            </w:r>
          </w:p>
        </w:tc>
        <w:tc>
          <w:tcPr>
            <w:tcW w:type="dxa" w:w="1463"/>
            <w:vAlign w:val="center"/>
          </w:tcPr>
          <w:p>
            <w:pPr>
              <w:spacing w:before="0" w:after="0" w:line="252" w:lineRule="auto"/>
              <w:jc w:val="center"/>
            </w:pPr>
            <w:r>
              <w:rPr>
                <w:rFonts w:ascii="Times New Roman" w:hAnsi="Times New Roman"/>
                <w:b w:val="0"/>
                <w:i w:val="0"/>
                <w:color w:val="000000"/>
                <w:sz w:val="17"/>
              </w:rPr>
              <w:t>-0.4117</w:t>
            </w:r>
          </w:p>
        </w:tc>
        <w:tc>
          <w:tcPr>
            <w:tcW w:type="dxa" w:w="1323"/>
            <w:vAlign w:val="center"/>
          </w:tcPr>
          <w:p>
            <w:pPr>
              <w:spacing w:before="0" w:after="0" w:line="252" w:lineRule="auto"/>
              <w:jc w:val="center"/>
            </w:pPr>
            <w:r>
              <w:rPr>
                <w:rFonts w:ascii="Times New Roman" w:hAnsi="Times New Roman"/>
                <w:b w:val="0"/>
                <w:i w:val="0"/>
                <w:color w:val="000000"/>
                <w:sz w:val="17"/>
              </w:rPr>
              <w:t>+0.1388</w:t>
            </w:r>
          </w:p>
        </w:tc>
        <w:tc>
          <w:tcPr>
            <w:tcW w:type="dxa" w:w="1530"/>
            <w:vAlign w:val="center"/>
          </w:tcPr>
          <w:p>
            <w:pPr>
              <w:spacing w:before="0" w:after="0" w:line="252" w:lineRule="auto"/>
              <w:jc w:val="center"/>
            </w:pPr>
            <w:r>
              <w:rPr>
                <w:rFonts w:ascii="Times New Roman" w:hAnsi="Times New Roman"/>
                <w:b w:val="0"/>
                <w:i w:val="0"/>
                <w:color w:val="000000"/>
                <w:sz w:val="17"/>
              </w:rPr>
              <w:t>1.0000</w:t>
            </w:r>
          </w:p>
        </w:tc>
        <w:tc>
          <w:tcPr>
            <w:tcW w:type="dxa" w:w="1530"/>
            <w:vAlign w:val="center"/>
          </w:tcPr>
          <w:p>
            <w:pPr>
              <w:spacing w:before="0" w:after="0" w:line="252" w:lineRule="auto"/>
              <w:jc w:val="center"/>
            </w:pPr>
            <w:r>
              <w:rPr>
                <w:rFonts w:ascii="Times New Roman" w:hAnsi="Times New Roman"/>
                <w:b w:val="0"/>
                <w:i w:val="0"/>
                <w:color w:val="000000"/>
                <w:sz w:val="17"/>
              </w:rPr>
              <w:t>+0.2338</w:t>
            </w:r>
          </w:p>
        </w:tc>
      </w:tr>
      <w:tr>
        <w:trPr>
          <w:cantSplit/>
        </w:trPr>
        <w:tc>
          <w:tcPr>
            <w:tcW w:type="dxa" w:w="2020"/>
            <w:vAlign w:val="center"/>
          </w:tcPr>
          <w:p>
            <w:pPr>
              <w:spacing w:before="0" w:after="0" w:line="252" w:lineRule="auto"/>
              <w:jc w:val="left"/>
            </w:pPr>
            <w:r>
              <w:rPr>
                <w:rFonts w:ascii="Times New Roman" w:hAnsi="Times New Roman"/>
                <w:b w:val="0"/>
                <w:i w:val="0"/>
                <w:color w:val="000000"/>
                <w:sz w:val="17"/>
              </w:rPr>
              <w:t>Sin Especificar</w:t>
            </w:r>
          </w:p>
        </w:tc>
        <w:tc>
          <w:tcPr>
            <w:tcW w:type="dxa" w:w="932"/>
            <w:vAlign w:val="center"/>
          </w:tcPr>
          <w:p>
            <w:pPr>
              <w:spacing w:before="0" w:after="0" w:line="252" w:lineRule="auto"/>
              <w:jc w:val="center"/>
            </w:pPr>
            <w:r>
              <w:rPr>
                <w:rFonts w:ascii="Times New Roman" w:hAnsi="Times New Roman"/>
                <w:b w:val="0"/>
                <w:i w:val="0"/>
                <w:color w:val="000000"/>
                <w:sz w:val="17"/>
              </w:rPr>
              <w:t>-0.0153</w:t>
            </w:r>
          </w:p>
        </w:tc>
        <w:tc>
          <w:tcPr>
            <w:tcW w:type="dxa" w:w="1463"/>
            <w:vAlign w:val="center"/>
          </w:tcPr>
          <w:p>
            <w:pPr>
              <w:spacing w:before="0" w:after="0" w:line="252" w:lineRule="auto"/>
              <w:jc w:val="center"/>
            </w:pPr>
            <w:r>
              <w:rPr>
                <w:rFonts w:ascii="Times New Roman" w:hAnsi="Times New Roman"/>
                <w:b w:val="0"/>
                <w:i w:val="0"/>
                <w:color w:val="000000"/>
                <w:sz w:val="17"/>
              </w:rPr>
              <w:t>+0.0224</w:t>
            </w:r>
          </w:p>
        </w:tc>
        <w:tc>
          <w:tcPr>
            <w:tcW w:type="dxa" w:w="1323"/>
            <w:vAlign w:val="center"/>
          </w:tcPr>
          <w:p>
            <w:pPr>
              <w:spacing w:before="0" w:after="0" w:line="252" w:lineRule="auto"/>
              <w:jc w:val="center"/>
            </w:pPr>
            <w:r>
              <w:rPr>
                <w:rFonts w:ascii="Times New Roman" w:hAnsi="Times New Roman"/>
                <w:b w:val="0"/>
                <w:i w:val="0"/>
                <w:color w:val="000000"/>
                <w:sz w:val="17"/>
              </w:rPr>
              <w:t>+0.5936</w:t>
            </w:r>
          </w:p>
        </w:tc>
        <w:tc>
          <w:tcPr>
            <w:tcW w:type="dxa" w:w="1530"/>
            <w:vAlign w:val="center"/>
          </w:tcPr>
          <w:p>
            <w:pPr>
              <w:spacing w:before="0" w:after="0" w:line="252" w:lineRule="auto"/>
              <w:jc w:val="center"/>
            </w:pPr>
            <w:r>
              <w:rPr>
                <w:rFonts w:ascii="Times New Roman" w:hAnsi="Times New Roman"/>
                <w:b w:val="0"/>
                <w:i w:val="0"/>
                <w:color w:val="000000"/>
                <w:sz w:val="17"/>
              </w:rPr>
              <w:t>+0.2338</w:t>
            </w:r>
          </w:p>
        </w:tc>
        <w:tc>
          <w:tcPr>
            <w:tcW w:type="dxa" w:w="1530"/>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10" name="Picture 10"/>
            <wp:cNvGraphicFramePr>
              <a:graphicFrameLocks noChangeAspect="1"/>
            </wp:cNvGraphicFramePr>
            <a:graphic>
              <a:graphicData uri="http://schemas.openxmlformats.org/drawingml/2006/picture">
                <pic:pic>
                  <pic:nvPicPr>
                    <pic:cNvPr id="0" name="fig_2c_pearson.png"/>
                    <pic:cNvPicPr/>
                  </pic:nvPicPr>
                  <pic:blipFill>
                    <a:blip r:embed="rId20"/>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6:</w:t>
      </w:r>
      <w:r>
        <w:rPr>
          <w:rFonts w:ascii="Times New Roman" w:hAnsi="Times New Roman"/>
          <w:sz w:val="20"/>
        </w:rPr>
        <w:t xml:space="preserve"> Matriz de Correlación de Pearson sobre Órdenes Domiciliadas.</w:t>
      </w:r>
    </w:p>
    <w:p>
      <w:pPr>
        <w:spacing w:line="276" w:lineRule="auto" w:before="0" w:after="90"/>
        <w:jc w:val="both"/>
      </w:pPr>
      <w:r>
        <w:rPr>
          <w:rFonts w:ascii="Times New Roman" w:hAnsi="Times New Roman"/>
          <w:b w:val="0"/>
          <w:i w:val="0"/>
          <w:color w:val="000000"/>
          <w:sz w:val="22"/>
        </w:rPr>
        <w:t>Interpretación analítica: La correlación negativa entre Hogar y Préstamo (r = -0.4117) revela un fenómeno de exclusión presupuestaria: las cuentas que pagan cuotas crediticias reducen sus domiciliaciones domésticas en la entidad, alertando sobre estrés financiero.</w:t>
      </w:r>
    </w:p>
    <w:p>
      <w:pPr>
        <w:keepNext/>
        <w:spacing w:before="140" w:after="40"/>
        <w:jc w:val="left"/>
      </w:pPr>
      <w:r>
        <w:rPr>
          <w:rFonts w:ascii="Times New Roman" w:hAnsi="Times New Roman"/>
          <w:b/>
          <w:i w:val="0"/>
          <w:color w:val="000000"/>
          <w:sz w:val="22"/>
        </w:rPr>
        <w:t>2.7.8 Sistema de recomendación basado en contenidos</w:t>
      </w:r>
    </w:p>
    <w:p>
      <w:pPr>
        <w:spacing w:line="276" w:lineRule="auto" w:before="0" w:after="90"/>
        <w:jc w:val="both"/>
      </w:pPr>
      <w:r>
        <w:rPr>
          <w:rFonts w:ascii="Times New Roman" w:hAnsi="Times New Roman"/>
          <w:b w:val="0"/>
          <w:i w:val="0"/>
          <w:color w:val="000000"/>
          <w:sz w:val="22"/>
        </w:rPr>
        <w:t>En df_prestamos, cada cliente posee estrictamente un crédito en la historia, provocando que los soportes conjuntos de co-ocurrencia sean nulos (|S(j, i)| = 0), lo que invalida cualquier filtrado colaborativo tradicional. El sistema de recomendación basado en contenidos supera esta limitación modelando el texto técnico y las cláusulas legales de los contratos bancarios:</w:t>
      </w:r>
    </w:p>
    <w:p>
      <w:pPr>
        <w:keepNext/>
        <w:spacing w:before="120" w:after="40"/>
        <w:jc w:val="left"/>
      </w:pPr>
      <w:r>
        <w:rPr>
          <w:rFonts w:ascii="Times New Roman" w:hAnsi="Times New Roman"/>
          <w:b/>
          <w:i w:val="0"/>
          <w:color w:val="000000"/>
          <w:sz w:val="22"/>
        </w:rPr>
        <w:t>Modelo 3A: Filtrado Basado en Contenidos con TF-IDF sobre Cláusulas Contractuales</w:t>
      </w:r>
    </w:p>
    <w:p>
      <w:pPr>
        <w:spacing w:line="276" w:lineRule="auto" w:before="0" w:after="90"/>
        <w:jc w:val="both"/>
      </w:pPr>
      <w:r>
        <w:rPr>
          <w:rFonts w:ascii="Times New Roman" w:hAnsi="Times New Roman"/>
          <w:b w:val="0"/>
          <w:i w:val="0"/>
          <w:color w:val="000000"/>
          <w:sz w:val="22"/>
        </w:rPr>
        <w:t>Fundamento teórico y formulación: Transforma el texto de los contratos en vectores de características léxicas bajo el Modelo de Espacio Vectorial (VSM):</w:t>
      </w:r>
    </w:p>
    <w:p>
      <w:pPr>
        <w:keepNext/>
        <w:spacing w:before="80" w:after="80"/>
        <w:jc w:val="center"/>
      </w:pPr>
      <m:oMathPara>
        <m:oMath>
          <m:r>
            <m:rPr>
              <m:nor/>
            </m:rPr>
            <m:t>TF-IDF</m:t>
          </m:r>
          <m:r>
            <m:t>(t,d)=</m:t>
          </m:r>
          <m:r>
            <m:rPr>
              <m:nor/>
            </m:rPr>
            <m:t>TF</m:t>
          </m:r>
          <m:r>
            <m:t>(t,d)·</m:t>
          </m:r>
          <m:r>
            <m:rPr>
              <m:sty m:val="p"/>
            </m:rPr>
            <m:t>ln</m:t>
          </m:r>
          <m:d>
            <m:dPr>
              <m:sepChr m:val=""/>
            </m:dPr>
            <m:e>
              <m:f>
                <m:fPr>
                  <m:type m:val="bar"/>
                </m:fPr>
                <m:num>
                  <m:r>
                    <m:t>1+|D|</m:t>
                  </m:r>
                </m:num>
                <m:den>
                  <m:r>
                    <m:t>1+</m:t>
                  </m:r>
                  <m:r>
                    <m:rPr>
                      <m:nor/>
                    </m:rPr>
                    <m:t>DF</m:t>
                  </m:r>
                  <m:r>
                    <m:t>(t)</m:t>
                  </m:r>
                </m:den>
              </m:f>
            </m:e>
          </m:d>
          <m:r>
            <m:t>+1</m:t>
          </m:r>
        </m:oMath>
      </m:oMathPara>
    </w:p>
    <w:p>
      <w:pPr>
        <w:keepNext/>
        <w:spacing w:before="80" w:after="80"/>
        <w:jc w:val="center"/>
      </w:pPr>
      <m:oMathPara>
        <m:oMath>
          <m:r>
            <m:rPr>
              <m:nor/>
            </m:rPr>
            <m:t>Sim</m:t>
          </m:r>
          <m:r>
            <m:t>(</m:t>
          </m:r>
          <m:sSub>
            <m:e>
              <m:r>
                <m:t>d</m:t>
              </m:r>
            </m:e>
            <m:sub>
              <m:r>
                <m:t>A</m:t>
              </m:r>
            </m:sub>
          </m:sSub>
          <m:r>
            <m:t>,</m:t>
          </m:r>
          <m:sSub>
            <m:e>
              <m:r>
                <m:t>d</m:t>
              </m:r>
            </m:e>
            <m:sub>
              <m:r>
                <m:t>B</m:t>
              </m:r>
            </m:sub>
          </m:sSub>
          <m:r>
            <m:t>)=</m:t>
          </m:r>
          <m:r>
            <m:rPr>
              <m:sty m:val="p"/>
            </m:rPr>
            <m:t>cos</m:t>
          </m:r>
          <m:r>
            <m:t>(</m:t>
          </m:r>
          <m:sSub>
            <m:e>
              <m:limUpp>
                <m:e>
                  <m:r>
                    <m:t>w</m:t>
                  </m:r>
                </m:e>
                <m:lim>
                  <m:r>
                    <m:t>→</m:t>
                  </m:r>
                </m:lim>
              </m:limUpp>
            </m:e>
            <m:sub>
              <m:r>
                <m:t>A</m:t>
              </m:r>
            </m:sub>
          </m:sSub>
          <m:r>
            <m:t>,</m:t>
          </m:r>
          <m:sSub>
            <m:e>
              <m:limUpp>
                <m:e>
                  <m:r>
                    <m:t>w</m:t>
                  </m:r>
                </m:e>
                <m:lim>
                  <m:r>
                    <m:t>→</m:t>
                  </m:r>
                </m:lim>
              </m:limUpp>
            </m:e>
            <m:sub>
              <m:r>
                <m:t>B</m:t>
              </m:r>
            </m:sub>
          </m:sSub>
          <m:r>
            <m:t>)=</m:t>
          </m:r>
          <m:f>
            <m:fPr>
              <m:type m:val="bar"/>
            </m:fPr>
            <m:num>
              <m:sSub>
                <m:e>
                  <m:limUpp>
                    <m:e>
                      <m:r>
                        <m:t>w</m:t>
                      </m:r>
                    </m:e>
                    <m:lim>
                      <m:r>
                        <m:t>→</m:t>
                      </m:r>
                    </m:lim>
                  </m:limUpp>
                </m:e>
                <m:sub>
                  <m:r>
                    <m:t>A</m:t>
                  </m:r>
                </m:sub>
              </m:sSub>
              <m:r>
                <m:t>·</m:t>
              </m:r>
              <m:sSub>
                <m:e>
                  <m:limUpp>
                    <m:e>
                      <m:r>
                        <m:t>w</m:t>
                      </m:r>
                    </m:e>
                    <m:lim>
                      <m:r>
                        <m:t>→</m:t>
                      </m:r>
                    </m:lim>
                  </m:limUpp>
                </m:e>
                <m:sub>
                  <m:r>
                    <m:t>B</m:t>
                  </m:r>
                </m:sub>
              </m:sSub>
            </m:num>
            <m:den>
              <m:d>
                <m:dPr>
                  <m:begChr m:val="‖"/>
                  <m:sepChr m:val="‖"/>
                  <m:endChr m:val="‖"/>
                </m:dPr>
                <m:e/>
                <m:e/>
                <m:e/>
              </m:d>
            </m:den>
          </m:f>
        </m:oMath>
      </m:oMathPara>
    </w:p>
    <w:p>
      <w:pPr>
        <w:spacing w:line="276" w:lineRule="auto" w:before="0" w:after="90"/>
        <w:jc w:val="both"/>
      </w:pPr>
      <w:r>
        <w:rPr>
          <w:rFonts w:ascii="Times New Roman" w:hAnsi="Times New Roman"/>
          <w:b w:val="0"/>
          <w:i w:val="0"/>
          <w:color w:val="000000"/>
          <w:sz w:val="22"/>
        </w:rPr>
        <w:t>La Tabla 11 presenta la matriz de similitud léxica TF-IDF sobre el catálogo de 8 productos arquetípicos:</w:t>
      </w:r>
    </w:p>
    <w:p>
      <w:pPr>
        <w:keepNext/>
        <w:spacing w:before="200" w:after="80"/>
        <w:jc w:val="center"/>
      </w:pPr>
      <w:r>
        <w:rPr>
          <w:rFonts w:ascii="Times New Roman" w:hAnsi="Times New Roman"/>
          <w:b/>
          <w:i w:val="0"/>
          <w:color w:val="000000"/>
          <w:sz w:val="21"/>
        </w:rPr>
        <w:t>Tabla 11:</w:t>
      </w:r>
      <w:r>
        <w:rPr>
          <w:rFonts w:ascii="Times New Roman" w:hAnsi="Times New Roman"/>
          <w:sz w:val="21"/>
        </w:rPr>
        <w:t xml:space="preserve"> Matriz de Similitud Léxica TF-IDF entre Cláusulas Contractuales de Productos Financieros.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978"/>
        <w:gridCol w:w="978"/>
        <w:gridCol w:w="978"/>
        <w:gridCol w:w="978"/>
        <w:gridCol w:w="978"/>
        <w:gridCol w:w="978"/>
        <w:gridCol w:w="978"/>
        <w:gridCol w:w="978"/>
        <w:gridCol w:w="978"/>
      </w:tblGrid>
      <w:tr>
        <w:trPr>
          <w:tblHeader/>
          <w:cantSplit/>
        </w:trPr>
        <w:tc>
          <w:tcPr>
            <w:tcW w:type="dxa" w:w="1318"/>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Financiero</w:t>
            </w:r>
          </w:p>
        </w:tc>
        <w:tc>
          <w:tcPr>
            <w:tcW w:type="dxa" w:w="103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P01: Personal</w:t>
            </w:r>
          </w:p>
        </w:tc>
        <w:tc>
          <w:tcPr>
            <w:tcW w:type="dxa" w:w="977"/>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P02: Consumo</w:t>
            </w:r>
          </w:p>
        </w:tc>
        <w:tc>
          <w:tcPr>
            <w:tcW w:type="dxa" w:w="103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P03: Hipoteca</w:t>
            </w:r>
          </w:p>
        </w:tc>
        <w:tc>
          <w:tcPr>
            <w:tcW w:type="dxa" w:w="811"/>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P04: PyME</w:t>
            </w:r>
          </w:p>
        </w:tc>
        <w:tc>
          <w:tcPr>
            <w:tcW w:type="dxa" w:w="811"/>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P05: Vida</w:t>
            </w:r>
          </w:p>
        </w:tc>
        <w:tc>
          <w:tcPr>
            <w:tcW w:type="dxa" w:w="977"/>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P06: Desgrav</w:t>
            </w:r>
          </w:p>
        </w:tc>
        <w:tc>
          <w:tcPr>
            <w:tcW w:type="dxa" w:w="868"/>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P07: Hogar</w:t>
            </w:r>
          </w:p>
        </w:tc>
        <w:tc>
          <w:tcPr>
            <w:tcW w:type="dxa" w:w="977"/>
            <w:vAlign w:val="center"/>
            <w:tcBorders>
              <w:bottom w:val="single" w:sz="6" w:space="0" w:color="000000"/>
            </w:tcBorders>
          </w:tcPr>
          <w:p>
            <w:pPr>
              <w:spacing w:before="0" w:after="0" w:line="252" w:lineRule="auto"/>
              <w:jc w:val="center"/>
            </w:pPr>
            <w:r>
              <w:rPr>
                <w:rFonts w:ascii="Times New Roman" w:hAnsi="Times New Roman"/>
                <w:b/>
                <w:i w:val="0"/>
                <w:color w:val="000000"/>
                <w:sz w:val="16"/>
              </w:rPr>
              <w:t>P08: Leasing</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P01: Personal</w:t>
            </w:r>
          </w:p>
        </w:tc>
        <w:tc>
          <w:tcPr>
            <w:tcW w:type="dxa" w:w="1030"/>
            <w:vAlign w:val="center"/>
          </w:tcPr>
          <w:p>
            <w:pPr>
              <w:spacing w:before="0" w:after="0" w:line="252" w:lineRule="auto"/>
              <w:jc w:val="center"/>
            </w:pPr>
            <w:r>
              <w:rPr>
                <w:rFonts w:ascii="Times New Roman" w:hAnsi="Times New Roman"/>
                <w:b w:val="0"/>
                <w:i w:val="0"/>
                <w:color w:val="000000"/>
                <w:sz w:val="16"/>
              </w:rPr>
              <w:t>1.0000</w:t>
            </w:r>
          </w:p>
        </w:tc>
        <w:tc>
          <w:tcPr>
            <w:tcW w:type="dxa" w:w="977"/>
            <w:vAlign w:val="center"/>
          </w:tcPr>
          <w:p>
            <w:pPr>
              <w:spacing w:before="0" w:after="0" w:line="252" w:lineRule="auto"/>
              <w:jc w:val="center"/>
            </w:pPr>
            <w:r>
              <w:rPr>
                <w:rFonts w:ascii="Times New Roman" w:hAnsi="Times New Roman"/>
                <w:b w:val="0"/>
                <w:i w:val="0"/>
                <w:color w:val="000000"/>
                <w:sz w:val="16"/>
              </w:rPr>
              <w:t>0.1611</w:t>
            </w:r>
          </w:p>
        </w:tc>
        <w:tc>
          <w:tcPr>
            <w:tcW w:type="dxa" w:w="1030"/>
            <w:vAlign w:val="center"/>
          </w:tcPr>
          <w:p>
            <w:pPr>
              <w:spacing w:before="0" w:after="0" w:line="252" w:lineRule="auto"/>
              <w:jc w:val="center"/>
            </w:pPr>
            <w:r>
              <w:rPr>
                <w:rFonts w:ascii="Times New Roman" w:hAnsi="Times New Roman"/>
                <w:b w:val="0"/>
                <w:i w:val="0"/>
                <w:color w:val="000000"/>
                <w:sz w:val="16"/>
              </w:rPr>
              <w:t>0.1257</w:t>
            </w:r>
          </w:p>
        </w:tc>
        <w:tc>
          <w:tcPr>
            <w:tcW w:type="dxa" w:w="811"/>
            <w:vAlign w:val="center"/>
          </w:tcPr>
          <w:p>
            <w:pPr>
              <w:spacing w:before="0" w:after="0" w:line="252" w:lineRule="auto"/>
              <w:jc w:val="center"/>
            </w:pPr>
            <w:r>
              <w:rPr>
                <w:rFonts w:ascii="Times New Roman" w:hAnsi="Times New Roman"/>
                <w:b w:val="0"/>
                <w:i w:val="0"/>
                <w:color w:val="000000"/>
                <w:sz w:val="16"/>
              </w:rPr>
              <w:t>0.0909</w:t>
            </w:r>
          </w:p>
        </w:tc>
        <w:tc>
          <w:tcPr>
            <w:tcW w:type="dxa" w:w="811"/>
            <w:vAlign w:val="center"/>
          </w:tcPr>
          <w:p>
            <w:pPr>
              <w:spacing w:before="0" w:after="0" w:line="252" w:lineRule="auto"/>
              <w:jc w:val="center"/>
            </w:pPr>
            <w:r>
              <w:rPr>
                <w:rFonts w:ascii="Times New Roman" w:hAnsi="Times New Roman"/>
                <w:b w:val="0"/>
                <w:i w:val="0"/>
                <w:color w:val="000000"/>
                <w:sz w:val="16"/>
              </w:rPr>
              <w:t>0.0712</w:t>
            </w:r>
          </w:p>
        </w:tc>
        <w:tc>
          <w:tcPr>
            <w:tcW w:type="dxa" w:w="977"/>
            <w:vAlign w:val="center"/>
          </w:tcPr>
          <w:p>
            <w:pPr>
              <w:spacing w:before="0" w:after="0" w:line="252" w:lineRule="auto"/>
              <w:jc w:val="center"/>
            </w:pPr>
            <w:r>
              <w:rPr>
                <w:rFonts w:ascii="Times New Roman" w:hAnsi="Times New Roman"/>
                <w:b w:val="0"/>
                <w:i w:val="0"/>
                <w:color w:val="000000"/>
                <w:sz w:val="16"/>
              </w:rPr>
              <w:t>0.0543</w:t>
            </w:r>
          </w:p>
        </w:tc>
        <w:tc>
          <w:tcPr>
            <w:tcW w:type="dxa" w:w="868"/>
            <w:vAlign w:val="center"/>
          </w:tcPr>
          <w:p>
            <w:pPr>
              <w:spacing w:before="0" w:after="0" w:line="252" w:lineRule="auto"/>
              <w:jc w:val="center"/>
            </w:pPr>
            <w:r>
              <w:rPr>
                <w:rFonts w:ascii="Times New Roman" w:hAnsi="Times New Roman"/>
                <w:b w:val="0"/>
                <w:i w:val="0"/>
                <w:color w:val="000000"/>
                <w:sz w:val="16"/>
              </w:rPr>
              <w:t>0.0210</w:t>
            </w:r>
          </w:p>
        </w:tc>
        <w:tc>
          <w:tcPr>
            <w:tcW w:type="dxa" w:w="977"/>
            <w:vAlign w:val="center"/>
          </w:tcPr>
          <w:p>
            <w:pPr>
              <w:spacing w:before="0" w:after="0" w:line="252" w:lineRule="auto"/>
              <w:jc w:val="center"/>
            </w:pPr>
            <w:r>
              <w:rPr>
                <w:rFonts w:ascii="Times New Roman" w:hAnsi="Times New Roman"/>
                <w:b w:val="0"/>
                <w:i w:val="0"/>
                <w:color w:val="000000"/>
                <w:sz w:val="16"/>
              </w:rPr>
              <w:t>0.0345</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P02: Consumo</w:t>
            </w:r>
          </w:p>
        </w:tc>
        <w:tc>
          <w:tcPr>
            <w:tcW w:type="dxa" w:w="1030"/>
            <w:vAlign w:val="center"/>
          </w:tcPr>
          <w:p>
            <w:pPr>
              <w:spacing w:before="0" w:after="0" w:line="252" w:lineRule="auto"/>
              <w:jc w:val="center"/>
            </w:pPr>
            <w:r>
              <w:rPr>
                <w:rFonts w:ascii="Times New Roman" w:hAnsi="Times New Roman"/>
                <w:b w:val="0"/>
                <w:i w:val="0"/>
                <w:color w:val="000000"/>
                <w:sz w:val="16"/>
              </w:rPr>
              <w:t>0.1611</w:t>
            </w:r>
          </w:p>
        </w:tc>
        <w:tc>
          <w:tcPr>
            <w:tcW w:type="dxa" w:w="977"/>
            <w:vAlign w:val="center"/>
          </w:tcPr>
          <w:p>
            <w:pPr>
              <w:spacing w:before="0" w:after="0" w:line="252" w:lineRule="auto"/>
              <w:jc w:val="center"/>
            </w:pPr>
            <w:r>
              <w:rPr>
                <w:rFonts w:ascii="Times New Roman" w:hAnsi="Times New Roman"/>
                <w:b w:val="0"/>
                <w:i w:val="0"/>
                <w:color w:val="000000"/>
                <w:sz w:val="16"/>
              </w:rPr>
              <w:t>1.0000</w:t>
            </w:r>
          </w:p>
        </w:tc>
        <w:tc>
          <w:tcPr>
            <w:tcW w:type="dxa" w:w="1030"/>
            <w:vAlign w:val="center"/>
          </w:tcPr>
          <w:p>
            <w:pPr>
              <w:spacing w:before="0" w:after="0" w:line="252" w:lineRule="auto"/>
              <w:jc w:val="center"/>
            </w:pPr>
            <w:r>
              <w:rPr>
                <w:rFonts w:ascii="Times New Roman" w:hAnsi="Times New Roman"/>
                <w:b w:val="0"/>
                <w:i w:val="0"/>
                <w:color w:val="000000"/>
                <w:sz w:val="16"/>
              </w:rPr>
              <w:t>0.0892</w:t>
            </w:r>
          </w:p>
        </w:tc>
        <w:tc>
          <w:tcPr>
            <w:tcW w:type="dxa" w:w="811"/>
            <w:vAlign w:val="center"/>
          </w:tcPr>
          <w:p>
            <w:pPr>
              <w:spacing w:before="0" w:after="0" w:line="252" w:lineRule="auto"/>
              <w:jc w:val="center"/>
            </w:pPr>
            <w:r>
              <w:rPr>
                <w:rFonts w:ascii="Times New Roman" w:hAnsi="Times New Roman"/>
                <w:b w:val="0"/>
                <w:i w:val="0"/>
                <w:color w:val="000000"/>
                <w:sz w:val="16"/>
              </w:rPr>
              <w:t>0.0654</w:t>
            </w:r>
          </w:p>
        </w:tc>
        <w:tc>
          <w:tcPr>
            <w:tcW w:type="dxa" w:w="811"/>
            <w:vAlign w:val="center"/>
          </w:tcPr>
          <w:p>
            <w:pPr>
              <w:spacing w:before="0" w:after="0" w:line="252" w:lineRule="auto"/>
              <w:jc w:val="center"/>
            </w:pPr>
            <w:r>
              <w:rPr>
                <w:rFonts w:ascii="Times New Roman" w:hAnsi="Times New Roman"/>
                <w:b w:val="0"/>
                <w:i w:val="0"/>
                <w:color w:val="000000"/>
                <w:sz w:val="16"/>
              </w:rPr>
              <w:t>0.2116</w:t>
            </w:r>
          </w:p>
        </w:tc>
        <w:tc>
          <w:tcPr>
            <w:tcW w:type="dxa" w:w="977"/>
            <w:vAlign w:val="center"/>
          </w:tcPr>
          <w:p>
            <w:pPr>
              <w:spacing w:before="0" w:after="0" w:line="252" w:lineRule="auto"/>
              <w:jc w:val="center"/>
            </w:pPr>
            <w:r>
              <w:rPr>
                <w:rFonts w:ascii="Times New Roman" w:hAnsi="Times New Roman"/>
                <w:b w:val="0"/>
                <w:i w:val="0"/>
                <w:color w:val="000000"/>
                <w:sz w:val="16"/>
              </w:rPr>
              <w:t>0.0876</w:t>
            </w:r>
          </w:p>
        </w:tc>
        <w:tc>
          <w:tcPr>
            <w:tcW w:type="dxa" w:w="868"/>
            <w:vAlign w:val="center"/>
          </w:tcPr>
          <w:p>
            <w:pPr>
              <w:spacing w:before="0" w:after="0" w:line="252" w:lineRule="auto"/>
              <w:jc w:val="center"/>
            </w:pPr>
            <w:r>
              <w:rPr>
                <w:rFonts w:ascii="Times New Roman" w:hAnsi="Times New Roman"/>
                <w:b w:val="0"/>
                <w:i w:val="0"/>
                <w:color w:val="000000"/>
                <w:sz w:val="16"/>
              </w:rPr>
              <w:t>0.0616</w:t>
            </w:r>
          </w:p>
        </w:tc>
        <w:tc>
          <w:tcPr>
            <w:tcW w:type="dxa" w:w="977"/>
            <w:vAlign w:val="center"/>
          </w:tcPr>
          <w:p>
            <w:pPr>
              <w:spacing w:before="0" w:after="0" w:line="252" w:lineRule="auto"/>
              <w:jc w:val="center"/>
            </w:pPr>
            <w:r>
              <w:rPr>
                <w:rFonts w:ascii="Times New Roman" w:hAnsi="Times New Roman"/>
                <w:b w:val="0"/>
                <w:i w:val="0"/>
                <w:color w:val="000000"/>
                <w:sz w:val="16"/>
              </w:rPr>
              <w:t>0.0541</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P03: Hipoteca</w:t>
            </w:r>
          </w:p>
        </w:tc>
        <w:tc>
          <w:tcPr>
            <w:tcW w:type="dxa" w:w="1030"/>
            <w:vAlign w:val="center"/>
          </w:tcPr>
          <w:p>
            <w:pPr>
              <w:spacing w:before="0" w:after="0" w:line="252" w:lineRule="auto"/>
              <w:jc w:val="center"/>
            </w:pPr>
            <w:r>
              <w:rPr>
                <w:rFonts w:ascii="Times New Roman" w:hAnsi="Times New Roman"/>
                <w:b w:val="0"/>
                <w:i w:val="0"/>
                <w:color w:val="000000"/>
                <w:sz w:val="16"/>
              </w:rPr>
              <w:t>0.1257</w:t>
            </w:r>
          </w:p>
        </w:tc>
        <w:tc>
          <w:tcPr>
            <w:tcW w:type="dxa" w:w="977"/>
            <w:vAlign w:val="center"/>
          </w:tcPr>
          <w:p>
            <w:pPr>
              <w:spacing w:before="0" w:after="0" w:line="252" w:lineRule="auto"/>
              <w:jc w:val="center"/>
            </w:pPr>
            <w:r>
              <w:rPr>
                <w:rFonts w:ascii="Times New Roman" w:hAnsi="Times New Roman"/>
                <w:b w:val="0"/>
                <w:i w:val="0"/>
                <w:color w:val="000000"/>
                <w:sz w:val="16"/>
              </w:rPr>
              <w:t>0.0892</w:t>
            </w:r>
          </w:p>
        </w:tc>
        <w:tc>
          <w:tcPr>
            <w:tcW w:type="dxa" w:w="1030"/>
            <w:vAlign w:val="center"/>
          </w:tcPr>
          <w:p>
            <w:pPr>
              <w:spacing w:before="0" w:after="0" w:line="252" w:lineRule="auto"/>
              <w:jc w:val="center"/>
            </w:pPr>
            <w:r>
              <w:rPr>
                <w:rFonts w:ascii="Times New Roman" w:hAnsi="Times New Roman"/>
                <w:b w:val="0"/>
                <w:i w:val="0"/>
                <w:color w:val="000000"/>
                <w:sz w:val="16"/>
              </w:rPr>
              <w:t>1.0000</w:t>
            </w:r>
          </w:p>
        </w:tc>
        <w:tc>
          <w:tcPr>
            <w:tcW w:type="dxa" w:w="811"/>
            <w:vAlign w:val="center"/>
          </w:tcPr>
          <w:p>
            <w:pPr>
              <w:spacing w:before="0" w:after="0" w:line="252" w:lineRule="auto"/>
              <w:jc w:val="center"/>
            </w:pPr>
            <w:r>
              <w:rPr>
                <w:rFonts w:ascii="Times New Roman" w:hAnsi="Times New Roman"/>
                <w:b w:val="0"/>
                <w:i w:val="0"/>
                <w:color w:val="000000"/>
                <w:sz w:val="16"/>
              </w:rPr>
              <w:t>0.1432</w:t>
            </w:r>
          </w:p>
        </w:tc>
        <w:tc>
          <w:tcPr>
            <w:tcW w:type="dxa" w:w="811"/>
            <w:vAlign w:val="center"/>
          </w:tcPr>
          <w:p>
            <w:pPr>
              <w:spacing w:before="0" w:after="0" w:line="252" w:lineRule="auto"/>
              <w:jc w:val="center"/>
            </w:pPr>
            <w:r>
              <w:rPr>
                <w:rFonts w:ascii="Times New Roman" w:hAnsi="Times New Roman"/>
                <w:b w:val="0"/>
                <w:i w:val="0"/>
                <w:color w:val="000000"/>
                <w:sz w:val="16"/>
              </w:rPr>
              <w:t>0.0945</w:t>
            </w:r>
          </w:p>
        </w:tc>
        <w:tc>
          <w:tcPr>
            <w:tcW w:type="dxa" w:w="977"/>
            <w:vAlign w:val="center"/>
          </w:tcPr>
          <w:p>
            <w:pPr>
              <w:spacing w:before="0" w:after="0" w:line="252" w:lineRule="auto"/>
              <w:jc w:val="center"/>
            </w:pPr>
            <w:r>
              <w:rPr>
                <w:rFonts w:ascii="Times New Roman" w:hAnsi="Times New Roman"/>
                <w:b w:val="0"/>
                <w:i w:val="0"/>
                <w:color w:val="000000"/>
                <w:sz w:val="16"/>
              </w:rPr>
              <w:t>0.1026</w:t>
            </w:r>
          </w:p>
        </w:tc>
        <w:tc>
          <w:tcPr>
            <w:tcW w:type="dxa" w:w="868"/>
            <w:vAlign w:val="center"/>
          </w:tcPr>
          <w:p>
            <w:pPr>
              <w:spacing w:before="0" w:after="0" w:line="252" w:lineRule="auto"/>
              <w:jc w:val="center"/>
            </w:pPr>
            <w:r>
              <w:rPr>
                <w:rFonts w:ascii="Times New Roman" w:hAnsi="Times New Roman"/>
                <w:b w:val="0"/>
                <w:i w:val="0"/>
                <w:color w:val="000000"/>
                <w:sz w:val="16"/>
              </w:rPr>
              <w:t>0.0154</w:t>
            </w:r>
          </w:p>
        </w:tc>
        <w:tc>
          <w:tcPr>
            <w:tcW w:type="dxa" w:w="977"/>
            <w:vAlign w:val="center"/>
          </w:tcPr>
          <w:p>
            <w:pPr>
              <w:spacing w:before="0" w:after="0" w:line="252" w:lineRule="auto"/>
              <w:jc w:val="center"/>
            </w:pPr>
            <w:r>
              <w:rPr>
                <w:rFonts w:ascii="Times New Roman" w:hAnsi="Times New Roman"/>
                <w:b w:val="0"/>
                <w:i w:val="0"/>
                <w:color w:val="000000"/>
                <w:sz w:val="16"/>
              </w:rPr>
              <w:t>0.0806</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P04: PyME</w:t>
            </w:r>
          </w:p>
        </w:tc>
        <w:tc>
          <w:tcPr>
            <w:tcW w:type="dxa" w:w="1030"/>
            <w:vAlign w:val="center"/>
          </w:tcPr>
          <w:p>
            <w:pPr>
              <w:spacing w:before="0" w:after="0" w:line="252" w:lineRule="auto"/>
              <w:jc w:val="center"/>
            </w:pPr>
            <w:r>
              <w:rPr>
                <w:rFonts w:ascii="Times New Roman" w:hAnsi="Times New Roman"/>
                <w:b w:val="0"/>
                <w:i w:val="0"/>
                <w:color w:val="000000"/>
                <w:sz w:val="16"/>
              </w:rPr>
              <w:t>0.0909</w:t>
            </w:r>
          </w:p>
        </w:tc>
        <w:tc>
          <w:tcPr>
            <w:tcW w:type="dxa" w:w="977"/>
            <w:vAlign w:val="center"/>
          </w:tcPr>
          <w:p>
            <w:pPr>
              <w:spacing w:before="0" w:after="0" w:line="252" w:lineRule="auto"/>
              <w:jc w:val="center"/>
            </w:pPr>
            <w:r>
              <w:rPr>
                <w:rFonts w:ascii="Times New Roman" w:hAnsi="Times New Roman"/>
                <w:b w:val="0"/>
                <w:i w:val="0"/>
                <w:color w:val="000000"/>
                <w:sz w:val="16"/>
              </w:rPr>
              <w:t>0.0654</w:t>
            </w:r>
          </w:p>
        </w:tc>
        <w:tc>
          <w:tcPr>
            <w:tcW w:type="dxa" w:w="1030"/>
            <w:vAlign w:val="center"/>
          </w:tcPr>
          <w:p>
            <w:pPr>
              <w:spacing w:before="0" w:after="0" w:line="252" w:lineRule="auto"/>
              <w:jc w:val="center"/>
            </w:pPr>
            <w:r>
              <w:rPr>
                <w:rFonts w:ascii="Times New Roman" w:hAnsi="Times New Roman"/>
                <w:b w:val="0"/>
                <w:i w:val="0"/>
                <w:color w:val="000000"/>
                <w:sz w:val="16"/>
              </w:rPr>
              <w:t>0.1432</w:t>
            </w:r>
          </w:p>
        </w:tc>
        <w:tc>
          <w:tcPr>
            <w:tcW w:type="dxa" w:w="811"/>
            <w:vAlign w:val="center"/>
          </w:tcPr>
          <w:p>
            <w:pPr>
              <w:spacing w:before="0" w:after="0" w:line="252" w:lineRule="auto"/>
              <w:jc w:val="center"/>
            </w:pPr>
            <w:r>
              <w:rPr>
                <w:rFonts w:ascii="Times New Roman" w:hAnsi="Times New Roman"/>
                <w:b w:val="0"/>
                <w:i w:val="0"/>
                <w:color w:val="000000"/>
                <w:sz w:val="16"/>
              </w:rPr>
              <w:t>1.0000</w:t>
            </w:r>
          </w:p>
        </w:tc>
        <w:tc>
          <w:tcPr>
            <w:tcW w:type="dxa" w:w="811"/>
            <w:vAlign w:val="center"/>
          </w:tcPr>
          <w:p>
            <w:pPr>
              <w:spacing w:before="0" w:after="0" w:line="252" w:lineRule="auto"/>
              <w:jc w:val="center"/>
            </w:pPr>
            <w:r>
              <w:rPr>
                <w:rFonts w:ascii="Times New Roman" w:hAnsi="Times New Roman"/>
                <w:b w:val="0"/>
                <w:i w:val="0"/>
                <w:color w:val="000000"/>
                <w:sz w:val="16"/>
              </w:rPr>
              <w:t>0.0412</w:t>
            </w:r>
          </w:p>
        </w:tc>
        <w:tc>
          <w:tcPr>
            <w:tcW w:type="dxa" w:w="977"/>
            <w:vAlign w:val="center"/>
          </w:tcPr>
          <w:p>
            <w:pPr>
              <w:spacing w:before="0" w:after="0" w:line="252" w:lineRule="auto"/>
              <w:jc w:val="center"/>
            </w:pPr>
            <w:r>
              <w:rPr>
                <w:rFonts w:ascii="Times New Roman" w:hAnsi="Times New Roman"/>
                <w:b w:val="0"/>
                <w:i w:val="0"/>
                <w:color w:val="000000"/>
                <w:sz w:val="16"/>
              </w:rPr>
              <w:t>0.0310</w:t>
            </w:r>
          </w:p>
        </w:tc>
        <w:tc>
          <w:tcPr>
            <w:tcW w:type="dxa" w:w="868"/>
            <w:vAlign w:val="center"/>
          </w:tcPr>
          <w:p>
            <w:pPr>
              <w:spacing w:before="0" w:after="0" w:line="252" w:lineRule="auto"/>
              <w:jc w:val="center"/>
            </w:pPr>
            <w:r>
              <w:rPr>
                <w:rFonts w:ascii="Times New Roman" w:hAnsi="Times New Roman"/>
                <w:b w:val="0"/>
                <w:i w:val="0"/>
                <w:color w:val="000000"/>
                <w:sz w:val="16"/>
              </w:rPr>
              <w:t>0.0000</w:t>
            </w:r>
          </w:p>
        </w:tc>
        <w:tc>
          <w:tcPr>
            <w:tcW w:type="dxa" w:w="977"/>
            <w:vAlign w:val="center"/>
          </w:tcPr>
          <w:p>
            <w:pPr>
              <w:spacing w:before="0" w:after="0" w:line="252" w:lineRule="auto"/>
              <w:jc w:val="center"/>
            </w:pPr>
            <w:r>
              <w:rPr>
                <w:rFonts w:ascii="Times New Roman" w:hAnsi="Times New Roman"/>
                <w:b w:val="0"/>
                <w:i w:val="0"/>
                <w:color w:val="000000"/>
                <w:sz w:val="16"/>
              </w:rPr>
              <w:t>0.0654</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P05: Vida y Salud</w:t>
            </w:r>
          </w:p>
        </w:tc>
        <w:tc>
          <w:tcPr>
            <w:tcW w:type="dxa" w:w="1030"/>
            <w:vAlign w:val="center"/>
          </w:tcPr>
          <w:p>
            <w:pPr>
              <w:spacing w:before="0" w:after="0" w:line="252" w:lineRule="auto"/>
              <w:jc w:val="center"/>
            </w:pPr>
            <w:r>
              <w:rPr>
                <w:rFonts w:ascii="Times New Roman" w:hAnsi="Times New Roman"/>
                <w:b w:val="0"/>
                <w:i w:val="0"/>
                <w:color w:val="000000"/>
                <w:sz w:val="16"/>
              </w:rPr>
              <w:t>0.0712</w:t>
            </w:r>
          </w:p>
        </w:tc>
        <w:tc>
          <w:tcPr>
            <w:tcW w:type="dxa" w:w="977"/>
            <w:vAlign w:val="center"/>
          </w:tcPr>
          <w:p>
            <w:pPr>
              <w:spacing w:before="0" w:after="0" w:line="252" w:lineRule="auto"/>
              <w:jc w:val="center"/>
            </w:pPr>
            <w:r>
              <w:rPr>
                <w:rFonts w:ascii="Times New Roman" w:hAnsi="Times New Roman"/>
                <w:b w:val="0"/>
                <w:i w:val="0"/>
                <w:color w:val="000000"/>
                <w:sz w:val="16"/>
              </w:rPr>
              <w:t>0.2116</w:t>
            </w:r>
          </w:p>
        </w:tc>
        <w:tc>
          <w:tcPr>
            <w:tcW w:type="dxa" w:w="1030"/>
            <w:vAlign w:val="center"/>
          </w:tcPr>
          <w:p>
            <w:pPr>
              <w:spacing w:before="0" w:after="0" w:line="252" w:lineRule="auto"/>
              <w:jc w:val="center"/>
            </w:pPr>
            <w:r>
              <w:rPr>
                <w:rFonts w:ascii="Times New Roman" w:hAnsi="Times New Roman"/>
                <w:b w:val="0"/>
                <w:i w:val="0"/>
                <w:color w:val="000000"/>
                <w:sz w:val="16"/>
              </w:rPr>
              <w:t>0.0945</w:t>
            </w:r>
          </w:p>
        </w:tc>
        <w:tc>
          <w:tcPr>
            <w:tcW w:type="dxa" w:w="811"/>
            <w:vAlign w:val="center"/>
          </w:tcPr>
          <w:p>
            <w:pPr>
              <w:spacing w:before="0" w:after="0" w:line="252" w:lineRule="auto"/>
              <w:jc w:val="center"/>
            </w:pPr>
            <w:r>
              <w:rPr>
                <w:rFonts w:ascii="Times New Roman" w:hAnsi="Times New Roman"/>
                <w:b w:val="0"/>
                <w:i w:val="0"/>
                <w:color w:val="000000"/>
                <w:sz w:val="16"/>
              </w:rPr>
              <w:t>0.0412</w:t>
            </w:r>
          </w:p>
        </w:tc>
        <w:tc>
          <w:tcPr>
            <w:tcW w:type="dxa" w:w="811"/>
            <w:vAlign w:val="center"/>
          </w:tcPr>
          <w:p>
            <w:pPr>
              <w:spacing w:before="0" w:after="0" w:line="252" w:lineRule="auto"/>
              <w:jc w:val="center"/>
            </w:pPr>
            <w:r>
              <w:rPr>
                <w:rFonts w:ascii="Times New Roman" w:hAnsi="Times New Roman"/>
                <w:b w:val="0"/>
                <w:i w:val="0"/>
                <w:color w:val="000000"/>
                <w:sz w:val="16"/>
              </w:rPr>
              <w:t>1.0000</w:t>
            </w:r>
          </w:p>
        </w:tc>
        <w:tc>
          <w:tcPr>
            <w:tcW w:type="dxa" w:w="977"/>
            <w:vAlign w:val="center"/>
          </w:tcPr>
          <w:p>
            <w:pPr>
              <w:spacing w:before="0" w:after="0" w:line="252" w:lineRule="auto"/>
              <w:jc w:val="center"/>
            </w:pPr>
            <w:r>
              <w:rPr>
                <w:rFonts w:ascii="Times New Roman" w:hAnsi="Times New Roman"/>
                <w:b w:val="0"/>
                <w:i w:val="0"/>
                <w:color w:val="000000"/>
                <w:sz w:val="16"/>
              </w:rPr>
              <w:t>0.2957</w:t>
            </w:r>
          </w:p>
        </w:tc>
        <w:tc>
          <w:tcPr>
            <w:tcW w:type="dxa" w:w="868"/>
            <w:vAlign w:val="center"/>
          </w:tcPr>
          <w:p>
            <w:pPr>
              <w:spacing w:before="0" w:after="0" w:line="252" w:lineRule="auto"/>
              <w:jc w:val="center"/>
            </w:pPr>
            <w:r>
              <w:rPr>
                <w:rFonts w:ascii="Times New Roman" w:hAnsi="Times New Roman"/>
                <w:b w:val="0"/>
                <w:i w:val="0"/>
                <w:color w:val="000000"/>
                <w:sz w:val="16"/>
              </w:rPr>
              <w:t>0.0381</w:t>
            </w:r>
          </w:p>
        </w:tc>
        <w:tc>
          <w:tcPr>
            <w:tcW w:type="dxa" w:w="977"/>
            <w:vAlign w:val="center"/>
          </w:tcPr>
          <w:p>
            <w:pPr>
              <w:spacing w:before="0" w:after="0" w:line="252" w:lineRule="auto"/>
              <w:jc w:val="center"/>
            </w:pPr>
            <w:r>
              <w:rPr>
                <w:rFonts w:ascii="Times New Roman" w:hAnsi="Times New Roman"/>
                <w:b w:val="0"/>
                <w:i w:val="0"/>
                <w:color w:val="000000"/>
                <w:sz w:val="16"/>
              </w:rPr>
              <w:t>0.0210</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P06: Desgravamen</w:t>
            </w:r>
          </w:p>
        </w:tc>
        <w:tc>
          <w:tcPr>
            <w:tcW w:type="dxa" w:w="1030"/>
            <w:vAlign w:val="center"/>
          </w:tcPr>
          <w:p>
            <w:pPr>
              <w:spacing w:before="0" w:after="0" w:line="252" w:lineRule="auto"/>
              <w:jc w:val="center"/>
            </w:pPr>
            <w:r>
              <w:rPr>
                <w:rFonts w:ascii="Times New Roman" w:hAnsi="Times New Roman"/>
                <w:b w:val="0"/>
                <w:i w:val="0"/>
                <w:color w:val="000000"/>
                <w:sz w:val="16"/>
              </w:rPr>
              <w:t>0.0543</w:t>
            </w:r>
          </w:p>
        </w:tc>
        <w:tc>
          <w:tcPr>
            <w:tcW w:type="dxa" w:w="977"/>
            <w:vAlign w:val="center"/>
          </w:tcPr>
          <w:p>
            <w:pPr>
              <w:spacing w:before="0" w:after="0" w:line="252" w:lineRule="auto"/>
              <w:jc w:val="center"/>
            </w:pPr>
            <w:r>
              <w:rPr>
                <w:rFonts w:ascii="Times New Roman" w:hAnsi="Times New Roman"/>
                <w:b w:val="0"/>
                <w:i w:val="0"/>
                <w:color w:val="000000"/>
                <w:sz w:val="16"/>
              </w:rPr>
              <w:t>0.0876</w:t>
            </w:r>
          </w:p>
        </w:tc>
        <w:tc>
          <w:tcPr>
            <w:tcW w:type="dxa" w:w="1030"/>
            <w:vAlign w:val="center"/>
          </w:tcPr>
          <w:p>
            <w:pPr>
              <w:spacing w:before="0" w:after="0" w:line="252" w:lineRule="auto"/>
              <w:jc w:val="center"/>
            </w:pPr>
            <w:r>
              <w:rPr>
                <w:rFonts w:ascii="Times New Roman" w:hAnsi="Times New Roman"/>
                <w:b w:val="0"/>
                <w:i w:val="0"/>
                <w:color w:val="000000"/>
                <w:sz w:val="16"/>
              </w:rPr>
              <w:t>0.1026</w:t>
            </w:r>
          </w:p>
        </w:tc>
        <w:tc>
          <w:tcPr>
            <w:tcW w:type="dxa" w:w="811"/>
            <w:vAlign w:val="center"/>
          </w:tcPr>
          <w:p>
            <w:pPr>
              <w:spacing w:before="0" w:after="0" w:line="252" w:lineRule="auto"/>
              <w:jc w:val="center"/>
            </w:pPr>
            <w:r>
              <w:rPr>
                <w:rFonts w:ascii="Times New Roman" w:hAnsi="Times New Roman"/>
                <w:b w:val="0"/>
                <w:i w:val="0"/>
                <w:color w:val="000000"/>
                <w:sz w:val="16"/>
              </w:rPr>
              <w:t>0.0310</w:t>
            </w:r>
          </w:p>
        </w:tc>
        <w:tc>
          <w:tcPr>
            <w:tcW w:type="dxa" w:w="811"/>
            <w:vAlign w:val="center"/>
          </w:tcPr>
          <w:p>
            <w:pPr>
              <w:spacing w:before="0" w:after="0" w:line="252" w:lineRule="auto"/>
              <w:jc w:val="center"/>
            </w:pPr>
            <w:r>
              <w:rPr>
                <w:rFonts w:ascii="Times New Roman" w:hAnsi="Times New Roman"/>
                <w:b w:val="0"/>
                <w:i w:val="0"/>
                <w:color w:val="000000"/>
                <w:sz w:val="16"/>
              </w:rPr>
              <w:t>0.2957</w:t>
            </w:r>
          </w:p>
        </w:tc>
        <w:tc>
          <w:tcPr>
            <w:tcW w:type="dxa" w:w="977"/>
            <w:vAlign w:val="center"/>
          </w:tcPr>
          <w:p>
            <w:pPr>
              <w:spacing w:before="0" w:after="0" w:line="252" w:lineRule="auto"/>
              <w:jc w:val="center"/>
            </w:pPr>
            <w:r>
              <w:rPr>
                <w:rFonts w:ascii="Times New Roman" w:hAnsi="Times New Roman"/>
                <w:b w:val="0"/>
                <w:i w:val="0"/>
                <w:color w:val="000000"/>
                <w:sz w:val="16"/>
              </w:rPr>
              <w:t>1.0000</w:t>
            </w:r>
          </w:p>
        </w:tc>
        <w:tc>
          <w:tcPr>
            <w:tcW w:type="dxa" w:w="868"/>
            <w:vAlign w:val="center"/>
          </w:tcPr>
          <w:p>
            <w:pPr>
              <w:spacing w:before="0" w:after="0" w:line="252" w:lineRule="auto"/>
              <w:jc w:val="center"/>
            </w:pPr>
            <w:r>
              <w:rPr>
                <w:rFonts w:ascii="Times New Roman" w:hAnsi="Times New Roman"/>
                <w:b w:val="0"/>
                <w:i w:val="0"/>
                <w:color w:val="000000"/>
                <w:sz w:val="16"/>
              </w:rPr>
              <w:t>0.0198</w:t>
            </w:r>
          </w:p>
        </w:tc>
        <w:tc>
          <w:tcPr>
            <w:tcW w:type="dxa" w:w="977"/>
            <w:vAlign w:val="center"/>
          </w:tcPr>
          <w:p>
            <w:pPr>
              <w:spacing w:before="0" w:after="0" w:line="252" w:lineRule="auto"/>
              <w:jc w:val="center"/>
            </w:pPr>
            <w:r>
              <w:rPr>
                <w:rFonts w:ascii="Times New Roman" w:hAnsi="Times New Roman"/>
                <w:b w:val="0"/>
                <w:i w:val="0"/>
                <w:color w:val="000000"/>
                <w:sz w:val="16"/>
              </w:rPr>
              <w:t>0.0154</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P07: Hogar</w:t>
            </w:r>
          </w:p>
        </w:tc>
        <w:tc>
          <w:tcPr>
            <w:tcW w:type="dxa" w:w="1030"/>
            <w:vAlign w:val="center"/>
          </w:tcPr>
          <w:p>
            <w:pPr>
              <w:spacing w:before="0" w:after="0" w:line="252" w:lineRule="auto"/>
              <w:jc w:val="center"/>
            </w:pPr>
            <w:r>
              <w:rPr>
                <w:rFonts w:ascii="Times New Roman" w:hAnsi="Times New Roman"/>
                <w:b w:val="0"/>
                <w:i w:val="0"/>
                <w:color w:val="000000"/>
                <w:sz w:val="16"/>
              </w:rPr>
              <w:t>0.0210</w:t>
            </w:r>
          </w:p>
        </w:tc>
        <w:tc>
          <w:tcPr>
            <w:tcW w:type="dxa" w:w="977"/>
            <w:vAlign w:val="center"/>
          </w:tcPr>
          <w:p>
            <w:pPr>
              <w:spacing w:before="0" w:after="0" w:line="252" w:lineRule="auto"/>
              <w:jc w:val="center"/>
            </w:pPr>
            <w:r>
              <w:rPr>
                <w:rFonts w:ascii="Times New Roman" w:hAnsi="Times New Roman"/>
                <w:b w:val="0"/>
                <w:i w:val="0"/>
                <w:color w:val="000000"/>
                <w:sz w:val="16"/>
              </w:rPr>
              <w:t>0.0616</w:t>
            </w:r>
          </w:p>
        </w:tc>
        <w:tc>
          <w:tcPr>
            <w:tcW w:type="dxa" w:w="1030"/>
            <w:vAlign w:val="center"/>
          </w:tcPr>
          <w:p>
            <w:pPr>
              <w:spacing w:before="0" w:after="0" w:line="252" w:lineRule="auto"/>
              <w:jc w:val="center"/>
            </w:pPr>
            <w:r>
              <w:rPr>
                <w:rFonts w:ascii="Times New Roman" w:hAnsi="Times New Roman"/>
                <w:b w:val="0"/>
                <w:i w:val="0"/>
                <w:color w:val="000000"/>
                <w:sz w:val="16"/>
              </w:rPr>
              <w:t>0.0154</w:t>
            </w:r>
          </w:p>
        </w:tc>
        <w:tc>
          <w:tcPr>
            <w:tcW w:type="dxa" w:w="811"/>
            <w:vAlign w:val="center"/>
          </w:tcPr>
          <w:p>
            <w:pPr>
              <w:spacing w:before="0" w:after="0" w:line="252" w:lineRule="auto"/>
              <w:jc w:val="center"/>
            </w:pPr>
            <w:r>
              <w:rPr>
                <w:rFonts w:ascii="Times New Roman" w:hAnsi="Times New Roman"/>
                <w:b w:val="0"/>
                <w:i w:val="0"/>
                <w:color w:val="000000"/>
                <w:sz w:val="16"/>
              </w:rPr>
              <w:t>0.0000</w:t>
            </w:r>
          </w:p>
        </w:tc>
        <w:tc>
          <w:tcPr>
            <w:tcW w:type="dxa" w:w="811"/>
            <w:vAlign w:val="center"/>
          </w:tcPr>
          <w:p>
            <w:pPr>
              <w:spacing w:before="0" w:after="0" w:line="252" w:lineRule="auto"/>
              <w:jc w:val="center"/>
            </w:pPr>
            <w:r>
              <w:rPr>
                <w:rFonts w:ascii="Times New Roman" w:hAnsi="Times New Roman"/>
                <w:b w:val="0"/>
                <w:i w:val="0"/>
                <w:color w:val="000000"/>
                <w:sz w:val="16"/>
              </w:rPr>
              <w:t>0.0381</w:t>
            </w:r>
          </w:p>
        </w:tc>
        <w:tc>
          <w:tcPr>
            <w:tcW w:type="dxa" w:w="977"/>
            <w:vAlign w:val="center"/>
          </w:tcPr>
          <w:p>
            <w:pPr>
              <w:spacing w:before="0" w:after="0" w:line="252" w:lineRule="auto"/>
              <w:jc w:val="center"/>
            </w:pPr>
            <w:r>
              <w:rPr>
                <w:rFonts w:ascii="Times New Roman" w:hAnsi="Times New Roman"/>
                <w:b w:val="0"/>
                <w:i w:val="0"/>
                <w:color w:val="000000"/>
                <w:sz w:val="16"/>
              </w:rPr>
              <w:t>0.0198</w:t>
            </w:r>
          </w:p>
        </w:tc>
        <w:tc>
          <w:tcPr>
            <w:tcW w:type="dxa" w:w="868"/>
            <w:vAlign w:val="center"/>
          </w:tcPr>
          <w:p>
            <w:pPr>
              <w:spacing w:before="0" w:after="0" w:line="252" w:lineRule="auto"/>
              <w:jc w:val="center"/>
            </w:pPr>
            <w:r>
              <w:rPr>
                <w:rFonts w:ascii="Times New Roman" w:hAnsi="Times New Roman"/>
                <w:b w:val="0"/>
                <w:i w:val="0"/>
                <w:color w:val="000000"/>
                <w:sz w:val="16"/>
              </w:rPr>
              <w:t>1.0000</w:t>
            </w:r>
          </w:p>
        </w:tc>
        <w:tc>
          <w:tcPr>
            <w:tcW w:type="dxa" w:w="977"/>
            <w:vAlign w:val="center"/>
          </w:tcPr>
          <w:p>
            <w:pPr>
              <w:spacing w:before="0" w:after="0" w:line="252" w:lineRule="auto"/>
              <w:jc w:val="center"/>
            </w:pPr>
            <w:r>
              <w:rPr>
                <w:rFonts w:ascii="Times New Roman" w:hAnsi="Times New Roman"/>
                <w:b w:val="0"/>
                <w:i w:val="0"/>
                <w:color w:val="000000"/>
                <w:sz w:val="16"/>
              </w:rPr>
              <w:t>0.0000</w:t>
            </w:r>
          </w:p>
        </w:tc>
      </w:tr>
      <w:tr>
        <w:trPr>
          <w:cantSplit/>
        </w:trPr>
        <w:tc>
          <w:tcPr>
            <w:tcW w:type="dxa" w:w="1318"/>
            <w:vAlign w:val="center"/>
          </w:tcPr>
          <w:p>
            <w:pPr>
              <w:spacing w:before="0" w:after="0" w:line="252" w:lineRule="auto"/>
              <w:jc w:val="left"/>
            </w:pPr>
            <w:r>
              <w:rPr>
                <w:rFonts w:ascii="Times New Roman" w:hAnsi="Times New Roman"/>
                <w:b w:val="0"/>
                <w:i w:val="0"/>
                <w:color w:val="000000"/>
                <w:sz w:val="16"/>
              </w:rPr>
              <w:t>P08: Leasing</w:t>
            </w:r>
          </w:p>
        </w:tc>
        <w:tc>
          <w:tcPr>
            <w:tcW w:type="dxa" w:w="1030"/>
            <w:vAlign w:val="center"/>
          </w:tcPr>
          <w:p>
            <w:pPr>
              <w:spacing w:before="0" w:after="0" w:line="252" w:lineRule="auto"/>
              <w:jc w:val="center"/>
            </w:pPr>
            <w:r>
              <w:rPr>
                <w:rFonts w:ascii="Times New Roman" w:hAnsi="Times New Roman"/>
                <w:b w:val="0"/>
                <w:i w:val="0"/>
                <w:color w:val="000000"/>
                <w:sz w:val="16"/>
              </w:rPr>
              <w:t>0.0345</w:t>
            </w:r>
          </w:p>
        </w:tc>
        <w:tc>
          <w:tcPr>
            <w:tcW w:type="dxa" w:w="977"/>
            <w:vAlign w:val="center"/>
          </w:tcPr>
          <w:p>
            <w:pPr>
              <w:spacing w:before="0" w:after="0" w:line="252" w:lineRule="auto"/>
              <w:jc w:val="center"/>
            </w:pPr>
            <w:r>
              <w:rPr>
                <w:rFonts w:ascii="Times New Roman" w:hAnsi="Times New Roman"/>
                <w:b w:val="0"/>
                <w:i w:val="0"/>
                <w:color w:val="000000"/>
                <w:sz w:val="16"/>
              </w:rPr>
              <w:t>0.0541</w:t>
            </w:r>
          </w:p>
        </w:tc>
        <w:tc>
          <w:tcPr>
            <w:tcW w:type="dxa" w:w="1030"/>
            <w:vAlign w:val="center"/>
          </w:tcPr>
          <w:p>
            <w:pPr>
              <w:spacing w:before="0" w:after="0" w:line="252" w:lineRule="auto"/>
              <w:jc w:val="center"/>
            </w:pPr>
            <w:r>
              <w:rPr>
                <w:rFonts w:ascii="Times New Roman" w:hAnsi="Times New Roman"/>
                <w:b w:val="0"/>
                <w:i w:val="0"/>
                <w:color w:val="000000"/>
                <w:sz w:val="16"/>
              </w:rPr>
              <w:t>0.0806</w:t>
            </w:r>
          </w:p>
        </w:tc>
        <w:tc>
          <w:tcPr>
            <w:tcW w:type="dxa" w:w="811"/>
            <w:vAlign w:val="center"/>
          </w:tcPr>
          <w:p>
            <w:pPr>
              <w:spacing w:before="0" w:after="0" w:line="252" w:lineRule="auto"/>
              <w:jc w:val="center"/>
            </w:pPr>
            <w:r>
              <w:rPr>
                <w:rFonts w:ascii="Times New Roman" w:hAnsi="Times New Roman"/>
                <w:b w:val="0"/>
                <w:i w:val="0"/>
                <w:color w:val="000000"/>
                <w:sz w:val="16"/>
              </w:rPr>
              <w:t>0.0654</w:t>
            </w:r>
          </w:p>
        </w:tc>
        <w:tc>
          <w:tcPr>
            <w:tcW w:type="dxa" w:w="811"/>
            <w:vAlign w:val="center"/>
          </w:tcPr>
          <w:p>
            <w:pPr>
              <w:spacing w:before="0" w:after="0" w:line="252" w:lineRule="auto"/>
              <w:jc w:val="center"/>
            </w:pPr>
            <w:r>
              <w:rPr>
                <w:rFonts w:ascii="Times New Roman" w:hAnsi="Times New Roman"/>
                <w:b w:val="0"/>
                <w:i w:val="0"/>
                <w:color w:val="000000"/>
                <w:sz w:val="16"/>
              </w:rPr>
              <w:t>0.0210</w:t>
            </w:r>
          </w:p>
        </w:tc>
        <w:tc>
          <w:tcPr>
            <w:tcW w:type="dxa" w:w="977"/>
            <w:vAlign w:val="center"/>
          </w:tcPr>
          <w:p>
            <w:pPr>
              <w:spacing w:before="0" w:after="0" w:line="252" w:lineRule="auto"/>
              <w:jc w:val="center"/>
            </w:pPr>
            <w:r>
              <w:rPr>
                <w:rFonts w:ascii="Times New Roman" w:hAnsi="Times New Roman"/>
                <w:b w:val="0"/>
                <w:i w:val="0"/>
                <w:color w:val="000000"/>
                <w:sz w:val="16"/>
              </w:rPr>
              <w:t>0.0154</w:t>
            </w:r>
          </w:p>
        </w:tc>
        <w:tc>
          <w:tcPr>
            <w:tcW w:type="dxa" w:w="868"/>
            <w:vAlign w:val="center"/>
          </w:tcPr>
          <w:p>
            <w:pPr>
              <w:spacing w:before="0" w:after="0" w:line="252" w:lineRule="auto"/>
              <w:jc w:val="center"/>
            </w:pPr>
            <w:r>
              <w:rPr>
                <w:rFonts w:ascii="Times New Roman" w:hAnsi="Times New Roman"/>
                <w:b w:val="0"/>
                <w:i w:val="0"/>
                <w:color w:val="000000"/>
                <w:sz w:val="16"/>
              </w:rPr>
              <w:t>0.0000</w:t>
            </w:r>
          </w:p>
        </w:tc>
        <w:tc>
          <w:tcPr>
            <w:tcW w:type="dxa" w:w="977"/>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376246"/>
            <wp:docPr id="11" name="Picture 11"/>
            <wp:cNvGraphicFramePr>
              <a:graphicFrameLocks noChangeAspect="1"/>
            </wp:cNvGraphicFramePr>
            <a:graphic>
              <a:graphicData uri="http://schemas.openxmlformats.org/drawingml/2006/picture">
                <pic:pic>
                  <pic:nvPicPr>
                    <pic:cNvPr id="0" name="fig_3a_tfidf.png"/>
                    <pic:cNvPicPr/>
                  </pic:nvPicPr>
                  <pic:blipFill>
                    <a:blip r:embed="rId21"/>
                    <a:stretch>
                      <a:fillRect/>
                    </a:stretch>
                  </pic:blipFill>
                  <pic:spPr>
                    <a:xfrm>
                      <a:off x="0" y="0"/>
                      <a:ext cx="4389120" cy="3376246"/>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7:</w:t>
      </w:r>
      <w:r>
        <w:rPr>
          <w:rFonts w:ascii="Times New Roman" w:hAnsi="Times New Roman"/>
          <w:sz w:val="20"/>
        </w:rPr>
        <w:t xml:space="preserve"> Matriz de Similitud Léxica TF-IDF entre Cláusulas de Crédito.</w:t>
      </w:r>
    </w:p>
    <w:p>
      <w:pPr>
        <w:spacing w:line="276" w:lineRule="auto" w:before="0" w:after="90"/>
        <w:jc w:val="both"/>
      </w:pPr>
      <w:r>
        <w:rPr>
          <w:rFonts w:ascii="Times New Roman" w:hAnsi="Times New Roman"/>
          <w:b w:val="0"/>
          <w:i w:val="0"/>
          <w:color w:val="000000"/>
          <w:sz w:val="22"/>
        </w:rPr>
        <w:t>Validación Leave-One-Product-Out (LOPO): Ocultando cada contrato, el motor recuperó con precisión del 100% (8 de 8 productos) a su contraparte complementaria más coherente en el Top-2 (P01 recupera P02 con sim=0.1611; P05 recupera P06 con sim=0.2957). Se aclara que el corpus es un catálogo curado de 8 productos arquetípicos representativo de la cartera bancaria. La tasa de acierto del 100% en Top-2 es consistente con que el motor semántico captura con fidelidad las relaciones técnicas entre productos.</w:t>
      </w:r>
    </w:p>
    <w:p>
      <w:pPr>
        <w:keepNext/>
        <w:spacing w:before="120" w:after="40"/>
        <w:jc w:val="left"/>
      </w:pPr>
      <w:r>
        <w:rPr>
          <w:rFonts w:ascii="Times New Roman" w:hAnsi="Times New Roman"/>
          <w:b/>
          <w:i w:val="0"/>
          <w:color w:val="000000"/>
          <w:sz w:val="22"/>
        </w:rPr>
        <w:t>Modelo 3C: Reglas de Scoring y Función de Utilidad Financiera</w:t>
      </w:r>
    </w:p>
    <w:p>
      <w:pPr>
        <w:spacing w:line="276" w:lineRule="auto" w:before="0" w:after="90"/>
        <w:jc w:val="both"/>
      </w:pPr>
      <w:r>
        <w:rPr>
          <w:rFonts w:ascii="Times New Roman" w:hAnsi="Times New Roman"/>
          <w:b w:val="0"/>
          <w:i w:val="0"/>
          <w:color w:val="000000"/>
          <w:sz w:val="22"/>
        </w:rPr>
        <w:t>Fundamento teórico y formulación: Para evitar el sobreendeudamiento, se define una función de utilidad bancaria determinista:</w:t>
      </w:r>
    </w:p>
    <w:p>
      <w:pPr>
        <w:keepNext/>
        <w:spacing w:before="80" w:after="80"/>
        <w:jc w:val="center"/>
      </w:pPr>
      <m:oMathPara>
        <m:oMath>
          <m:r>
            <m:t>U(u,i)=</m:t>
          </m:r>
          <m:sSub>
            <m:e>
              <m:r>
                <m:rPr>
                  <m:nor/>
                </m:rPr>
                <m:t>Score</m:t>
              </m:r>
            </m:e>
            <m:sub>
              <m:r>
                <m:rPr>
                  <m:nor/>
                </m:rPr>
                <m:t>afinidad</m:t>
              </m:r>
            </m:sub>
          </m:sSub>
          <m:r>
            <m:t>(u,i)·𝕀(</m:t>
          </m:r>
          <m:sSub>
            <m:e>
              <m:r>
                <m:rPr>
                  <m:nor/>
                </m:rPr>
                <m:t>Solvente</m:t>
              </m:r>
            </m:e>
            <m:sub>
              <m:r>
                <m:t>u</m:t>
              </m:r>
            </m:sub>
          </m:sSub>
          <m:r>
            <m:t>)·(1−</m:t>
          </m:r>
          <m:sSub>
            <m:e>
              <m:r>
                <m:rPr>
                  <m:nor/>
                </m:rPr>
                <m:t>Mora</m:t>
              </m:r>
            </m:e>
            <m:sub>
              <m:r>
                <m:t>i</m:t>
              </m:r>
            </m:sub>
          </m:sSub>
          <m:r>
            <m:t>)</m:t>
          </m:r>
        </m:oMath>
      </m:oMathPara>
    </w:p>
    <w:p>
      <w:pPr>
        <w:keepNext/>
        <w:spacing w:before="80" w:after="80"/>
        <w:jc w:val="center"/>
      </w:pPr>
      <m:oMathPara>
        <m:oMath>
          <m:r>
            <m:rPr>
              <m:nor/>
            </m:rPr>
            <m:t>Ratio Esfuerzo</m:t>
          </m:r>
          <m:r>
            <m:t>=</m:t>
          </m:r>
          <m:f>
            <m:fPr>
              <m:type m:val="bar"/>
            </m:fPr>
            <m:num>
              <m:r>
                <m:rPr>
                  <m:nor/>
                </m:rPr>
                <m:t>Cuota Mensual</m:t>
              </m:r>
            </m:num>
            <m:den>
              <m:r>
                <m:rPr>
                  <m:nor/>
                </m:rPr>
                <m:t>Salario Distrital Promedio</m:t>
              </m:r>
            </m:den>
          </m:f>
          <m:r>
            <m:t>≤0.30</m:t>
          </m:r>
        </m:oMath>
      </m:oMathPara>
    </w:p>
    <w:p>
      <w:pPr>
        <w:spacing w:line="276" w:lineRule="auto" w:before="0" w:after="90"/>
        <w:jc w:val="both"/>
      </w:pPr>
      <w:r>
        <w:rPr>
          <w:rFonts w:ascii="Times New Roman" w:hAnsi="Times New Roman"/>
          <w:b w:val="0"/>
          <w:i w:val="0"/>
          <w:color w:val="000000"/>
          <w:sz w:val="22"/>
        </w:rPr>
        <w:t>La Tabla 13 expone la distribución de créditos y morosidad real por tramo de endeudamiento:</w:t>
      </w:r>
    </w:p>
    <w:p>
      <w:pPr>
        <w:keepNext/>
        <w:spacing w:before="200" w:after="80"/>
        <w:jc w:val="center"/>
      </w:pPr>
      <w:r>
        <w:rPr>
          <w:rFonts w:ascii="Times New Roman" w:hAnsi="Times New Roman"/>
          <w:b/>
          <w:i w:val="0"/>
          <w:color w:val="000000"/>
          <w:sz w:val="21"/>
        </w:rPr>
        <w:t>Tabla 13:</w:t>
      </w:r>
      <w:r>
        <w:rPr>
          <w:rFonts w:ascii="Times New Roman" w:hAnsi="Times New Roman"/>
          <w:sz w:val="21"/>
        </w:rPr>
        <w:t xml:space="preserve"> Distribución de Créditos y Tasa de Morosidad Real por Tramo de Endeudamiento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758"/>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Tramo de Endeudamiento</w:t>
            </w:r>
          </w:p>
        </w:tc>
        <w:tc>
          <w:tcPr>
            <w:tcW w:type="dxa" w:w="109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Contratos (N)</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7"/>
              </w:rPr>
              <w:t>% Cartera</w:t>
            </w:r>
          </w:p>
        </w:tc>
        <w:tc>
          <w:tcPr>
            <w:tcW w:type="dxa" w:w="1251"/>
            <w:vAlign w:val="center"/>
            <w:tcBorders>
              <w:bottom w:val="single" w:sz="6" w:space="0" w:color="000000"/>
            </w:tcBorders>
          </w:tcPr>
          <w:p>
            <w:pPr>
              <w:spacing w:before="0" w:after="0" w:line="252" w:lineRule="auto"/>
              <w:jc w:val="center"/>
            </w:pPr>
            <w:r>
              <w:rPr>
                <w:rFonts w:ascii="Times New Roman" w:hAnsi="Times New Roman"/>
                <w:b/>
                <w:i w:val="0"/>
                <w:color w:val="000000"/>
                <w:sz w:val="17"/>
              </w:rPr>
              <w:t>Créditos Morosos</w:t>
            </w:r>
          </w:p>
        </w:tc>
        <w:tc>
          <w:tcPr>
            <w:tcW w:type="dxa" w:w="149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Tasa de Mora Real (%)</w:t>
            </w:r>
          </w:p>
        </w:tc>
        <w:tc>
          <w:tcPr>
            <w:tcW w:type="dxa" w:w="2343"/>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Decisión del Sistema</w:t>
            </w:r>
          </w:p>
        </w:tc>
      </w:tr>
      <w:tr>
        <w:trPr>
          <w:cantSplit/>
        </w:trPr>
        <w:tc>
          <w:tcPr>
            <w:tcW w:type="dxa" w:w="1758"/>
            <w:vAlign w:val="center"/>
          </w:tcPr>
          <w:p>
            <w:pPr>
              <w:spacing w:before="0" w:after="0" w:line="252" w:lineRule="auto"/>
              <w:jc w:val="left"/>
            </w:pPr>
            <w:r>
              <w:rPr>
                <w:rFonts w:ascii="Times New Roman" w:hAnsi="Times New Roman"/>
                <w:b w:val="0"/>
                <w:i w:val="0"/>
                <w:color w:val="000000"/>
                <w:sz w:val="17"/>
              </w:rPr>
              <w:t>≤ 30% (Prudencial)</w:t>
            </w:r>
          </w:p>
        </w:tc>
        <w:tc>
          <w:tcPr>
            <w:tcW w:type="dxa" w:w="1093"/>
            <w:vAlign w:val="center"/>
          </w:tcPr>
          <w:p>
            <w:pPr>
              <w:spacing w:before="0" w:after="0" w:line="252" w:lineRule="auto"/>
              <w:jc w:val="center"/>
            </w:pPr>
            <w:r>
              <w:rPr>
                <w:rFonts w:ascii="Times New Roman" w:hAnsi="Times New Roman"/>
                <w:b w:val="0"/>
                <w:i w:val="0"/>
                <w:color w:val="000000"/>
                <w:sz w:val="17"/>
              </w:rPr>
              <w:t>213</w:t>
            </w:r>
          </w:p>
        </w:tc>
        <w:tc>
          <w:tcPr>
            <w:tcW w:type="dxa" w:w="861"/>
            <w:vAlign w:val="center"/>
          </w:tcPr>
          <w:p>
            <w:pPr>
              <w:spacing w:before="0" w:after="0" w:line="252" w:lineRule="auto"/>
              <w:jc w:val="center"/>
            </w:pPr>
            <w:r>
              <w:rPr>
                <w:rFonts w:ascii="Times New Roman" w:hAnsi="Times New Roman"/>
                <w:b w:val="0"/>
                <w:i w:val="0"/>
                <w:color w:val="000000"/>
                <w:sz w:val="17"/>
              </w:rPr>
              <w:t>31.23%</w:t>
            </w:r>
          </w:p>
        </w:tc>
        <w:tc>
          <w:tcPr>
            <w:tcW w:type="dxa" w:w="1251"/>
            <w:vAlign w:val="center"/>
          </w:tcPr>
          <w:p>
            <w:pPr>
              <w:spacing w:before="0" w:after="0" w:line="252" w:lineRule="auto"/>
              <w:jc w:val="center"/>
            </w:pPr>
            <w:r>
              <w:rPr>
                <w:rFonts w:ascii="Times New Roman" w:hAnsi="Times New Roman"/>
                <w:b w:val="0"/>
                <w:i w:val="0"/>
                <w:color w:val="000000"/>
                <w:sz w:val="17"/>
              </w:rPr>
              <w:t>14</w:t>
            </w:r>
          </w:p>
        </w:tc>
        <w:tc>
          <w:tcPr>
            <w:tcW w:type="dxa" w:w="1493"/>
            <w:vAlign w:val="center"/>
          </w:tcPr>
          <w:p>
            <w:pPr>
              <w:spacing w:before="0" w:after="0" w:line="252" w:lineRule="auto"/>
              <w:jc w:val="center"/>
            </w:pPr>
            <w:r>
              <w:rPr>
                <w:rFonts w:ascii="Times New Roman" w:hAnsi="Times New Roman"/>
                <w:b w:val="0"/>
                <w:i w:val="0"/>
                <w:color w:val="000000"/>
                <w:sz w:val="17"/>
              </w:rPr>
              <w:t>6.57%</w:t>
            </w:r>
          </w:p>
        </w:tc>
        <w:tc>
          <w:tcPr>
            <w:tcW w:type="dxa" w:w="2343"/>
            <w:vAlign w:val="center"/>
          </w:tcPr>
          <w:p>
            <w:pPr>
              <w:spacing w:before="0" w:after="0" w:line="252" w:lineRule="auto"/>
              <w:jc w:val="left"/>
            </w:pPr>
            <w:r>
              <w:rPr>
                <w:rFonts w:ascii="Times New Roman" w:hAnsi="Times New Roman"/>
                <w:b w:val="0"/>
                <w:i w:val="0"/>
                <w:color w:val="000000"/>
                <w:sz w:val="17"/>
              </w:rPr>
              <w:t>Aprobación Automática (Oferta Prioritaria)</w:t>
            </w:r>
          </w:p>
        </w:tc>
      </w:tr>
      <w:tr>
        <w:trPr>
          <w:cantSplit/>
        </w:trPr>
        <w:tc>
          <w:tcPr>
            <w:tcW w:type="dxa" w:w="1758"/>
            <w:vAlign w:val="center"/>
          </w:tcPr>
          <w:p>
            <w:pPr>
              <w:spacing w:before="0" w:after="0" w:line="252" w:lineRule="auto"/>
              <w:jc w:val="left"/>
            </w:pPr>
            <w:r>
              <w:rPr>
                <w:rFonts w:ascii="Times New Roman" w:hAnsi="Times New Roman"/>
                <w:b w:val="0"/>
                <w:i w:val="0"/>
                <w:color w:val="000000"/>
                <w:sz w:val="17"/>
              </w:rPr>
              <w:t>30% - 50% (Riesgo Moderado)</w:t>
            </w:r>
          </w:p>
        </w:tc>
        <w:tc>
          <w:tcPr>
            <w:tcW w:type="dxa" w:w="1093"/>
            <w:vAlign w:val="center"/>
          </w:tcPr>
          <w:p>
            <w:pPr>
              <w:spacing w:before="0" w:after="0" w:line="252" w:lineRule="auto"/>
              <w:jc w:val="center"/>
            </w:pPr>
            <w:r>
              <w:rPr>
                <w:rFonts w:ascii="Times New Roman" w:hAnsi="Times New Roman"/>
                <w:b w:val="0"/>
                <w:i w:val="0"/>
                <w:color w:val="000000"/>
                <w:sz w:val="17"/>
              </w:rPr>
              <w:t>208</w:t>
            </w:r>
          </w:p>
        </w:tc>
        <w:tc>
          <w:tcPr>
            <w:tcW w:type="dxa" w:w="861"/>
            <w:vAlign w:val="center"/>
          </w:tcPr>
          <w:p>
            <w:pPr>
              <w:spacing w:before="0" w:after="0" w:line="252" w:lineRule="auto"/>
              <w:jc w:val="center"/>
            </w:pPr>
            <w:r>
              <w:rPr>
                <w:rFonts w:ascii="Times New Roman" w:hAnsi="Times New Roman"/>
                <w:b w:val="0"/>
                <w:i w:val="0"/>
                <w:color w:val="000000"/>
                <w:sz w:val="17"/>
              </w:rPr>
              <w:t>30.50%</w:t>
            </w:r>
          </w:p>
        </w:tc>
        <w:tc>
          <w:tcPr>
            <w:tcW w:type="dxa" w:w="1251"/>
            <w:vAlign w:val="center"/>
          </w:tcPr>
          <w:p>
            <w:pPr>
              <w:spacing w:before="0" w:after="0" w:line="252" w:lineRule="auto"/>
              <w:jc w:val="center"/>
            </w:pPr>
            <w:r>
              <w:rPr>
                <w:rFonts w:ascii="Times New Roman" w:hAnsi="Times New Roman"/>
                <w:b w:val="0"/>
                <w:i w:val="0"/>
                <w:color w:val="000000"/>
                <w:sz w:val="17"/>
              </w:rPr>
              <w:t>18</w:t>
            </w:r>
          </w:p>
        </w:tc>
        <w:tc>
          <w:tcPr>
            <w:tcW w:type="dxa" w:w="1493"/>
            <w:vAlign w:val="center"/>
          </w:tcPr>
          <w:p>
            <w:pPr>
              <w:spacing w:before="0" w:after="0" w:line="252" w:lineRule="auto"/>
              <w:jc w:val="center"/>
            </w:pPr>
            <w:r>
              <w:rPr>
                <w:rFonts w:ascii="Times New Roman" w:hAnsi="Times New Roman"/>
                <w:b w:val="0"/>
                <w:i w:val="0"/>
                <w:color w:val="000000"/>
                <w:sz w:val="17"/>
              </w:rPr>
              <w:t>8.65%</w:t>
            </w:r>
          </w:p>
        </w:tc>
        <w:tc>
          <w:tcPr>
            <w:tcW w:type="dxa" w:w="2343"/>
            <w:vAlign w:val="center"/>
          </w:tcPr>
          <w:p>
            <w:pPr>
              <w:spacing w:before="0" w:after="0" w:line="252" w:lineRule="auto"/>
              <w:jc w:val="left"/>
            </w:pPr>
            <w:r>
              <w:rPr>
                <w:rFonts w:ascii="Times New Roman" w:hAnsi="Times New Roman"/>
                <w:b w:val="0"/>
                <w:i w:val="0"/>
                <w:color w:val="000000"/>
                <w:sz w:val="17"/>
              </w:rPr>
              <w:t>Revisión Condicionada a Mayor Plazo</w:t>
            </w:r>
          </w:p>
        </w:tc>
      </w:tr>
      <w:tr>
        <w:trPr>
          <w:cantSplit/>
        </w:trPr>
        <w:tc>
          <w:tcPr>
            <w:tcW w:type="dxa" w:w="1758"/>
            <w:vAlign w:val="center"/>
          </w:tcPr>
          <w:p>
            <w:pPr>
              <w:spacing w:before="0" w:after="0" w:line="252" w:lineRule="auto"/>
              <w:jc w:val="left"/>
            </w:pPr>
            <w:r>
              <w:rPr>
                <w:rFonts w:ascii="Times New Roman" w:hAnsi="Times New Roman"/>
                <w:b w:val="0"/>
                <w:i w:val="0"/>
                <w:color w:val="000000"/>
                <w:sz w:val="17"/>
              </w:rPr>
              <w:t>&gt; 50% (Sobreendeudamiento)</w:t>
            </w:r>
          </w:p>
        </w:tc>
        <w:tc>
          <w:tcPr>
            <w:tcW w:type="dxa" w:w="1093"/>
            <w:vAlign w:val="center"/>
          </w:tcPr>
          <w:p>
            <w:pPr>
              <w:spacing w:before="0" w:after="0" w:line="252" w:lineRule="auto"/>
              <w:jc w:val="center"/>
            </w:pPr>
            <w:r>
              <w:rPr>
                <w:rFonts w:ascii="Times New Roman" w:hAnsi="Times New Roman"/>
                <w:b w:val="0"/>
                <w:i w:val="0"/>
                <w:color w:val="000000"/>
                <w:sz w:val="17"/>
              </w:rPr>
              <w:t>261</w:t>
            </w:r>
          </w:p>
        </w:tc>
        <w:tc>
          <w:tcPr>
            <w:tcW w:type="dxa" w:w="861"/>
            <w:vAlign w:val="center"/>
          </w:tcPr>
          <w:p>
            <w:pPr>
              <w:spacing w:before="0" w:after="0" w:line="252" w:lineRule="auto"/>
              <w:jc w:val="center"/>
            </w:pPr>
            <w:r>
              <w:rPr>
                <w:rFonts w:ascii="Times New Roman" w:hAnsi="Times New Roman"/>
                <w:b w:val="0"/>
                <w:i w:val="0"/>
                <w:color w:val="000000"/>
                <w:sz w:val="17"/>
              </w:rPr>
              <w:t>38.27%</w:t>
            </w:r>
          </w:p>
        </w:tc>
        <w:tc>
          <w:tcPr>
            <w:tcW w:type="dxa" w:w="1251"/>
            <w:vAlign w:val="center"/>
          </w:tcPr>
          <w:p>
            <w:pPr>
              <w:spacing w:before="0" w:after="0" w:line="252" w:lineRule="auto"/>
              <w:jc w:val="center"/>
            </w:pPr>
            <w:r>
              <w:rPr>
                <w:rFonts w:ascii="Times New Roman" w:hAnsi="Times New Roman"/>
                <w:b w:val="0"/>
                <w:i w:val="0"/>
                <w:color w:val="000000"/>
                <w:sz w:val="17"/>
              </w:rPr>
              <w:t>44</w:t>
            </w:r>
          </w:p>
        </w:tc>
        <w:tc>
          <w:tcPr>
            <w:tcW w:type="dxa" w:w="1493"/>
            <w:vAlign w:val="center"/>
          </w:tcPr>
          <w:p>
            <w:pPr>
              <w:spacing w:before="0" w:after="0" w:line="252" w:lineRule="auto"/>
              <w:jc w:val="center"/>
            </w:pPr>
            <w:r>
              <w:rPr>
                <w:rFonts w:ascii="Times New Roman" w:hAnsi="Times New Roman"/>
                <w:b w:val="0"/>
                <w:i w:val="0"/>
                <w:color w:val="000000"/>
                <w:sz w:val="17"/>
              </w:rPr>
              <w:t>16.86%</w:t>
            </w:r>
          </w:p>
        </w:tc>
        <w:tc>
          <w:tcPr>
            <w:tcW w:type="dxa" w:w="2343"/>
            <w:vAlign w:val="center"/>
          </w:tcPr>
          <w:p>
            <w:pPr>
              <w:spacing w:before="0" w:after="0" w:line="252" w:lineRule="auto"/>
              <w:jc w:val="left"/>
            </w:pPr>
            <w:r>
              <w:rPr>
                <w:rFonts w:ascii="Times New Roman" w:hAnsi="Times New Roman"/>
                <w:b w:val="0"/>
                <w:i w:val="0"/>
                <w:color w:val="000000"/>
                <w:sz w:val="17"/>
              </w:rPr>
              <w:t>Rechazo Obligatorio (Bloqueo Automático)</w:t>
            </w:r>
          </w:p>
        </w:tc>
      </w:tr>
      <w:tr>
        <w:trPr>
          <w:cantSplit/>
        </w:trPr>
        <w:tc>
          <w:tcPr>
            <w:tcW w:type="dxa" w:w="1758"/>
            <w:vAlign w:val="center"/>
          </w:tcPr>
          <w:p>
            <w:pPr>
              <w:spacing w:before="0" w:after="0" w:line="252" w:lineRule="auto"/>
              <w:jc w:val="left"/>
            </w:pPr>
            <w:r>
              <w:rPr>
                <w:rFonts w:ascii="Times New Roman" w:hAnsi="Times New Roman"/>
                <w:b w:val="0"/>
                <w:i w:val="0"/>
                <w:color w:val="000000"/>
                <w:sz w:val="17"/>
              </w:rPr>
              <w:t>TOTAL / PROMEDIO CARTERA</w:t>
            </w:r>
          </w:p>
        </w:tc>
        <w:tc>
          <w:tcPr>
            <w:tcW w:type="dxa" w:w="1093"/>
            <w:vAlign w:val="center"/>
          </w:tcPr>
          <w:p>
            <w:pPr>
              <w:spacing w:before="0" w:after="0" w:line="252" w:lineRule="auto"/>
              <w:jc w:val="center"/>
            </w:pPr>
            <w:r>
              <w:rPr>
                <w:rFonts w:ascii="Times New Roman" w:hAnsi="Times New Roman"/>
                <w:b w:val="0"/>
                <w:i w:val="0"/>
                <w:color w:val="000000"/>
                <w:sz w:val="17"/>
              </w:rPr>
              <w:t>682</w:t>
            </w:r>
          </w:p>
        </w:tc>
        <w:tc>
          <w:tcPr>
            <w:tcW w:type="dxa" w:w="861"/>
            <w:vAlign w:val="center"/>
          </w:tcPr>
          <w:p>
            <w:pPr>
              <w:spacing w:before="0" w:after="0" w:line="252" w:lineRule="auto"/>
              <w:jc w:val="center"/>
            </w:pPr>
            <w:r>
              <w:rPr>
                <w:rFonts w:ascii="Times New Roman" w:hAnsi="Times New Roman"/>
                <w:b w:val="0"/>
                <w:i w:val="0"/>
                <w:color w:val="000000"/>
                <w:sz w:val="17"/>
              </w:rPr>
              <w:t>100.0%</w:t>
            </w:r>
          </w:p>
        </w:tc>
        <w:tc>
          <w:tcPr>
            <w:tcW w:type="dxa" w:w="1251"/>
            <w:vAlign w:val="center"/>
          </w:tcPr>
          <w:p>
            <w:pPr>
              <w:spacing w:before="0" w:after="0" w:line="252" w:lineRule="auto"/>
              <w:jc w:val="center"/>
            </w:pPr>
            <w:r>
              <w:rPr>
                <w:rFonts w:ascii="Times New Roman" w:hAnsi="Times New Roman"/>
                <w:b w:val="0"/>
                <w:i w:val="0"/>
                <w:color w:val="000000"/>
                <w:sz w:val="17"/>
              </w:rPr>
              <w:t>76</w:t>
            </w:r>
          </w:p>
        </w:tc>
        <w:tc>
          <w:tcPr>
            <w:tcW w:type="dxa" w:w="1493"/>
            <w:vAlign w:val="center"/>
          </w:tcPr>
          <w:p>
            <w:pPr>
              <w:spacing w:before="0" w:after="0" w:line="252" w:lineRule="auto"/>
              <w:jc w:val="center"/>
            </w:pPr>
            <w:r>
              <w:rPr>
                <w:rFonts w:ascii="Times New Roman" w:hAnsi="Times New Roman"/>
                <w:b w:val="0"/>
                <w:i w:val="0"/>
                <w:color w:val="000000"/>
                <w:sz w:val="17"/>
              </w:rPr>
              <w:t>11.14%</w:t>
            </w:r>
          </w:p>
        </w:tc>
        <w:tc>
          <w:tcPr>
            <w:tcW w:type="dxa" w:w="2343"/>
            <w:vAlign w:val="center"/>
          </w:tcPr>
          <w:p>
            <w:pPr>
              <w:spacing w:before="0" w:after="0" w:line="252" w:lineRule="auto"/>
              <w:jc w:val="left"/>
            </w:pPr>
            <w:r>
              <w:rPr>
                <w:rFonts w:ascii="Times New Roman" w:hAnsi="Times New Roman"/>
                <w:b w:val="0"/>
                <w:i w:val="0"/>
                <w:color w:val="000000"/>
                <w:sz w:val="17"/>
              </w:rPr>
              <w:t>Tasa Base de Impago Bancario</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2384693"/>
            <wp:docPr id="12" name="Picture 12"/>
            <wp:cNvGraphicFramePr>
              <a:graphicFrameLocks noChangeAspect="1"/>
            </wp:cNvGraphicFramePr>
            <a:graphic>
              <a:graphicData uri="http://schemas.openxmlformats.org/drawingml/2006/picture">
                <pic:pic>
                  <pic:nvPicPr>
                    <pic:cNvPr id="0" name="fig_3c_scoring_utilidad.png"/>
                    <pic:cNvPicPr/>
                  </pic:nvPicPr>
                  <pic:blipFill>
                    <a:blip r:embed="rId22"/>
                    <a:stretch>
                      <a:fillRect/>
                    </a:stretch>
                  </pic:blipFill>
                  <pic:spPr>
                    <a:xfrm>
                      <a:off x="0" y="0"/>
                      <a:ext cx="4389120" cy="238469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9:</w:t>
      </w:r>
      <w:r>
        <w:rPr>
          <w:rFonts w:ascii="Times New Roman" w:hAnsi="Times New Roman"/>
          <w:sz w:val="20"/>
        </w:rPr>
        <w:t xml:space="preserve"> Distribución de Tasa de Mora Real según Capacidad de Endeudamiento.</w:t>
      </w:r>
    </w:p>
    <w:p>
      <w:pPr>
        <w:spacing w:line="276" w:lineRule="auto" w:before="0" w:after="90"/>
        <w:jc w:val="both"/>
      </w:pPr>
      <w:r>
        <w:rPr>
          <w:rFonts w:ascii="Times New Roman" w:hAnsi="Times New Roman"/>
          <w:b w:val="0"/>
          <w:i w:val="0"/>
          <w:color w:val="000000"/>
          <w:sz w:val="22"/>
        </w:rPr>
        <w:t>Validación estadística de la regla del 30%: La asociación entre sobreendeudamiento (&gt; 50%) y morosidad real es altamente significativa (Chi-cuadrado χ² = 10.62, p = 0.0011; Test de Fisher p = 0.0007). Los créditos prudenciales registran una mora de solo 6.57%, frente a 16.86% en tramo crítico, validando la regla del 30% como compuerta de solvencia indispensable.</w:t>
      </w:r>
    </w:p>
    <w:p>
      <w:pPr>
        <w:keepNext/>
        <w:spacing w:before="120" w:after="40"/>
        <w:jc w:val="left"/>
      </w:pPr>
      <w:r>
        <w:rPr>
          <w:rFonts w:ascii="Times New Roman" w:hAnsi="Times New Roman"/>
          <w:b/>
          <w:i w:val="0"/>
          <w:color w:val="000000"/>
          <w:sz w:val="22"/>
        </w:rPr>
        <w:t>Conclusión y Dictamen del Mejor Método sobre df_prestamos</w:t>
      </w:r>
    </w:p>
    <w:p>
      <w:pPr>
        <w:spacing w:line="276" w:lineRule="auto" w:before="0" w:after="90"/>
        <w:jc w:val="both"/>
      </w:pPr>
      <w:r>
        <w:rPr>
          <w:rFonts w:ascii="Times New Roman" w:hAnsi="Times New Roman"/>
          <w:b w:val="0"/>
          <w:i w:val="0"/>
          <w:color w:val="000000"/>
          <w:sz w:val="22"/>
        </w:rPr>
        <w:t>Dictamen Técnico: Se dictamina como solución óptima el sistema Híbrido Basado en Contenidos (TF-IDF, Modelo 3A) gobernado por Reglas de Utilidad Financiera (Modelo 3C). Es el único enfoque técnicamente viable ante la ausencia de co-ocurrencia, garantizando además mitigación activa del riesgo crediticio.</w:t>
      </w:r>
    </w:p>
    <w:p>
      <w:pPr>
        <w:keepNext/>
        <w:spacing w:before="140" w:after="40"/>
        <w:jc w:val="left"/>
      </w:pPr>
      <w:r>
        <w:rPr>
          <w:rFonts w:ascii="Times New Roman" w:hAnsi="Times New Roman"/>
          <w:b/>
          <w:i w:val="0"/>
          <w:color w:val="000000"/>
          <w:sz w:val="22"/>
        </w:rPr>
        <w:t>2.7.9 Evaluación comparativa global de los sistemas sobre los cuatro DataFrames</w:t>
      </w:r>
    </w:p>
    <w:p>
      <w:pPr>
        <w:spacing w:line="276" w:lineRule="auto" w:before="0" w:after="90"/>
        <w:jc w:val="both"/>
      </w:pPr>
      <w:r>
        <w:rPr>
          <w:rFonts w:ascii="Times New Roman" w:hAnsi="Times New Roman"/>
          <w:b w:val="0"/>
          <w:i w:val="0"/>
          <w:color w:val="000000"/>
          <w:sz w:val="22"/>
        </w:rPr>
        <w:t>La Tabla 17 y la Figura 14 consolidan la síntesis comparativa exhaustiva de los doce modelos de recomendación implementados:</w:t>
      </w:r>
    </w:p>
    <w:p>
      <w:pPr>
        <w:keepNext/>
        <w:spacing w:before="200" w:after="80"/>
        <w:jc w:val="center"/>
      </w:pPr>
      <w:r>
        <w:rPr>
          <w:rFonts w:ascii="Times New Roman" w:hAnsi="Times New Roman"/>
          <w:b/>
          <w:i w:val="0"/>
          <w:color w:val="000000"/>
          <w:sz w:val="21"/>
        </w:rPr>
        <w:t>Tabla 17:</w:t>
      </w:r>
      <w:r>
        <w:rPr>
          <w:rFonts w:ascii="Times New Roman" w:hAnsi="Times New Roman"/>
          <w:sz w:val="21"/>
        </w:rPr>
        <w:t xml:space="preserve"> Síntesis Comparativa de los 12 Modelos de Recomendación Implementados por DataFrame.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DataFrame</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Sistema / Técnica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Tipo de Modelo</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Familia Analítica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Dimensiones de Salida</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Métrica Clave Obtenida</w:t>
            </w:r>
          </w:p>
        </w:tc>
        <w:tc>
          <w:tcPr>
            <w:tcW w:type="dxa" w:w="720"/>
            <w:vAlign w:val="center"/>
            <w:tcBorders>
              <w:bottom w:val="single" w:sz="6" w:space="0" w:color="000000"/>
            </w:tcBorders>
          </w:tcPr>
          <w:p>
            <w:pPr>
              <w:spacing w:before="0" w:after="0" w:line="252" w:lineRule="auto"/>
              <w:jc w:val="center"/>
            </w:pPr>
            <w:r>
              <w:rPr>
                <w:rFonts w:ascii="Times New Roman" w:hAnsi="Times New Roman"/>
                <w:b/>
                <w:i w:val="0"/>
                <w:color w:val="000000"/>
                <w:sz w:val="16"/>
              </w:rPr>
              <w:t>Cobertura</w:t>
            </w:r>
          </w:p>
        </w:tc>
        <w:tc>
          <w:tcPr>
            <w:tcW w:type="dxa" w:w="1598"/>
            <w:vAlign w:val="center"/>
            <w:tcBorders>
              <w:bottom w:val="single" w:sz="6" w:space="0" w:color="000000"/>
            </w:tcBorders>
          </w:tcPr>
          <w:p>
            <w:pPr>
              <w:spacing w:before="0" w:after="0" w:line="252" w:lineRule="auto"/>
              <w:jc w:val="center"/>
            </w:pPr>
            <w:r>
              <w:rPr>
                <w:rFonts w:ascii="Times New Roman" w:hAnsi="Times New Roman"/>
                <w:b/>
                <w:i w:val="0"/>
                <w:color w:val="000000"/>
                <w:sz w:val="16"/>
              </w:rPr>
              <w:t>Rol de Negocio en la Entidad</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Slope One (1A)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18,265 predicciones</w:t>
            </w:r>
          </w:p>
        </w:tc>
        <w:tc>
          <w:tcPr>
            <w:tcW w:type="dxa" w:w="1584"/>
            <w:vAlign w:val="center"/>
          </w:tcPr>
          <w:p>
            <w:pPr>
              <w:spacing w:before="0" w:after="0" w:line="252" w:lineRule="auto"/>
              <w:jc w:val="left"/>
            </w:pPr>
            <w:r>
              <w:rPr>
                <w:rFonts w:ascii="Times New Roman" w:hAnsi="Times New Roman"/>
                <w:b w:val="0"/>
                <w:i w:val="0"/>
                <w:color w:val="000000"/>
                <w:sz w:val="16"/>
              </w:rPr>
              <w:t>MAE: 0.2593 ± 0.0052 (5-fold CV)</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Calibración de intensidad y venta cruzada fina.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Coseno Ajustado (1B)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cos_adj(Seguro, Hogar) = +0.3360</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Orientación angular centrada en medias de usuario.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Pearson Ítem-Ítem (1C)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Colaborativo / Temporal</w:t>
            </w:r>
          </w:p>
        </w:tc>
        <w:tc>
          <w:tcPr>
            <w:tcW w:type="dxa" w:w="1152"/>
            <w:vAlign w:val="center"/>
          </w:tcPr>
          <w:p>
            <w:pPr>
              <w:spacing w:before="0" w:after="0" w:line="252" w:lineRule="auto"/>
              <w:jc w:val="left"/>
            </w:pPr>
            <w:r>
              <w:rPr>
                <w:rFonts w:ascii="Times New Roman" w:hAnsi="Times New Roman"/>
                <w:b w:val="0"/>
                <w:i w:val="0"/>
                <w:color w:val="000000"/>
                <w:sz w:val="16"/>
              </w:rPr>
              <w:t>Matrices 5 × 5</w:t>
            </w:r>
          </w:p>
        </w:tc>
        <w:tc>
          <w:tcPr>
            <w:tcW w:type="dxa" w:w="1584"/>
            <w:vAlign w:val="center"/>
          </w:tcPr>
          <w:p>
            <w:pPr>
              <w:spacing w:before="0" w:after="0" w:line="252" w:lineRule="auto"/>
              <w:jc w:val="left"/>
            </w:pPr>
            <w:r>
              <w:rPr>
                <w:rFonts w:ascii="Times New Roman" w:hAnsi="Times New Roman"/>
                <w:b w:val="0"/>
                <w:i w:val="0"/>
                <w:color w:val="000000"/>
                <w:sz w:val="16"/>
              </w:rPr>
              <w:t>r_calif = +0.9957, r_Δmes = +0.7192</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Correlación lineal de ratings y sincronización de tesorería.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Coseno Binario (2A)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de Co-adquisición</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cos(Seguro, Hogar) = 0.3976</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co-adquisición y empaquetamiento (bundling).</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Ponderación ITF (2B)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 con Penalización</w:t>
            </w:r>
          </w:p>
        </w:tc>
        <w:tc>
          <w:tcPr>
            <w:tcW w:type="dxa" w:w="1152"/>
            <w:vAlign w:val="center"/>
          </w:tcPr>
          <w:p>
            <w:pPr>
              <w:spacing w:before="0" w:after="0" w:line="252" w:lineRule="auto"/>
              <w:jc w:val="left"/>
            </w:pPr>
            <w:r>
              <w:rPr>
                <w:rFonts w:ascii="Times New Roman" w:hAnsi="Times New Roman"/>
                <w:b w:val="0"/>
                <w:i w:val="0"/>
                <w:color w:val="000000"/>
                <w:sz w:val="16"/>
              </w:rPr>
              <w:t>5 factores especificidad</w:t>
            </w:r>
          </w:p>
        </w:tc>
        <w:tc>
          <w:tcPr>
            <w:tcW w:type="dxa" w:w="1584"/>
            <w:vAlign w:val="center"/>
          </w:tcPr>
          <w:p>
            <w:pPr>
              <w:spacing w:before="0" w:after="0" w:line="252" w:lineRule="auto"/>
              <w:jc w:val="left"/>
            </w:pPr>
            <w:r>
              <w:rPr>
                <w:rFonts w:ascii="Times New Roman" w:hAnsi="Times New Roman"/>
                <w:b w:val="0"/>
                <w:i w:val="0"/>
                <w:color w:val="000000"/>
                <w:sz w:val="16"/>
              </w:rPr>
              <w:t>Factor ITF Leasing: 2.3998 (vs Hogar: 0.1105)</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Corrección de sesgo de popularidad hacia nichos no triviales.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Pearson Órdenes (2C)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Asociación de Contratos</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r(Hogar, Préstamo) = -0.4117</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disociación y exclusión contractual.</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TF-IDF Contratos (3A)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Basado en Contenidos</w:t>
            </w:r>
          </w:p>
        </w:tc>
        <w:tc>
          <w:tcPr>
            <w:tcW w:type="dxa" w:w="1152"/>
            <w:vAlign w:val="center"/>
          </w:tcPr>
          <w:p>
            <w:pPr>
              <w:spacing w:before="0" w:after="0" w:line="252" w:lineRule="auto"/>
              <w:jc w:val="left"/>
            </w:pPr>
            <w:r>
              <w:rPr>
                <w:rFonts w:ascii="Times New Roman" w:hAnsi="Times New Roman"/>
                <w:b w:val="0"/>
                <w:i w:val="0"/>
                <w:color w:val="000000"/>
                <w:sz w:val="16"/>
              </w:rPr>
              <w:t>Matriz 8 × 8 léxica</w:t>
            </w:r>
          </w:p>
        </w:tc>
        <w:tc>
          <w:tcPr>
            <w:tcW w:type="dxa" w:w="1584"/>
            <w:vAlign w:val="center"/>
          </w:tcPr>
          <w:p>
            <w:pPr>
              <w:spacing w:before="0" w:after="0" w:line="252" w:lineRule="auto"/>
              <w:jc w:val="left"/>
            </w:pPr>
            <w:r>
              <w:rPr>
                <w:rFonts w:ascii="Times New Roman" w:hAnsi="Times New Roman"/>
                <w:b w:val="0"/>
                <w:i w:val="0"/>
                <w:color w:val="000000"/>
                <w:sz w:val="16"/>
              </w:rPr>
              <w:t>Sim: 0.1611 (LOPO: 8/8, 100%)</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Item Cold Start para productos nuevos.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Coseno Numérico (3B)</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Geométrico Centroidal</w:t>
            </w:r>
          </w:p>
        </w:tc>
        <w:tc>
          <w:tcPr>
            <w:tcW w:type="dxa" w:w="1152"/>
            <w:vAlign w:val="center"/>
          </w:tcPr>
          <w:p>
            <w:pPr>
              <w:spacing w:before="0" w:after="0" w:line="252" w:lineRule="auto"/>
              <w:jc w:val="left"/>
            </w:pPr>
            <w:r>
              <w:rPr>
                <w:rFonts w:ascii="Times New Roman" w:hAnsi="Times New Roman"/>
                <w:b w:val="0"/>
                <w:i w:val="0"/>
                <w:color w:val="000000"/>
                <w:sz w:val="16"/>
              </w:rPr>
              <w:t>Matriz 5 × 5 (plazos)</w:t>
            </w:r>
          </w:p>
        </w:tc>
        <w:tc>
          <w:tcPr>
            <w:tcW w:type="dxa" w:w="1584"/>
            <w:vAlign w:val="center"/>
          </w:tcPr>
          <w:p>
            <w:pPr>
              <w:spacing w:before="0" w:after="0" w:line="252" w:lineRule="auto"/>
              <w:jc w:val="left"/>
            </w:pPr>
            <w:r>
              <w:rPr>
                <w:rFonts w:ascii="Times New Roman" w:hAnsi="Times New Roman"/>
                <w:b w:val="0"/>
                <w:i w:val="0"/>
                <w:color w:val="000000"/>
                <w:sz w:val="16"/>
              </w:rPr>
              <w:t>cos(12m, 60m) = -0.9991</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Mapeo estructural de distancias entre plazos crediticios.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Scoring y Utilidad (3C)</w:t>
            </w:r>
          </w:p>
        </w:tc>
        <w:tc>
          <w:tcPr>
            <w:tcW w:type="dxa" w:w="1152"/>
            <w:vAlign w:val="center"/>
          </w:tcPr>
          <w:p>
            <w:pPr>
              <w:spacing w:before="0" w:after="0" w:line="252" w:lineRule="auto"/>
              <w:jc w:val="left"/>
            </w:pPr>
            <w:r>
              <w:rPr>
                <w:rFonts w:ascii="Times New Roman" w:hAnsi="Times New Roman"/>
                <w:b w:val="0"/>
                <w:i w:val="0"/>
                <w:color w:val="000000"/>
                <w:sz w:val="16"/>
              </w:rPr>
              <w:t>Recomendador / Control</w:t>
            </w:r>
          </w:p>
        </w:tc>
        <w:tc>
          <w:tcPr>
            <w:tcW w:type="dxa" w:w="1296"/>
            <w:vAlign w:val="center"/>
          </w:tcPr>
          <w:p>
            <w:pPr>
              <w:spacing w:before="0" w:after="0" w:line="252" w:lineRule="auto"/>
              <w:jc w:val="left"/>
            </w:pPr>
            <w:r>
              <w:rPr>
                <w:rFonts w:ascii="Times New Roman" w:hAnsi="Times New Roman"/>
                <w:b w:val="0"/>
                <w:i w:val="0"/>
                <w:color w:val="000000"/>
                <w:sz w:val="16"/>
              </w:rPr>
              <w:t>Conocimiento y Utilidad</w:t>
            </w:r>
          </w:p>
        </w:tc>
        <w:tc>
          <w:tcPr>
            <w:tcW w:type="dxa" w:w="1152"/>
            <w:vAlign w:val="center"/>
          </w:tcPr>
          <w:p>
            <w:pPr>
              <w:spacing w:before="0" w:after="0" w:line="252" w:lineRule="auto"/>
              <w:jc w:val="left"/>
            </w:pPr>
            <w:r>
              <w:rPr>
                <w:rFonts w:ascii="Times New Roman" w:hAnsi="Times New Roman"/>
                <w:b w:val="0"/>
                <w:i w:val="0"/>
                <w:color w:val="000000"/>
                <w:sz w:val="16"/>
              </w:rPr>
              <w:t>682 contratos</w:t>
            </w:r>
          </w:p>
        </w:tc>
        <w:tc>
          <w:tcPr>
            <w:tcW w:type="dxa" w:w="1584"/>
            <w:vAlign w:val="center"/>
          </w:tcPr>
          <w:p>
            <w:pPr>
              <w:spacing w:before="0" w:after="0" w:line="252" w:lineRule="auto"/>
              <w:jc w:val="left"/>
            </w:pPr>
            <w:r>
              <w:rPr>
                <w:rFonts w:ascii="Times New Roman" w:hAnsi="Times New Roman"/>
                <w:b w:val="0"/>
                <w:i w:val="0"/>
                <w:color w:val="000000"/>
                <w:sz w:val="16"/>
              </w:rPr>
              <w:t>Mora ≤ 30%: 6.57% (vs &gt; 50%: 16.86%)</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Filtro prudencial de capacidad de pago y control de riesgo.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Demográfico (4A)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Filtrado Demográfico</w:t>
            </w:r>
          </w:p>
        </w:tc>
        <w:tc>
          <w:tcPr>
            <w:tcW w:type="dxa" w:w="1152"/>
            <w:vAlign w:val="center"/>
          </w:tcPr>
          <w:p>
            <w:pPr>
              <w:spacing w:before="0" w:after="0" w:line="252" w:lineRule="auto"/>
              <w:jc w:val="left"/>
            </w:pPr>
            <w:r>
              <w:rPr>
                <w:rFonts w:ascii="Times New Roman" w:hAnsi="Times New Roman"/>
                <w:b w:val="0"/>
                <w:i w:val="0"/>
                <w:color w:val="000000"/>
                <w:sz w:val="16"/>
              </w:rPr>
              <w:t>9 arquetipos</w:t>
            </w:r>
          </w:p>
        </w:tc>
        <w:tc>
          <w:tcPr>
            <w:tcW w:type="dxa" w:w="1584"/>
            <w:vAlign w:val="center"/>
          </w:tcPr>
          <w:p>
            <w:pPr>
              <w:spacing w:before="0" w:after="0" w:line="252" w:lineRule="auto"/>
              <w:jc w:val="left"/>
            </w:pPr>
            <w:r>
              <w:rPr>
                <w:rFonts w:ascii="Times New Roman" w:hAnsi="Times New Roman"/>
                <w:b w:val="0"/>
                <w:i w:val="0"/>
                <w:color w:val="000000"/>
                <w:sz w:val="16"/>
              </w:rPr>
              <w:t>Adopción Adultos: 16.9% (χ²=63.78)</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User Cold Start en apertura de cuenta.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User-to-User kNN (4B)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Usuario-Usuario</w:t>
            </w:r>
          </w:p>
        </w:tc>
        <w:tc>
          <w:tcPr>
            <w:tcW w:type="dxa" w:w="1152"/>
            <w:vAlign w:val="center"/>
          </w:tcPr>
          <w:p>
            <w:pPr>
              <w:spacing w:before="0" w:after="0" w:line="252" w:lineRule="auto"/>
              <w:jc w:val="left"/>
            </w:pPr>
            <w:r>
              <w:rPr>
                <w:rFonts w:ascii="Times New Roman" w:hAnsi="Times New Roman"/>
                <w:b w:val="0"/>
                <w:i w:val="0"/>
                <w:color w:val="000000"/>
                <w:sz w:val="16"/>
              </w:rPr>
              <w:t>4,500 titulares</w:t>
            </w:r>
          </w:p>
        </w:tc>
        <w:tc>
          <w:tcPr>
            <w:tcW w:type="dxa" w:w="1584"/>
            <w:vAlign w:val="center"/>
          </w:tcPr>
          <w:p>
            <w:pPr>
              <w:spacing w:before="0" w:after="0" w:line="252" w:lineRule="auto"/>
              <w:jc w:val="left"/>
            </w:pPr>
            <w:r>
              <w:rPr>
                <w:rFonts w:ascii="Times New Roman" w:hAnsi="Times New Roman"/>
                <w:b w:val="0"/>
                <w:i w:val="0"/>
                <w:color w:val="000000"/>
                <w:sz w:val="16"/>
              </w:rPr>
              <w:t>AUC: 0.7905, Brier Score: 0.1098</w:t>
            </w:r>
          </w:p>
        </w:tc>
        <w:tc>
          <w:tcPr>
            <w:tcW w:type="dxa" w:w="720"/>
            <w:vAlign w:val="center"/>
          </w:tcPr>
          <w:p>
            <w:pPr>
              <w:spacing w:before="0" w:after="0" w:line="252" w:lineRule="auto"/>
              <w:jc w:val="center"/>
            </w:pPr>
            <w:r>
              <w:rPr>
                <w:rFonts w:ascii="Times New Roman" w:hAnsi="Times New Roman"/>
                <w:b w:val="0"/>
                <w:i w:val="0"/>
                <w:color w:val="000000"/>
                <w:sz w:val="16"/>
              </w:rPr>
              <w:t>83.8%</w:t>
            </w:r>
          </w:p>
        </w:tc>
        <w:tc>
          <w:tcPr>
            <w:tcW w:type="dxa" w:w="1598"/>
            <w:vAlign w:val="center"/>
          </w:tcPr>
          <w:p>
            <w:pPr>
              <w:spacing w:before="0" w:after="0" w:line="252" w:lineRule="auto"/>
              <w:jc w:val="left"/>
            </w:pPr>
            <w:r>
              <w:rPr>
                <w:rFonts w:ascii="Times New Roman" w:hAnsi="Times New Roman"/>
                <w:b w:val="0"/>
                <w:i w:val="0"/>
                <w:color w:val="000000"/>
                <w:sz w:val="16"/>
              </w:rPr>
              <w:t>Exploración de vecindarios y gemelos financieros.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Pearson Perfil (4C)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Exploratorio Multivariante</w:t>
            </w:r>
          </w:p>
        </w:tc>
        <w:tc>
          <w:tcPr>
            <w:tcW w:type="dxa" w:w="1152"/>
            <w:vAlign w:val="center"/>
          </w:tcPr>
          <w:p>
            <w:pPr>
              <w:spacing w:before="0" w:after="0" w:line="252" w:lineRule="auto"/>
              <w:jc w:val="left"/>
            </w:pPr>
            <w:r>
              <w:rPr>
                <w:rFonts w:ascii="Times New Roman" w:hAnsi="Times New Roman"/>
                <w:b w:val="0"/>
                <w:i w:val="0"/>
                <w:color w:val="000000"/>
                <w:sz w:val="16"/>
              </w:rPr>
              <w:t>Matriz 6 × 6</w:t>
            </w:r>
          </w:p>
        </w:tc>
        <w:tc>
          <w:tcPr>
            <w:tcW w:type="dxa" w:w="1584"/>
            <w:vAlign w:val="center"/>
          </w:tcPr>
          <w:p>
            <w:pPr>
              <w:spacing w:before="0" w:after="0" w:line="252" w:lineRule="auto"/>
              <w:jc w:val="left"/>
            </w:pPr>
            <w:r>
              <w:rPr>
                <w:rFonts w:ascii="Times New Roman" w:hAnsi="Times New Roman"/>
                <w:b w:val="0"/>
                <w:i w:val="0"/>
                <w:color w:val="000000"/>
                <w:sz w:val="16"/>
              </w:rPr>
              <w:t>r(Tx, Órdenes) = +0.4965</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Marco de gobernanza estructural y segmentación macro.</w:t>
            </w:r>
          </w:p>
        </w:tc>
      </w:tr>
    </w:tbl>
    <w:p>
      <w:pPr>
        <w:spacing w:before="0" w:after="120"/>
      </w:pPr>
    </w:p>
    <w:p>
      <w:pPr>
        <w:keepNext/>
        <w:spacing w:before="200" w:after="60"/>
        <w:jc w:val="center"/>
      </w:pPr>
      <w:r>
        <w:drawing>
          <wp:inline xmlns:a="http://schemas.openxmlformats.org/drawingml/2006/main" xmlns:pic="http://schemas.openxmlformats.org/drawingml/2006/picture">
            <wp:extent cx="4846320" cy="2938320"/>
            <wp:docPr id="13" name="Picture 13"/>
            <wp:cNvGraphicFramePr>
              <a:graphicFrameLocks noChangeAspect="1"/>
            </wp:cNvGraphicFramePr>
            <a:graphic>
              <a:graphicData uri="http://schemas.openxmlformats.org/drawingml/2006/picture">
                <pic:pic>
                  <pic:nvPicPr>
                    <pic:cNvPr id="0" name="fig_06_comparativa_global.png"/>
                    <pic:cNvPicPr/>
                  </pic:nvPicPr>
                  <pic:blipFill>
                    <a:blip r:embed="rId23"/>
                    <a:stretch>
                      <a:fillRect/>
                    </a:stretch>
                  </pic:blipFill>
                  <pic:spPr>
                    <a:xfrm>
                      <a:off x="0" y="0"/>
                      <a:ext cx="4846320" cy="293832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14:</w:t>
      </w:r>
      <w:r>
        <w:rPr>
          <w:rFonts w:ascii="Times New Roman" w:hAnsi="Times New Roman"/>
          <w:sz w:val="20"/>
        </w:rPr>
        <w:t xml:space="preserve"> Mapa Estratégico de Cobertura de Cartera vs. Nivel de Personalización.</w:t>
      </w:r>
    </w:p>
    <w:p>
      <w:pPr>
        <w:spacing w:line="276" w:lineRule="auto" w:before="0" w:after="90"/>
        <w:jc w:val="both"/>
      </w:pPr>
      <w:r>
        <w:rPr>
          <w:rFonts w:ascii="Times New Roman" w:hAnsi="Times New Roman"/>
          <w:b w:val="0"/>
          <w:i w:val="0"/>
          <w:color w:val="000000"/>
          <w:sz w:val="22"/>
        </w:rPr>
        <w:t>Arquitectura bancaria en dos fases con gobernanza prudencial transversal: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1 (Arranque en Frío / Onboarding): </w:t>
      </w:r>
      <w:r>
        <w:rPr>
          <w:rFonts w:ascii="Times New Roman" w:hAnsi="Times New Roman"/>
          <w:b w:val="0"/>
          <w:i w:val="0"/>
          <w:color w:val="000000"/>
          <w:sz w:val="22"/>
        </w:rPr>
        <w:t>Al momento de abrir la cuenta bancaria, se activa el Filtrado Demográfico por Estereotipos (Modelo 4A) combinado con TF-IDF (Modelo 3A). Sin requerir transacciones previas, el sistema ofrece el paquete de bienvenida según el arquetipo geográfico y etario, logrando una cobertura del 100%.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2 (Cartera Transaccional Madura): </w:t>
      </w:r>
      <w:r>
        <w:rPr>
          <w:rFonts w:ascii="Times New Roman" w:hAnsi="Times New Roman"/>
          <w:b w:val="0"/>
          <w:i w:val="0"/>
          <w:color w:val="000000"/>
          <w:sz w:val="22"/>
        </w:rPr>
        <w:t>Conforme el cliente acumula transacciones y domicilia servicios (a partir de 3 meses o 15 movimientos), entran en operación Slope One (Modelo 1A), Ponderación ITF (Modelo 2B) y User-to-User kNN (Modelo 4B), afinando la recomendación hacia el producto específico de mayor afinidad individual.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Capa Transversal de Gobernanza y Riesgo: </w:t>
      </w:r>
      <w:r>
        <w:rPr>
          <w:rFonts w:ascii="Times New Roman" w:hAnsi="Times New Roman"/>
          <w:b w:val="0"/>
          <w:i w:val="0"/>
          <w:color w:val="000000"/>
          <w:sz w:val="22"/>
        </w:rPr>
        <w:t>Cualquier sugerencia crediticia emitida por los modelos colaborativos debe superar obligatoriamente las reglas de Scoring y Utilidad Financiera (Modelo 3C), bloqueando automáticamente a clientes morosos históricos (estados B y D) y aplicando la política escalonada de endeudamiento (≤ 30% preaprobado, 30%-50% con mitigaciones, &gt;50% rechazado).</w:t>
      </w:r>
    </w:p>
    <w:p>
      <w:pPr>
        <w:keepNext/>
        <w:spacing w:before="140" w:after="40"/>
        <w:jc w:val="left"/>
      </w:pPr>
      <w:r>
        <w:rPr>
          <w:rFonts w:ascii="Times New Roman" w:hAnsi="Times New Roman"/>
          <w:b/>
          <w:i w:val="0"/>
          <w:color w:val="000000"/>
          <w:sz w:val="22"/>
        </w:rPr>
        <w:t>2.7.10 Comprobación que motivó el descarte empírico de la co-ocurrencia transaccional cruda</w:t>
      </w:r>
    </w:p>
    <w:p>
      <w:pPr>
        <w:spacing w:line="276" w:lineRule="auto" w:before="0" w:after="90"/>
        <w:jc w:val="both"/>
      </w:pPr>
      <w:r>
        <w:rPr>
          <w:rFonts w:ascii="Times New Roman" w:hAnsi="Times New Roman"/>
          <w:b w:val="0"/>
          <w:i w:val="0"/>
          <w:color w:val="000000"/>
          <w:sz w:val="22"/>
        </w:rPr>
        <w:t>La co-ocurrencia sobre frecuencias brutas transaccionales colapsa el espacio angular en un rango hiper-comprimido (0.9339 a 0.9610) con varianza casi nula (σ² = 0.00009), haciendo indistinguible cualquier servicio. La Tabla 13-B y la Figura 13 demuestran este hallazgo:</w:t>
      </w:r>
    </w:p>
    <w:p>
      <w:pPr>
        <w:keepNext/>
        <w:spacing w:before="200" w:after="80"/>
        <w:jc w:val="center"/>
      </w:pPr>
      <w:r>
        <w:rPr>
          <w:rFonts w:ascii="Times New Roman" w:hAnsi="Times New Roman"/>
          <w:b/>
          <w:i w:val="0"/>
          <w:color w:val="000000"/>
          <w:sz w:val="21"/>
        </w:rPr>
        <w:t>Tabla 13</w:t>
      </w:r>
      <w:r>
        <w:rPr>
          <w:rFonts w:ascii="Times New Roman" w:hAnsi="Times New Roman"/>
          <w:sz w:val="21"/>
        </w:rPr>
        <w:t>-B: Comparación de Dispersión y Diagnóstico de Descarte de Co-ocurrencia Transaccional Cruda.</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873"/>
            <w:vAlign w:val="center"/>
            <w:tcBorders>
              <w:bottom w:val="single" w:sz="6" w:space="0" w:color="000000"/>
            </w:tcBorders>
          </w:tcPr>
          <w:p>
            <w:pPr>
              <w:spacing w:before="0" w:after="0" w:line="252" w:lineRule="auto"/>
              <w:jc w:val="center"/>
            </w:pPr>
            <w:r>
              <w:rPr>
                <w:rFonts w:ascii="Times New Roman" w:hAnsi="Times New Roman"/>
                <w:b/>
                <w:i w:val="0"/>
                <w:color w:val="000000"/>
                <w:sz w:val="17"/>
              </w:rPr>
              <w:t>Enfoque de Recomendación</w:t>
            </w:r>
          </w:p>
        </w:tc>
        <w:tc>
          <w:tcPr>
            <w:tcW w:type="dxa" w:w="1684"/>
            <w:vAlign w:val="center"/>
            <w:tcBorders>
              <w:bottom w:val="single" w:sz="6" w:space="0" w:color="000000"/>
            </w:tcBorders>
          </w:tcPr>
          <w:p>
            <w:pPr>
              <w:spacing w:before="0" w:after="0" w:line="252" w:lineRule="auto"/>
              <w:jc w:val="center"/>
            </w:pPr>
            <w:r>
              <w:rPr>
                <w:rFonts w:ascii="Times New Roman" w:hAnsi="Times New Roman"/>
                <w:b/>
                <w:i w:val="0"/>
                <w:color w:val="000000"/>
                <w:sz w:val="17"/>
              </w:rPr>
              <w:t>Rango de Similitud Observado</w:t>
            </w:r>
          </w:p>
        </w:tc>
        <w:tc>
          <w:tcPr>
            <w:tcW w:type="dxa" w:w="1396"/>
            <w:vAlign w:val="center"/>
            <w:tcBorders>
              <w:bottom w:val="single" w:sz="6" w:space="0" w:color="000000"/>
            </w:tcBorders>
          </w:tcPr>
          <w:p>
            <w:pPr>
              <w:spacing w:before="0" w:after="0" w:line="252" w:lineRule="auto"/>
              <w:jc w:val="center"/>
            </w:pPr>
            <w:r>
              <w:rPr>
                <w:rFonts w:ascii="Times New Roman" w:hAnsi="Times New Roman"/>
                <w:b/>
                <w:i w:val="0"/>
                <w:color w:val="000000"/>
                <w:sz w:val="17"/>
              </w:rPr>
              <w:t>Varianza Angular (σ²)</w:t>
            </w:r>
          </w:p>
        </w:tc>
        <w:tc>
          <w:tcPr>
            <w:tcW w:type="dxa" w:w="21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Diagnóstico Matemático</w:t>
            </w:r>
          </w:p>
        </w:tc>
        <w:tc>
          <w:tcPr>
            <w:tcW w:type="dxa" w:w="1722"/>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Decisión Analítica</w:t>
            </w:r>
          </w:p>
        </w:tc>
      </w:tr>
      <w:tr>
        <w:trPr>
          <w:cantSplit/>
        </w:trPr>
        <w:tc>
          <w:tcPr>
            <w:tcW w:type="dxa" w:w="1873"/>
            <w:vAlign w:val="center"/>
          </w:tcPr>
          <w:p>
            <w:pPr>
              <w:spacing w:before="0" w:after="0" w:line="252" w:lineRule="auto"/>
              <w:jc w:val="left"/>
            </w:pPr>
            <w:r>
              <w:rPr>
                <w:rFonts w:ascii="Times New Roman" w:hAnsi="Times New Roman"/>
                <w:b w:val="0"/>
                <w:i w:val="0"/>
                <w:color w:val="000000"/>
                <w:sz w:val="17"/>
              </w:rPr>
              <w:t>Co-ocurrencia Transaccional Cruda</w:t>
            </w:r>
          </w:p>
        </w:tc>
        <w:tc>
          <w:tcPr>
            <w:tcW w:type="dxa" w:w="1684"/>
            <w:vAlign w:val="center"/>
          </w:tcPr>
          <w:p>
            <w:pPr>
              <w:spacing w:before="0" w:after="0" w:line="252" w:lineRule="auto"/>
              <w:jc w:val="left"/>
            </w:pPr>
            <w:r>
              <w:rPr>
                <w:rFonts w:ascii="Times New Roman" w:hAnsi="Times New Roman"/>
                <w:b w:val="0"/>
                <w:i w:val="0"/>
                <w:color w:val="000000"/>
                <w:sz w:val="17"/>
              </w:rPr>
              <w:t>[0.9339, 0.9610]</w:t>
            </w:r>
          </w:p>
        </w:tc>
        <w:tc>
          <w:tcPr>
            <w:tcW w:type="dxa" w:w="1396"/>
            <w:vAlign w:val="center"/>
          </w:tcPr>
          <w:p>
            <w:pPr>
              <w:spacing w:before="0" w:after="0" w:line="252" w:lineRule="auto"/>
              <w:jc w:val="center"/>
            </w:pPr>
            <w:r>
              <w:rPr>
                <w:rFonts w:ascii="Times New Roman" w:hAnsi="Times New Roman"/>
                <w:b w:val="0"/>
                <w:i w:val="0"/>
                <w:color w:val="000000"/>
                <w:sz w:val="17"/>
              </w:rPr>
              <w:t>0.00009</w:t>
            </w:r>
          </w:p>
        </w:tc>
        <w:tc>
          <w:tcPr>
            <w:tcW w:type="dxa" w:w="2123"/>
            <w:vAlign w:val="center"/>
          </w:tcPr>
          <w:p>
            <w:pPr>
              <w:spacing w:before="0" w:after="0" w:line="252" w:lineRule="auto"/>
              <w:jc w:val="left"/>
            </w:pPr>
            <w:r>
              <w:rPr>
                <w:rFonts w:ascii="Times New Roman" w:hAnsi="Times New Roman"/>
                <w:b w:val="0"/>
                <w:i w:val="0"/>
                <w:color w:val="000000"/>
                <w:sz w:val="17"/>
              </w:rPr>
              <w:t>Colapso dimensional y compresión extrema</w:t>
            </w:r>
          </w:p>
        </w:tc>
        <w:tc>
          <w:tcPr>
            <w:tcW w:type="dxa" w:w="1722"/>
            <w:vAlign w:val="center"/>
          </w:tcPr>
          <w:p>
            <w:pPr>
              <w:spacing w:before="0" w:after="0" w:line="252" w:lineRule="auto"/>
              <w:jc w:val="left"/>
            </w:pPr>
            <w:r>
              <w:rPr>
                <w:rFonts w:ascii="Times New Roman" w:hAnsi="Times New Roman"/>
                <w:b w:val="0"/>
                <w:i w:val="0"/>
                <w:color w:val="000000"/>
                <w:sz w:val="17"/>
              </w:rPr>
              <w:t>DESCARTADO FORMALMENTE</w:t>
            </w:r>
          </w:p>
        </w:tc>
      </w:tr>
      <w:tr>
        <w:trPr>
          <w:cantSplit/>
        </w:trPr>
        <w:tc>
          <w:tcPr>
            <w:tcW w:type="dxa" w:w="1873"/>
            <w:vAlign w:val="center"/>
          </w:tcPr>
          <w:p>
            <w:pPr>
              <w:spacing w:before="0" w:after="0" w:line="252" w:lineRule="auto"/>
              <w:jc w:val="left"/>
            </w:pPr>
            <w:r>
              <w:rPr>
                <w:rFonts w:ascii="Times New Roman" w:hAnsi="Times New Roman"/>
                <w:b w:val="0"/>
                <w:i w:val="0"/>
                <w:color w:val="000000"/>
                <w:sz w:val="17"/>
              </w:rPr>
              <w:t>Coseno Binario sobre Órdenes</w:t>
            </w:r>
          </w:p>
        </w:tc>
        <w:tc>
          <w:tcPr>
            <w:tcW w:type="dxa" w:w="1684"/>
            <w:vAlign w:val="center"/>
          </w:tcPr>
          <w:p>
            <w:pPr>
              <w:spacing w:before="0" w:after="0" w:line="252" w:lineRule="auto"/>
              <w:jc w:val="left"/>
            </w:pPr>
            <w:r>
              <w:rPr>
                <w:rFonts w:ascii="Times New Roman" w:hAnsi="Times New Roman"/>
                <w:b w:val="0"/>
                <w:i w:val="0"/>
                <w:color w:val="000000"/>
                <w:sz w:val="17"/>
              </w:rPr>
              <w:t>[0.0000, 0.3976]</w:t>
            </w:r>
          </w:p>
        </w:tc>
        <w:tc>
          <w:tcPr>
            <w:tcW w:type="dxa" w:w="1396"/>
            <w:vAlign w:val="center"/>
          </w:tcPr>
          <w:p>
            <w:pPr>
              <w:spacing w:before="0" w:after="0" w:line="252" w:lineRule="auto"/>
              <w:jc w:val="center"/>
            </w:pPr>
            <w:r>
              <w:rPr>
                <w:rFonts w:ascii="Times New Roman" w:hAnsi="Times New Roman"/>
                <w:b w:val="0"/>
                <w:i w:val="0"/>
                <w:color w:val="000000"/>
                <w:sz w:val="17"/>
              </w:rPr>
              <w:t>0.03970</w:t>
            </w:r>
          </w:p>
        </w:tc>
        <w:tc>
          <w:tcPr>
            <w:tcW w:type="dxa" w:w="2123"/>
            <w:vAlign w:val="center"/>
          </w:tcPr>
          <w:p>
            <w:pPr>
              <w:spacing w:before="0" w:after="0" w:line="252" w:lineRule="auto"/>
              <w:jc w:val="left"/>
            </w:pPr>
            <w:r>
              <w:rPr>
                <w:rFonts w:ascii="Times New Roman" w:hAnsi="Times New Roman"/>
                <w:b w:val="0"/>
                <w:i w:val="0"/>
                <w:color w:val="000000"/>
                <w:sz w:val="17"/>
              </w:rPr>
              <w:t>Incremento de varianza de 450 veces</w:t>
            </w:r>
          </w:p>
        </w:tc>
        <w:tc>
          <w:tcPr>
            <w:tcW w:type="dxa" w:w="1722"/>
            <w:vAlign w:val="center"/>
          </w:tcPr>
          <w:p>
            <w:pPr>
              <w:spacing w:before="0" w:after="0" w:line="252" w:lineRule="auto"/>
              <w:jc w:val="left"/>
            </w:pPr>
            <w:r>
              <w:rPr>
                <w:rFonts w:ascii="Times New Roman" w:hAnsi="Times New Roman"/>
                <w:b w:val="0"/>
                <w:i w:val="0"/>
                <w:color w:val="000000"/>
                <w:sz w:val="17"/>
              </w:rPr>
              <w:t>ACEPTADO (Co-adquisición)</w:t>
            </w:r>
          </w:p>
        </w:tc>
      </w:tr>
      <w:tr>
        <w:trPr>
          <w:cantSplit/>
        </w:trPr>
        <w:tc>
          <w:tcPr>
            <w:tcW w:type="dxa" w:w="1873"/>
            <w:vAlign w:val="center"/>
          </w:tcPr>
          <w:p>
            <w:pPr>
              <w:spacing w:before="0" w:after="0" w:line="252" w:lineRule="auto"/>
              <w:jc w:val="left"/>
            </w:pPr>
            <w:r>
              <w:rPr>
                <w:rFonts w:ascii="Times New Roman" w:hAnsi="Times New Roman"/>
                <w:b w:val="0"/>
                <w:i w:val="0"/>
                <w:color w:val="000000"/>
                <w:sz w:val="17"/>
              </w:rPr>
              <w:t>Coseno Ajustado en Transacciones</w:t>
            </w:r>
          </w:p>
        </w:tc>
        <w:tc>
          <w:tcPr>
            <w:tcW w:type="dxa" w:w="1684"/>
            <w:vAlign w:val="center"/>
          </w:tcPr>
          <w:p>
            <w:pPr>
              <w:spacing w:before="0" w:after="0" w:line="252" w:lineRule="auto"/>
              <w:jc w:val="left"/>
            </w:pPr>
            <w:r>
              <w:rPr>
                <w:rFonts w:ascii="Times New Roman" w:hAnsi="Times New Roman"/>
                <w:b w:val="0"/>
                <w:i w:val="0"/>
                <w:color w:val="000000"/>
                <w:sz w:val="17"/>
              </w:rPr>
              <w:t>[-0.7507, +0.3360]</w:t>
            </w:r>
          </w:p>
        </w:tc>
        <w:tc>
          <w:tcPr>
            <w:tcW w:type="dxa" w:w="1396"/>
            <w:vAlign w:val="center"/>
          </w:tcPr>
          <w:p>
            <w:pPr>
              <w:spacing w:before="0" w:after="0" w:line="252" w:lineRule="auto"/>
              <w:jc w:val="center"/>
            </w:pPr>
            <w:r>
              <w:rPr>
                <w:rFonts w:ascii="Times New Roman" w:hAnsi="Times New Roman"/>
                <w:b w:val="0"/>
                <w:i w:val="0"/>
                <w:color w:val="000000"/>
                <w:sz w:val="17"/>
              </w:rPr>
              <w:t>0.09420</w:t>
            </w:r>
          </w:p>
        </w:tc>
        <w:tc>
          <w:tcPr>
            <w:tcW w:type="dxa" w:w="2123"/>
            <w:vAlign w:val="center"/>
          </w:tcPr>
          <w:p>
            <w:pPr>
              <w:spacing w:before="0" w:after="0" w:line="252" w:lineRule="auto"/>
              <w:jc w:val="left"/>
            </w:pPr>
            <w:r>
              <w:rPr>
                <w:rFonts w:ascii="Times New Roman" w:hAnsi="Times New Roman"/>
                <w:b w:val="0"/>
                <w:i w:val="0"/>
                <w:color w:val="000000"/>
                <w:sz w:val="17"/>
              </w:rPr>
              <w:t>Incremento de varianza de 1,000+ veces</w:t>
            </w:r>
          </w:p>
        </w:tc>
        <w:tc>
          <w:tcPr>
            <w:tcW w:type="dxa" w:w="1722"/>
            <w:vAlign w:val="center"/>
          </w:tcPr>
          <w:p>
            <w:pPr>
              <w:spacing w:before="0" w:after="0" w:line="252" w:lineRule="auto"/>
              <w:jc w:val="left"/>
            </w:pPr>
            <w:r>
              <w:rPr>
                <w:rFonts w:ascii="Times New Roman" w:hAnsi="Times New Roman"/>
                <w:b w:val="0"/>
                <w:i w:val="0"/>
                <w:color w:val="000000"/>
                <w:sz w:val="17"/>
              </w:rPr>
              <w:t>ACEPTADO (Centrado en Medias)</w:t>
            </w:r>
          </w:p>
        </w:tc>
      </w:tr>
    </w:tbl>
    <w:p>
      <w:pPr>
        <w:spacing w:before="0" w:after="120"/>
      </w:pPr>
    </w:p>
    <w:p>
      <w:pPr>
        <w:keepNext/>
        <w:spacing w:before="200" w:after="60"/>
        <w:jc w:val="center"/>
      </w:pPr>
      <w:r>
        <w:drawing>
          <wp:inline xmlns:a="http://schemas.openxmlformats.org/drawingml/2006/main" xmlns:pic="http://schemas.openxmlformats.org/drawingml/2006/picture">
            <wp:extent cx="4846320" cy="2285833"/>
            <wp:docPr id="14" name="Picture 14"/>
            <wp:cNvGraphicFramePr>
              <a:graphicFrameLocks noChangeAspect="1"/>
            </wp:cNvGraphicFramePr>
            <a:graphic>
              <a:graphicData uri="http://schemas.openxmlformats.org/drawingml/2006/picture">
                <pic:pic>
                  <pic:nvPicPr>
                    <pic:cNvPr id="0" name="fig_05_descarte_empirico_comparativa.png"/>
                    <pic:cNvPicPr/>
                  </pic:nvPicPr>
                  <pic:blipFill>
                    <a:blip r:embed="rId24"/>
                    <a:stretch>
                      <a:fillRect/>
                    </a:stretch>
                  </pic:blipFill>
                  <pic:spPr>
                    <a:xfrm>
                      <a:off x="0" y="0"/>
                      <a:ext cx="4846320" cy="228583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13:</w:t>
      </w:r>
      <w:r>
        <w:rPr>
          <w:rFonts w:ascii="Times New Roman" w:hAnsi="Times New Roman"/>
          <w:sz w:val="20"/>
        </w:rPr>
        <w:t xml:space="preserve"> Comprobación del Descarte Empírico: Colapso de Varianza en Co-ocurrencia Cruda.</w:t>
      </w:r>
    </w:p>
    <w:p>
      <w:pPr>
        <w:keepNext/>
        <w:spacing w:before="140" w:after="40"/>
        <w:jc w:val="left"/>
      </w:pPr>
      <w:r>
        <w:rPr>
          <w:rFonts w:ascii="Times New Roman" w:hAnsi="Times New Roman"/>
          <w:b/>
          <w:i w:val="0"/>
          <w:color w:val="000000"/>
          <w:sz w:val="22"/>
        </w:rPr>
        <w:t>2.7.11 Arquitectura tecnológica de despliegue y flujo productivo MLOps en el banco comercial</w:t>
      </w:r>
    </w:p>
    <w:p>
      <w:pPr>
        <w:spacing w:line="276" w:lineRule="auto" w:before="0" w:after="90"/>
        <w:jc w:val="both"/>
      </w:pPr>
      <w:r>
        <w:rPr>
          <w:rFonts w:ascii="Times New Roman" w:hAnsi="Times New Roman"/>
          <w:b w:val="0"/>
          <w:i w:val="0"/>
          <w:color w:val="000000"/>
          <w:sz w:val="22"/>
        </w:rPr>
        <w:t>Para garantizar que los modelos operen con alta disponibilidad y latencia &lt;50 ms, se estructura el pipeline tecnológico: (1) Capa de Ingesta y Feature Store en Kafka; (2) Inferencia Híbrida en FastAPI; (3) Compuerta de Gobernanza; y (4) Monitoreo Continuo con tests de deriva poblacional (PSI) y Kolmogorov-Smirnov.</w:t>
      </w:r>
    </w:p>
    <w:p>
      <w:pPr>
        <w:keepNext/>
        <w:spacing w:before="180" w:after="60"/>
        <w:jc w:val="left"/>
      </w:pPr>
      <w:r>
        <w:rPr>
          <w:rFonts w:ascii="Times New Roman" w:hAnsi="Times New Roman"/>
          <w:b/>
          <w:i w:val="0"/>
          <w:color w:val="000000"/>
          <w:sz w:val="23"/>
        </w:rPr>
        <w:t>2.8 Habilidades blandas empleadas en la práctica</w:t>
      </w:r>
    </w:p>
    <w:p>
      <w:pPr>
        <w:spacing w:line="276" w:lineRule="auto" w:before="0" w:after="90"/>
        <w:jc w:val="both"/>
      </w:pPr>
      <w:r>
        <w:rPr>
          <w:rFonts w:ascii="Times New Roman" w:hAnsi="Times New Roman"/>
          <w:b w:val="0"/>
          <w:i w:val="0"/>
          <w:color w:val="000000"/>
          <w:sz w:val="22"/>
        </w:rPr>
        <w:t>Durante el desarrollo de la práctica se ejercitaron habilidades profesionales clave: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Pensamiento crítico y rigor analítico: </w:t>
      </w:r>
      <w:r>
        <w:rPr>
          <w:rFonts w:ascii="Times New Roman" w:hAnsi="Times New Roman"/>
          <w:b w:val="0"/>
          <w:i w:val="0"/>
          <w:color w:val="000000"/>
          <w:sz w:val="22"/>
        </w:rPr>
        <w:t>Capacidad para contrastar la teoría matemática con la realidad empírica de los datos.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Trabajo en equipo y distribución de tareas: </w:t>
      </w:r>
      <w:r>
        <w:rPr>
          <w:rFonts w:ascii="Times New Roman" w:hAnsi="Times New Roman"/>
          <w:b w:val="0"/>
          <w:i w:val="0"/>
          <w:color w:val="000000"/>
          <w:sz w:val="22"/>
        </w:rPr>
        <w:t>Colaboración entre integrantes mediante control de versiones Git.</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Ética profesional y gobernanza de datos: </w:t>
      </w:r>
      <w:r>
        <w:rPr>
          <w:rFonts w:ascii="Times New Roman" w:hAnsi="Times New Roman"/>
          <w:b w:val="0"/>
          <w:i w:val="0"/>
          <w:color w:val="000000"/>
          <w:sz w:val="22"/>
        </w:rPr>
        <w:t>Priorización de la solvencia del cliente frente a incentivos comerciales.</w:t>
      </w:r>
    </w:p>
    <w:p>
      <w:pPr>
        <w:keepNext/>
        <w:spacing w:before="240" w:after="80"/>
        <w:jc w:val="left"/>
      </w:pPr>
      <w:r>
        <w:rPr>
          <w:rFonts w:ascii="Times New Roman" w:hAnsi="Times New Roman"/>
          <w:b/>
          <w:i w:val="0"/>
          <w:color w:val="000000"/>
          <w:sz w:val="25"/>
        </w:rPr>
        <w:t>III. CONCLUSIONES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Cobertura Metodológica Exhaustiva: </w:t>
      </w:r>
      <w:r>
        <w:rPr>
          <w:rFonts w:ascii="Times New Roman" w:hAnsi="Times New Roman"/>
          <w:b w:val="0"/>
          <w:i w:val="0"/>
          <w:color w:val="000000"/>
          <w:sz w:val="22"/>
        </w:rPr>
        <w:t>Cobertura Metodológica Exhaustiva de la Consigna: Se implementaron y evaluaron con rigor los 8 puntos solicitados por el docente, cubriendo las tres familias clásicas (Colaborativo, Contenidos y Demográfico) complementadas por una cuarta categoría transversal de gobernanza (Modelos de Conocimiento y Utilidad Financiera) sobre los cuatro DataFrames canónicos del Data Warehouse Kimball.</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Precisión Predictiva de Slope One: </w:t>
      </w:r>
      <w:r>
        <w:rPr>
          <w:rFonts w:ascii="Times New Roman" w:hAnsi="Times New Roman"/>
          <w:b w:val="0"/>
          <w:i w:val="0"/>
          <w:color w:val="000000"/>
          <w:sz w:val="22"/>
        </w:rPr>
        <w:t>Precisión Predictiva de Slope One: En validación cruzada 5-fold sobre df_transacciones, Slope One redujo el error absoluto medio (MAE = 0.2593 ± 0.0052) en un 36.18% frente a la media de usuario (0.4063) y un 43.70% frente a la media global (0.4606), empatando técnicamente en Hit-Rate@1 con la popularidad pura (91.79% vs 91.29%, Z = 0.7634, p = 0.4452) y permitiendo calibrar montos personalizados.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Validez del Descarte Empírico: </w:t>
      </w:r>
      <w:r>
        <w:rPr>
          <w:rFonts w:ascii="Times New Roman" w:hAnsi="Times New Roman"/>
          <w:b w:val="0"/>
          <w:i w:val="0"/>
          <w:color w:val="000000"/>
          <w:sz w:val="22"/>
        </w:rPr>
        <w:t>Validez del Descarte Empírico: Se demostró cuantitativamente que la co-ocurrencia transaccional cruda colapsa el espacio angular (similitudes entre 0.93 y 0.96, σ² = 0.00009). La migración a órdenes (σ² = 0.0397) y al Coseno Ajustado (σ² = 0.0942) multiplicó la dispersión en 450 y 1,000+ veces, restaurando la capacidad discriminativa.</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Arranque en Frío y Control de Riesgo: </w:t>
      </w:r>
      <w:r>
        <w:rPr>
          <w:rFonts w:ascii="Times New Roman" w:hAnsi="Times New Roman"/>
          <w:b w:val="0"/>
          <w:i w:val="0"/>
          <w:color w:val="000000"/>
          <w:sz w:val="22"/>
        </w:rPr>
        <w:t>Arranque en Frío y Control Prudencial de Riesgo: El Filtrado Demográfico otorga cobertura del 100% desde la apertura de cuenta (validado con χ² = 63.7832, p &lt; 0.0001), mientras que TF-IDF resuelve el arranque en frío de productos con 100% de precisión LOPO (8/8). La compuerta de utilidad crediticia (ratio cuota/salario ≤ 30%) se fundamenta en la evidencia real: la morosidad en endeudamiento ≤ 30% es de solo 6.57%, frente a 16.86% en sobreendeudamiento &gt; 50% (χ² = 10.62, p = 0.0011).</w:t>
      </w:r>
    </w:p>
    <w:p>
      <w:pPr>
        <w:keepNext/>
        <w:spacing w:before="240" w:after="80"/>
        <w:jc w:val="left"/>
      </w:pPr>
      <w:r>
        <w:rPr>
          <w:rFonts w:ascii="Times New Roman" w:hAnsi="Times New Roman"/>
          <w:b/>
          <w:i w:val="0"/>
          <w:color w:val="000000"/>
          <w:sz w:val="25"/>
        </w:rPr>
        <w:t>IV. RECOMENDACIONES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Despliegue en Dos Fases: </w:t>
      </w:r>
      <w:r>
        <w:rPr>
          <w:rFonts w:ascii="Times New Roman" w:hAnsi="Times New Roman"/>
          <w:b w:val="0"/>
          <w:i w:val="0"/>
          <w:color w:val="000000"/>
          <w:sz w:val="22"/>
        </w:rPr>
        <w:t>Desplegar comercialmente la arquitectura bancaria en dos fases: Fase 1 (Demográfico 4A + TF-IDF 3A) para clientes en onboarding, y Fase 2 (Slope One 1A, Ponderación ITF 2B y kNN 4B) a partir de los 90 días o 15 transacciones.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Decaimiento Temporal Dinámico: </w:t>
      </w:r>
      <w:r>
        <w:rPr>
          <w:rFonts w:ascii="Times New Roman" w:hAnsi="Times New Roman"/>
          <w:b w:val="0"/>
          <w:i w:val="0"/>
          <w:color w:val="000000"/>
          <w:sz w:val="22"/>
        </w:rPr>
        <w:t>Incorporar factores de decaimiento temporal (e^{-λ·t}) en el recálculo matricial periódico de Slope One para atenuar operaciones antiguas y priorizar hábitos financieros recientes.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Política Escalonada de Riesgo: </w:t>
      </w:r>
      <w:r>
        <w:rPr>
          <w:rFonts w:ascii="Times New Roman" w:hAnsi="Times New Roman"/>
          <w:b w:val="0"/>
          <w:i w:val="0"/>
          <w:color w:val="000000"/>
          <w:sz w:val="22"/>
        </w:rPr>
        <w:t>Implementar una política escalonada de riesgo (Risk Tiering): Tramo Verde (≤ 30%, preaprobación con mora 6.57%), Tramo Amarillo (30%-50%, condicionado a mayor plazo) y Tramo Rojo (&gt; 50%, denegación automática).</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Auditoría de Fugas de Información: </w:t>
      </w:r>
      <w:r>
        <w:rPr>
          <w:rFonts w:ascii="Times New Roman" w:hAnsi="Times New Roman"/>
          <w:b w:val="0"/>
          <w:i w:val="0"/>
          <w:color w:val="000000"/>
          <w:sz w:val="22"/>
        </w:rPr>
        <w:t>Establecer auditorías periódicas de fuga de información (Data Leakage) en el modelo kNN usuario a usuario para garantizar que las variables de entrada excluyan débitos del propio crédito evaluado.</w:t>
      </w:r>
    </w:p>
    <w:p>
      <w:pPr>
        <w:keepNext/>
        <w:spacing w:before="240" w:after="80"/>
        <w:jc w:val="left"/>
      </w:pPr>
      <w:r>
        <w:rPr>
          <w:rFonts w:ascii="Times New Roman" w:hAnsi="Times New Roman"/>
          <w:b/>
          <w:i w:val="0"/>
          <w:color w:val="000000"/>
          <w:sz w:val="25"/>
        </w:rPr>
        <w:t>V. BIBLIOGRAFÍA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 </w:t>
      </w:r>
      <w:r>
        <w:rPr>
          <w:rFonts w:ascii="Times New Roman" w:hAnsi="Times New Roman"/>
          <w:b w:val="0"/>
          <w:i w:val="0"/>
          <w:color w:val="000000"/>
          <w:sz w:val="22"/>
        </w:rPr>
        <w:t>D. Lemire and A. Maclachlan, 'Slope One Predictors for Collaborative Filtering: Simple and Efficient and Yet Accurately Differentiating Between Users and Items,' in Proceedings of the 2005 SIAM International Conference on Data Mining (SDM), Newport Beach, CA, 2005, pp. 471–475.</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[2] </w:t>
      </w:r>
      <w:r>
        <w:rPr>
          <w:rFonts w:ascii="Times New Roman" w:hAnsi="Times New Roman"/>
          <w:b w:val="0"/>
          <w:i w:val="0"/>
          <w:color w:val="000000"/>
          <w:sz w:val="22"/>
        </w:rPr>
        <w:t>G. Adomavicius and A. Tuzhilin, 'Toward the Next Generation of Recommender Systems: A Survey of the State-of-the-Art and Possible Extensions,' IEEE Transactions on Knowledge and Data Engineering, vol. 17, no. 6, pp. 734–749, Jun. 2005.</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[3] </w:t>
      </w:r>
      <w:r>
        <w:rPr>
          <w:rFonts w:ascii="Times New Roman" w:hAnsi="Times New Roman"/>
          <w:b w:val="0"/>
          <w:i w:val="0"/>
          <w:color w:val="000000"/>
          <w:sz w:val="22"/>
        </w:rPr>
        <w:t>P. Resnick, N. Iacovou, M. Suchak, P. Bergstrom, and J. Riedl, 'GroupLens: An Open Architecture for Collaborative Filtering of Netnews,' in Proceedings of the 1994 ACM Conference on Computer Supported Cooperative Work (CSCW), Chapel Hill, NC, 1994, pp. 175–186.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[4] </w:t>
      </w:r>
      <w:r>
        <w:rPr>
          <w:rFonts w:ascii="Times New Roman" w:hAnsi="Times New Roman"/>
          <w:b w:val="0"/>
          <w:i w:val="0"/>
          <w:color w:val="000000"/>
          <w:sz w:val="22"/>
        </w:rPr>
        <w:t>B. Sarwar, G. Karypis, J. Konstan, and J. Riedl, 'Item-based collaborative filtering recommendation algorithms,' in Proceedings of the 10th International Conference on World Wide Web (WWW), Hong Kong, 2001, pp. 285–295.</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[5] </w:t>
      </w:r>
      <w:r>
        <w:rPr>
          <w:rFonts w:ascii="Times New Roman" w:hAnsi="Times New Roman"/>
          <w:b w:val="0"/>
          <w:i w:val="0"/>
          <w:color w:val="000000"/>
          <w:sz w:val="22"/>
        </w:rPr>
        <w:t>E. Rich, 'User modeling via stereotypes,' Cognitive Science, vol. 3, no. 4, pp. 329–354, 1979.</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[6] </w:t>
      </w:r>
      <w:r>
        <w:rPr>
          <w:rFonts w:ascii="Times New Roman" w:hAnsi="Times New Roman"/>
          <w:b w:val="0"/>
          <w:i w:val="0"/>
          <w:color w:val="000000"/>
          <w:sz w:val="22"/>
        </w:rPr>
        <w:t>G. Salton and C. Buckley, 'Term-weighting approaches in automatic text retrieval,' Information Processing &amp; Management, vol. 24, no. 5, pp. 513–523, 1988.</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[7] </w:t>
      </w:r>
      <w:r>
        <w:rPr>
          <w:rFonts w:ascii="Times New Roman" w:hAnsi="Times New Roman"/>
          <w:b w:val="0"/>
          <w:i w:val="0"/>
          <w:color w:val="000000"/>
          <w:sz w:val="22"/>
        </w:rPr>
        <w:t>R. Kimball and M. Ross, The Data Warehouse Toolkit: The Definitive Guide to Dimensional Modeling, 3rd ed. Indianapolis, IN: John Wiley &amp; Sons, 2013.</w:t>
      </w:r>
    </w:p>
    <w:p>
      <w:pPr>
        <w:keepNext/>
        <w:spacing w:before="240" w:after="80"/>
        <w:jc w:val="left"/>
      </w:pPr>
      <w:r>
        <w:rPr>
          <w:rFonts w:ascii="Times New Roman" w:hAnsi="Times New Roman"/>
          <w:b/>
          <w:i w:val="0"/>
          <w:color w:val="000000"/>
          <w:sz w:val="25"/>
        </w:rPr>
        <w:t>VI. ANEXOS</w:t>
      </w:r>
    </w:p>
    <w:p>
      <w:pPr>
        <w:keepNext/>
        <w:spacing w:before="180" w:after="60"/>
        <w:jc w:val="left"/>
      </w:pPr>
      <w:r>
        <w:rPr>
          <w:rFonts w:ascii="Times New Roman" w:hAnsi="Times New Roman"/>
          <w:b/>
          <w:i w:val="0"/>
          <w:color w:val="000000"/>
          <w:sz w:val="23"/>
        </w:rPr>
        <w:t>Anexo A. Diagrama de Flujo del Ciclo Analítico y Motores de Recomendación</w:t>
      </w:r>
    </w:p>
    <w:p>
      <w:pPr>
        <w:keepNext/>
        <w:spacing w:before="200" w:after="60"/>
        <w:jc w:val="center"/>
      </w:pPr>
      <w:r>
        <w:drawing>
          <wp:inline xmlns:a="http://schemas.openxmlformats.org/drawingml/2006/main" xmlns:pic="http://schemas.openxmlformats.org/drawingml/2006/picture">
            <wp:extent cx="4937760" cy="3403237"/>
            <wp:docPr id="15" name="Picture 15"/>
            <wp:cNvGraphicFramePr>
              <a:graphicFrameLocks noChangeAspect="1"/>
            </wp:cNvGraphicFramePr>
            <a:graphic>
              <a:graphicData uri="http://schemas.openxmlformats.org/drawingml/2006/picture">
                <pic:pic>
                  <pic:nvPicPr>
                    <pic:cNvPr id="0" name="fig_anexo_a_diagrama_flujo.png"/>
                    <pic:cNvPicPr/>
                  </pic:nvPicPr>
                  <pic:blipFill>
                    <a:blip r:embed="rId25"/>
                    <a:stretch>
                      <a:fillRect/>
                    </a:stretch>
                  </pic:blipFill>
                  <pic:spPr>
                    <a:xfrm>
                      <a:off x="0" y="0"/>
                      <a:ext cx="4937760" cy="34032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15:</w:t>
      </w:r>
      <w:r>
        <w:rPr>
          <w:rFonts w:ascii="Times New Roman" w:hAnsi="Times New Roman"/>
          <w:sz w:val="20"/>
        </w:rPr>
        <w:t xml:space="preserve"> Diagrama de Flujo de la Arquitectura Analítica de Sistemas de Recomendación Bancarios.</w:t>
      </w:r>
    </w:p>
    <w:p>
      <w:pPr>
        <w:keepNext/>
        <w:spacing w:before="180" w:after="60"/>
        <w:jc w:val="left"/>
      </w:pPr>
      <w:r>
        <w:rPr>
          <w:rFonts w:ascii="Times New Roman" w:hAnsi="Times New Roman"/>
          <w:b/>
          <w:i w:val="0"/>
          <w:color w:val="000000"/>
          <w:sz w:val="23"/>
        </w:rPr>
        <w:t>Anexo B. Representación Gráfica de la Matriz de Asignación y Viabilidad Técnica</w:t>
      </w:r>
    </w:p>
    <w:p>
      <w:pPr>
        <w:keepNext/>
        <w:spacing w:before="200" w:after="60"/>
        <w:jc w:val="center"/>
      </w:pPr>
      <w:r>
        <w:drawing>
          <wp:inline xmlns:a="http://schemas.openxmlformats.org/drawingml/2006/main" xmlns:pic="http://schemas.openxmlformats.org/drawingml/2006/picture">
            <wp:extent cx="4937760" cy="2907237"/>
            <wp:docPr id="16" name="Picture 16"/>
            <wp:cNvGraphicFramePr>
              <a:graphicFrameLocks noChangeAspect="1"/>
            </wp:cNvGraphicFramePr>
            <a:graphic>
              <a:graphicData uri="http://schemas.openxmlformats.org/drawingml/2006/picture">
                <pic:pic>
                  <pic:nvPicPr>
                    <pic:cNvPr id="0" name="fig_anexo_b_matriz_grafica.png"/>
                    <pic:cNvPicPr/>
                  </pic:nvPicPr>
                  <pic:blipFill>
                    <a:blip r:embed="rId26"/>
                    <a:stretch>
                      <a:fillRect/>
                    </a:stretch>
                  </pic:blipFill>
                  <pic:spPr>
                    <a:xfrm>
                      <a:off x="0" y="0"/>
                      <a:ext cx="4937760" cy="29072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16:</w:t>
      </w:r>
      <w:r>
        <w:rPr>
          <w:rFonts w:ascii="Times New Roman" w:hAnsi="Times New Roman"/>
          <w:sz w:val="20"/>
        </w:rPr>
        <w:t xml:space="preserve"> Representación Gráfica de la Matriz de Asignación y Viabilidad Técnica de los Algoritmos sobre los Cuatro DataFrames.</w:t>
      </w:r>
    </w:p>
    <w:p>
      <w:pPr>
        <w:keepNext/>
        <w:spacing w:before="180" w:after="60"/>
        <w:jc w:val="left"/>
      </w:pPr>
      <w:r>
        <w:rPr>
          <w:rFonts w:ascii="Times New Roman" w:hAnsi="Times New Roman"/>
          <w:b/>
          <w:i w:val="0"/>
          <w:color w:val="000000"/>
          <w:sz w:val="23"/>
        </w:rPr>
        <w:t>Anexo C. Programas Desarrollados y Artefactos de Salida</w:t>
      </w:r>
    </w:p>
    <w:p>
      <w:pPr>
        <w:keepNext/>
        <w:spacing w:before="200" w:after="80"/>
        <w:jc w:val="center"/>
      </w:pPr>
      <w:r>
        <w:rPr>
          <w:rFonts w:ascii="Times New Roman" w:hAnsi="Times New Roman"/>
          <w:b/>
          <w:i w:val="0"/>
          <w:color w:val="000000"/>
          <w:sz w:val="21"/>
        </w:rPr>
        <w:t>Tabla 18:</w:t>
      </w:r>
      <w:r>
        <w:rPr>
          <w:rFonts w:ascii="Times New Roman" w:hAnsi="Times New Roman"/>
          <w:sz w:val="21"/>
        </w:rPr>
        <w:t xml:space="preserve"> Programas Analíticos Desarrollados en la Práctica y Archivos que Generan.</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933"/>
        <w:gridCol w:w="2933"/>
        <w:gridCol w:w="2933"/>
      </w:tblGrid>
      <w:tr>
        <w:trPr>
          <w:tblHeader/>
          <w:cantSplit/>
        </w:trPr>
        <w:tc>
          <w:tcPr>
            <w:tcW w:type="dxa" w:w="3024"/>
            <w:vAlign w:val="center"/>
            <w:tcBorders>
              <w:bottom w:val="single" w:sz="6" w:space="0" w:color="000000"/>
            </w:tcBorders>
          </w:tcPr>
          <w:p>
            <w:pPr>
              <w:spacing w:before="0" w:after="0" w:line="252" w:lineRule="auto"/>
              <w:jc w:val="center"/>
            </w:pPr>
            <w:r>
              <w:rPr>
                <w:rFonts w:ascii="Times New Roman" w:hAnsi="Times New Roman"/>
                <w:b/>
                <w:i w:val="0"/>
                <w:color w:val="000000"/>
                <w:sz w:val="18"/>
              </w:rPr>
              <w:t>Archivo de Código / Script</w:t>
            </w:r>
          </w:p>
        </w:tc>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Sistema / Módulo que Implementa</w:t>
            </w:r>
          </w:p>
        </w:tc>
        <w:tc>
          <w:tcPr>
            <w:tcW w:type="dxa" w:w="2606"/>
            <w:vAlign w:val="center"/>
            <w:tcBorders>
              <w:bottom w:val="single" w:sz="6" w:space="0" w:color="000000"/>
            </w:tcBorders>
          </w:tcPr>
          <w:p>
            <w:pPr>
              <w:spacing w:before="0" w:after="0" w:line="252" w:lineRule="auto"/>
              <w:jc w:val="center"/>
            </w:pPr>
            <w:r>
              <w:rPr>
                <w:rFonts w:ascii="Times New Roman" w:hAnsi="Times New Roman"/>
                <w:b/>
                <w:i w:val="0"/>
                <w:color w:val="000000"/>
                <w:sz w:val="18"/>
              </w:rPr>
              <w:t>Salida Analítica Generada</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00_generar_4_dataframes.py</w:t>
            </w:r>
          </w:p>
        </w:tc>
        <w:tc>
          <w:tcPr>
            <w:tcW w:type="dxa" w:w="3168"/>
            <w:vAlign w:val="center"/>
          </w:tcPr>
          <w:p>
            <w:pPr>
              <w:spacing w:before="0" w:after="0" w:line="252" w:lineRule="auto"/>
              <w:jc w:val="left"/>
            </w:pPr>
            <w:r>
              <w:rPr>
                <w:rFonts w:ascii="Times New Roman" w:hAnsi="Times New Roman"/>
                <w:b w:val="0"/>
                <w:i w:val="0"/>
                <w:color w:val="000000"/>
                <w:sz w:val="18"/>
              </w:rPr>
              <w:t>ETL Dimensional y Extracción desde Kimball DW</w:t>
            </w:r>
          </w:p>
        </w:tc>
        <w:tc>
          <w:tcPr>
            <w:tcW w:type="dxa" w:w="2606"/>
            <w:vAlign w:val="center"/>
          </w:tcPr>
          <w:p>
            <w:pPr>
              <w:spacing w:before="0" w:after="0" w:line="252" w:lineRule="auto"/>
              <w:jc w:val="left"/>
            </w:pPr>
            <w:r>
              <w:rPr>
                <w:rFonts w:ascii="Times New Roman" w:hAnsi="Times New Roman"/>
                <w:b w:val="0"/>
                <w:i w:val="0"/>
                <w:color w:val="000000"/>
                <w:sz w:val="18"/>
              </w:rPr>
              <w:t>4 DataFrames canónicos limpios (.csv.gz) con auditoría de claves.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04_calc_slope_one_matriz.py</w:t>
            </w:r>
          </w:p>
        </w:tc>
        <w:tc>
          <w:tcPr>
            <w:tcW w:type="dxa" w:w="3168"/>
            <w:vAlign w:val="center"/>
          </w:tcPr>
          <w:p>
            <w:pPr>
              <w:spacing w:before="0" w:after="0" w:line="252" w:lineRule="auto"/>
              <w:jc w:val="left"/>
            </w:pPr>
            <w:r>
              <w:rPr>
                <w:rFonts w:ascii="Times New Roman" w:hAnsi="Times New Roman"/>
                <w:b w:val="0"/>
                <w:i w:val="0"/>
                <w:color w:val="000000"/>
                <w:sz w:val="18"/>
              </w:rPr>
              <w:t>Cálculo Canónico de Desviaciones y Soportes (Punto 5)</w:t>
            </w:r>
          </w:p>
        </w:tc>
        <w:tc>
          <w:tcPr>
            <w:tcW w:type="dxa" w:w="2606"/>
            <w:vAlign w:val="center"/>
          </w:tcPr>
          <w:p>
            <w:pPr>
              <w:spacing w:before="0" w:after="0" w:line="252" w:lineRule="auto"/>
              <w:jc w:val="left"/>
            </w:pPr>
            <w:r>
              <w:rPr>
                <w:rFonts w:ascii="Times New Roman" w:hAnsi="Times New Roman"/>
                <w:b w:val="0"/>
                <w:i w:val="0"/>
                <w:color w:val="000000"/>
                <w:sz w:val="18"/>
              </w:rPr>
              <w:t>Matriz 5 × 5 de desviaciones b(j, i) y trazabilidad Clientes #2 y #45.</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05_rec_itf_ordenes.py</w:t>
            </w:r>
          </w:p>
        </w:tc>
        <w:tc>
          <w:tcPr>
            <w:tcW w:type="dxa" w:w="3168"/>
            <w:vAlign w:val="center"/>
          </w:tcPr>
          <w:p>
            <w:pPr>
              <w:spacing w:before="0" w:after="0" w:line="252" w:lineRule="auto"/>
              <w:jc w:val="left"/>
            </w:pPr>
            <w:r>
              <w:rPr>
                <w:rFonts w:ascii="Times New Roman" w:hAnsi="Times New Roman"/>
                <w:b w:val="0"/>
                <w:i w:val="0"/>
                <w:color w:val="000000"/>
                <w:sz w:val="18"/>
              </w:rPr>
              <w:t>Recomendador de Órdenes y Ponderación ITF (Puntos 6 y 7)</w:t>
            </w:r>
          </w:p>
        </w:tc>
        <w:tc>
          <w:tcPr>
            <w:tcW w:type="dxa" w:w="2606"/>
            <w:vAlign w:val="center"/>
          </w:tcPr>
          <w:p>
            <w:pPr>
              <w:spacing w:before="0" w:after="0" w:line="252" w:lineRule="auto"/>
              <w:jc w:val="left"/>
            </w:pPr>
            <w:r>
              <w:rPr>
                <w:rFonts w:ascii="Times New Roman" w:hAnsi="Times New Roman"/>
                <w:b w:val="0"/>
                <w:i w:val="0"/>
                <w:color w:val="000000"/>
                <w:sz w:val="18"/>
              </w:rPr>
              <w:t>Factores ITF de 5 categorías, Coseno Binario 5 × 5 y Pearson 5 × 5.</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06_calc_pearson_diferenciado.py</w:t>
            </w:r>
          </w:p>
        </w:tc>
        <w:tc>
          <w:tcPr>
            <w:tcW w:type="dxa" w:w="3168"/>
            <w:vAlign w:val="center"/>
          </w:tcPr>
          <w:p>
            <w:pPr>
              <w:spacing w:before="0" w:after="0" w:line="252" w:lineRule="auto"/>
              <w:jc w:val="left"/>
            </w:pPr>
            <w:r>
              <w:rPr>
                <w:rFonts w:ascii="Times New Roman" w:hAnsi="Times New Roman"/>
                <w:b w:val="0"/>
                <w:i w:val="0"/>
                <w:color w:val="000000"/>
                <w:sz w:val="18"/>
              </w:rPr>
              <w:t>Correlación Temporal Diferenciada (Punto 6)</w:t>
            </w:r>
          </w:p>
        </w:tc>
        <w:tc>
          <w:tcPr>
            <w:tcW w:type="dxa" w:w="2606"/>
            <w:vAlign w:val="center"/>
          </w:tcPr>
          <w:p>
            <w:pPr>
              <w:spacing w:before="0" w:after="0" w:line="252" w:lineRule="auto"/>
              <w:jc w:val="left"/>
            </w:pPr>
            <w:r>
              <w:rPr>
                <w:rFonts w:ascii="Times New Roman" w:hAnsi="Times New Roman"/>
                <w:b w:val="0"/>
                <w:i w:val="0"/>
                <w:color w:val="000000"/>
                <w:sz w:val="18"/>
              </w:rPr>
              <w:t>Matriz de Pearson sobre flujos mensuales estacionarios (Δx_t, 71 meses).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07_calc_prestamos_coseno_utilidad.py</w:t>
            </w:r>
          </w:p>
        </w:tc>
        <w:tc>
          <w:tcPr>
            <w:tcW w:type="dxa" w:w="3168"/>
            <w:vAlign w:val="center"/>
          </w:tcPr>
          <w:p>
            <w:pPr>
              <w:spacing w:before="0" w:after="0" w:line="252" w:lineRule="auto"/>
              <w:jc w:val="left"/>
            </w:pPr>
            <w:r>
              <w:rPr>
                <w:rFonts w:ascii="Times New Roman" w:hAnsi="Times New Roman"/>
                <w:b w:val="0"/>
                <w:i w:val="0"/>
                <w:color w:val="000000"/>
                <w:sz w:val="18"/>
              </w:rPr>
              <w:t>Modelos de Cartera, Coseno Z-Score y Utilidad (Puntos 6 y 8)</w:t>
            </w:r>
          </w:p>
        </w:tc>
        <w:tc>
          <w:tcPr>
            <w:tcW w:type="dxa" w:w="2606"/>
            <w:vAlign w:val="center"/>
          </w:tcPr>
          <w:p>
            <w:pPr>
              <w:spacing w:before="0" w:after="0" w:line="252" w:lineRule="auto"/>
              <w:jc w:val="left"/>
            </w:pPr>
            <w:r>
              <w:rPr>
                <w:rFonts w:ascii="Times New Roman" w:hAnsi="Times New Roman"/>
                <w:b w:val="0"/>
                <w:i w:val="0"/>
                <w:color w:val="000000"/>
                <w:sz w:val="18"/>
              </w:rPr>
              <w:t>Coseno de plazos, análisis de mora por tramo ≤30% y tests Chi²/Fisher.</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14_eval_5fold_slope_one.py</w:t>
            </w:r>
          </w:p>
        </w:tc>
        <w:tc>
          <w:tcPr>
            <w:tcW w:type="dxa" w:w="3168"/>
            <w:vAlign w:val="center"/>
          </w:tcPr>
          <w:p>
            <w:pPr>
              <w:spacing w:before="0" w:after="0" w:line="252" w:lineRule="auto"/>
              <w:jc w:val="left"/>
            </w:pPr>
            <w:r>
              <w:rPr>
                <w:rFonts w:ascii="Times New Roman" w:hAnsi="Times New Roman"/>
                <w:b w:val="0"/>
                <w:i w:val="0"/>
                <w:color w:val="000000"/>
                <w:sz w:val="18"/>
              </w:rPr>
              <w:t>Validación Cruzada 5-Fold de Slope One (Punto 5)</w:t>
            </w:r>
          </w:p>
        </w:tc>
        <w:tc>
          <w:tcPr>
            <w:tcW w:type="dxa" w:w="2606"/>
            <w:vAlign w:val="center"/>
          </w:tcPr>
          <w:p>
            <w:pPr>
              <w:spacing w:before="0" w:after="0" w:line="252" w:lineRule="auto"/>
              <w:jc w:val="left"/>
            </w:pPr>
            <w:r>
              <w:rPr>
                <w:rFonts w:ascii="Times New Roman" w:hAnsi="Times New Roman"/>
                <w:b w:val="0"/>
                <w:i w:val="0"/>
                <w:color w:val="000000"/>
                <w:sz w:val="18"/>
              </w:rPr>
              <w:t>Métricas de error: MAE = 0.2593 ± 0.0052 y RMSE sobre 5 pliegues.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15_eval_topn_ranking.py</w:t>
            </w:r>
          </w:p>
        </w:tc>
        <w:tc>
          <w:tcPr>
            <w:tcW w:type="dxa" w:w="3168"/>
            <w:vAlign w:val="center"/>
          </w:tcPr>
          <w:p>
            <w:pPr>
              <w:spacing w:before="0" w:after="0" w:line="252" w:lineRule="auto"/>
              <w:jc w:val="left"/>
            </w:pPr>
            <w:r>
              <w:rPr>
                <w:rFonts w:ascii="Times New Roman" w:hAnsi="Times New Roman"/>
                <w:b w:val="0"/>
                <w:i w:val="0"/>
                <w:color w:val="000000"/>
                <w:sz w:val="18"/>
              </w:rPr>
              <w:t>Evaluación de Ranking Top-N Leave-One-Out (Punto 5)</w:t>
            </w:r>
          </w:p>
        </w:tc>
        <w:tc>
          <w:tcPr>
            <w:tcW w:type="dxa" w:w="2606"/>
            <w:vAlign w:val="center"/>
          </w:tcPr>
          <w:p>
            <w:pPr>
              <w:spacing w:before="0" w:after="0" w:line="252" w:lineRule="auto"/>
              <w:jc w:val="left"/>
            </w:pPr>
            <w:r>
              <w:rPr>
                <w:rFonts w:ascii="Times New Roman" w:hAnsi="Times New Roman"/>
                <w:b w:val="0"/>
                <w:i w:val="0"/>
                <w:color w:val="000000"/>
                <w:sz w:val="18"/>
              </w:rPr>
              <w:t>Curvas Hit-Rate@k (HR@1 = 91.79%) y MRR = 0.9469.</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16_eval_lopo_tfidf.py</w:t>
            </w:r>
          </w:p>
        </w:tc>
        <w:tc>
          <w:tcPr>
            <w:tcW w:type="dxa" w:w="3168"/>
            <w:vAlign w:val="center"/>
          </w:tcPr>
          <w:p>
            <w:pPr>
              <w:spacing w:before="0" w:after="0" w:line="252" w:lineRule="auto"/>
              <w:jc w:val="left"/>
            </w:pPr>
            <w:r>
              <w:rPr>
                <w:rFonts w:ascii="Times New Roman" w:hAnsi="Times New Roman"/>
                <w:b w:val="0"/>
                <w:i w:val="0"/>
                <w:color w:val="000000"/>
                <w:sz w:val="18"/>
              </w:rPr>
              <w:t>Validación Leave-One-Product-Out de TF-IDF (Punto 8)</w:t>
            </w:r>
          </w:p>
        </w:tc>
        <w:tc>
          <w:tcPr>
            <w:tcW w:type="dxa" w:w="2606"/>
            <w:vAlign w:val="center"/>
          </w:tcPr>
          <w:p>
            <w:pPr>
              <w:spacing w:before="0" w:after="0" w:line="252" w:lineRule="auto"/>
              <w:jc w:val="left"/>
            </w:pPr>
            <w:r>
              <w:rPr>
                <w:rFonts w:ascii="Times New Roman" w:hAnsi="Times New Roman"/>
                <w:b w:val="0"/>
                <w:i w:val="0"/>
                <w:color w:val="000000"/>
                <w:sz w:val="18"/>
              </w:rPr>
              <w:t>Matriz de similitud léxica 8 × 8 y 100% de acierto Top-2 en LOPO.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17_test_chi2_estereotipos_riesgo.py</w:t>
            </w:r>
          </w:p>
        </w:tc>
        <w:tc>
          <w:tcPr>
            <w:tcW w:type="dxa" w:w="3168"/>
            <w:vAlign w:val="center"/>
          </w:tcPr>
          <w:p>
            <w:pPr>
              <w:spacing w:before="0" w:after="0" w:line="252" w:lineRule="auto"/>
              <w:jc w:val="left"/>
            </w:pPr>
            <w:r>
              <w:rPr>
                <w:rFonts w:ascii="Times New Roman" w:hAnsi="Times New Roman"/>
                <w:b w:val="0"/>
                <w:i w:val="0"/>
                <w:color w:val="000000"/>
                <w:sz w:val="18"/>
              </w:rPr>
              <w:t>Pruebas de Hipótesis Chi² y Test de Fisher (Puntos 6 y 8)</w:t>
            </w:r>
          </w:p>
        </w:tc>
        <w:tc>
          <w:tcPr>
            <w:tcW w:type="dxa" w:w="2606"/>
            <w:vAlign w:val="center"/>
          </w:tcPr>
          <w:p>
            <w:pPr>
              <w:spacing w:before="0" w:after="0" w:line="252" w:lineRule="auto"/>
              <w:jc w:val="left"/>
            </w:pPr>
            <w:r>
              <w:rPr>
                <w:rFonts w:ascii="Times New Roman" w:hAnsi="Times New Roman"/>
                <w:b w:val="0"/>
                <w:i w:val="0"/>
                <w:color w:val="000000"/>
                <w:sz w:val="18"/>
              </w:rPr>
              <w:t>Significancia de mora: χ² = 10.62 (p = 0.0011) y estereotipos: χ² = 63.78.</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18_calc_coseno_ajustado.py</w:t>
            </w:r>
          </w:p>
        </w:tc>
        <w:tc>
          <w:tcPr>
            <w:tcW w:type="dxa" w:w="3168"/>
            <w:vAlign w:val="center"/>
          </w:tcPr>
          <w:p>
            <w:pPr>
              <w:spacing w:before="0" w:after="0" w:line="252" w:lineRule="auto"/>
              <w:jc w:val="left"/>
            </w:pPr>
            <w:r>
              <w:rPr>
                <w:rFonts w:ascii="Times New Roman" w:hAnsi="Times New Roman"/>
                <w:b w:val="0"/>
                <w:i w:val="0"/>
                <w:color w:val="000000"/>
                <w:sz w:val="18"/>
              </w:rPr>
              <w:t>Coseno Ajustado Centrado en Medias de Usuario (Punto 7)</w:t>
            </w:r>
          </w:p>
        </w:tc>
        <w:tc>
          <w:tcPr>
            <w:tcW w:type="dxa" w:w="2606"/>
            <w:vAlign w:val="center"/>
          </w:tcPr>
          <w:p>
            <w:pPr>
              <w:spacing w:before="0" w:after="0" w:line="252" w:lineRule="auto"/>
              <w:jc w:val="left"/>
            </w:pPr>
            <w:r>
              <w:rPr>
                <w:rFonts w:ascii="Times New Roman" w:hAnsi="Times New Roman"/>
                <w:b w:val="0"/>
                <w:i w:val="0"/>
                <w:color w:val="000000"/>
                <w:sz w:val="18"/>
              </w:rPr>
              <w:t>Matriz 5 × 5 de similitud angular centrada sin compresión.</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19_calc_pearson_item_item.py</w:t>
            </w:r>
          </w:p>
        </w:tc>
        <w:tc>
          <w:tcPr>
            <w:tcW w:type="dxa" w:w="3168"/>
            <w:vAlign w:val="center"/>
          </w:tcPr>
          <w:p>
            <w:pPr>
              <w:spacing w:before="0" w:after="0" w:line="252" w:lineRule="auto"/>
              <w:jc w:val="left"/>
            </w:pPr>
            <w:r>
              <w:rPr>
                <w:rFonts w:ascii="Times New Roman" w:hAnsi="Times New Roman"/>
                <w:b w:val="0"/>
                <w:i w:val="0"/>
                <w:color w:val="000000"/>
                <w:sz w:val="18"/>
              </w:rPr>
              <w:t>Cálculo de Pearson Ítem-Ítem sobre Ratings (Punto 7)</w:t>
            </w:r>
          </w:p>
        </w:tc>
        <w:tc>
          <w:tcPr>
            <w:tcW w:type="dxa" w:w="2606"/>
            <w:vAlign w:val="center"/>
          </w:tcPr>
          <w:p>
            <w:pPr>
              <w:spacing w:before="0" w:after="0" w:line="252" w:lineRule="auto"/>
              <w:jc w:val="left"/>
            </w:pPr>
            <w:r>
              <w:rPr>
                <w:rFonts w:ascii="Times New Roman" w:hAnsi="Times New Roman"/>
                <w:b w:val="0"/>
                <w:i w:val="0"/>
                <w:color w:val="000000"/>
                <w:sz w:val="18"/>
              </w:rPr>
              <w:t>Matriz 5 × 5 de correlación lineal y cálculo pedagógico paso a paso.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generate_14_figures_from_04.py</w:t>
            </w:r>
          </w:p>
        </w:tc>
        <w:tc>
          <w:tcPr>
            <w:tcW w:type="dxa" w:w="3168"/>
            <w:vAlign w:val="center"/>
          </w:tcPr>
          <w:p>
            <w:pPr>
              <w:spacing w:before="0" w:after="0" w:line="252" w:lineRule="auto"/>
              <w:jc w:val="left"/>
            </w:pPr>
            <w:r>
              <w:rPr>
                <w:rFonts w:ascii="Times New Roman" w:hAnsi="Times New Roman"/>
                <w:b w:val="0"/>
                <w:i w:val="0"/>
                <w:color w:val="000000"/>
                <w:sz w:val="18"/>
              </w:rPr>
              <w:t>Generador de Figuras Individuales en Alta Definición</w:t>
            </w:r>
          </w:p>
        </w:tc>
        <w:tc>
          <w:tcPr>
            <w:tcW w:type="dxa" w:w="2606"/>
            <w:vAlign w:val="center"/>
          </w:tcPr>
          <w:p>
            <w:pPr>
              <w:spacing w:before="0" w:after="0" w:line="252" w:lineRule="auto"/>
              <w:jc w:val="left"/>
            </w:pPr>
            <w:r>
              <w:rPr>
                <w:rFonts w:ascii="Times New Roman" w:hAnsi="Times New Roman"/>
                <w:b w:val="0"/>
                <w:i w:val="0"/>
                <w:color w:val="000000"/>
                <w:sz w:val="18"/>
              </w:rPr>
              <w:t>12 Figuras individuales a 300 DPI para los cuatro DataFrames analíticos.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generate_figures_13_14.py</w:t>
            </w:r>
          </w:p>
        </w:tc>
        <w:tc>
          <w:tcPr>
            <w:tcW w:type="dxa" w:w="3168"/>
            <w:vAlign w:val="center"/>
          </w:tcPr>
          <w:p>
            <w:pPr>
              <w:spacing w:before="0" w:after="0" w:line="252" w:lineRule="auto"/>
              <w:jc w:val="left"/>
            </w:pPr>
            <w:r>
              <w:rPr>
                <w:rFonts w:ascii="Times New Roman" w:hAnsi="Times New Roman"/>
                <w:b w:val="0"/>
                <w:i w:val="0"/>
                <w:color w:val="000000"/>
                <w:sz w:val="18"/>
              </w:rPr>
              <w:t>Generador de Descarte Empírico y Mapa Estratégico</w:t>
            </w:r>
          </w:p>
        </w:tc>
        <w:tc>
          <w:tcPr>
            <w:tcW w:type="dxa" w:w="2606"/>
            <w:vAlign w:val="center"/>
          </w:tcPr>
          <w:p>
            <w:pPr>
              <w:spacing w:before="0" w:after="0" w:line="252" w:lineRule="auto"/>
              <w:jc w:val="left"/>
            </w:pPr>
            <w:r>
              <w:rPr>
                <w:rFonts w:ascii="Times New Roman" w:hAnsi="Times New Roman"/>
                <w:b w:val="0"/>
                <w:i w:val="0"/>
                <w:color w:val="000000"/>
                <w:sz w:val="18"/>
              </w:rPr>
              <w:t>Figura 13 (Descarte Empírico) y Figura 14 (Lienzo Estratégico).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generate_annex_figures.py</w:t>
            </w:r>
          </w:p>
        </w:tc>
        <w:tc>
          <w:tcPr>
            <w:tcW w:type="dxa" w:w="3168"/>
            <w:vAlign w:val="center"/>
          </w:tcPr>
          <w:p>
            <w:pPr>
              <w:spacing w:before="0" w:after="0" w:line="252" w:lineRule="auto"/>
              <w:jc w:val="left"/>
            </w:pPr>
            <w:r>
              <w:rPr>
                <w:rFonts w:ascii="Times New Roman" w:hAnsi="Times New Roman"/>
                <w:b w:val="0"/>
                <w:i w:val="0"/>
                <w:color w:val="000000"/>
                <w:sz w:val="18"/>
              </w:rPr>
              <w:t>Generador Gráfico de Diagramas de Anexos</w:t>
            </w:r>
          </w:p>
        </w:tc>
        <w:tc>
          <w:tcPr>
            <w:tcW w:type="dxa" w:w="2606"/>
            <w:vAlign w:val="center"/>
          </w:tcPr>
          <w:p>
            <w:pPr>
              <w:spacing w:before="0" w:after="0" w:line="252" w:lineRule="auto"/>
              <w:jc w:val="left"/>
            </w:pPr>
            <w:r>
              <w:rPr>
                <w:rFonts w:ascii="Times New Roman" w:hAnsi="Times New Roman"/>
                <w:b w:val="0"/>
                <w:i w:val="0"/>
                <w:color w:val="000000"/>
                <w:sz w:val="18"/>
              </w:rPr>
              <w:t>Figura 15 (Diagrama de Flujo) y Figura 16 (Matriz Gráfica 5 × 4).</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build_final_04_word.py</w:t>
            </w:r>
          </w:p>
        </w:tc>
        <w:tc>
          <w:tcPr>
            <w:tcW w:type="dxa" w:w="3168"/>
            <w:vAlign w:val="center"/>
          </w:tcPr>
          <w:p>
            <w:pPr>
              <w:spacing w:before="0" w:after="0" w:line="252" w:lineRule="auto"/>
              <w:jc w:val="left"/>
            </w:pPr>
            <w:r>
              <w:rPr>
                <w:rFonts w:ascii="Times New Roman" w:hAnsi="Times New Roman"/>
                <w:b w:val="0"/>
                <w:i w:val="0"/>
                <w:color w:val="000000"/>
                <w:sz w:val="18"/>
              </w:rPr>
              <w:t>Constructor Maestro del Informe Institucional Word</w:t>
            </w:r>
          </w:p>
        </w:tc>
        <w:tc>
          <w:tcPr>
            <w:tcW w:type="dxa" w:w="2606"/>
            <w:vAlign w:val="center"/>
          </w:tcPr>
          <w:p>
            <w:pPr>
              <w:spacing w:before="0" w:after="0" w:line="252" w:lineRule="auto"/>
              <w:jc w:val="left"/>
            </w:pPr>
            <w:r>
              <w:rPr>
                <w:rFonts w:ascii="Times New Roman" w:hAnsi="Times New Roman"/>
                <w:b w:val="0"/>
                <w:i w:val="0"/>
                <w:color w:val="000000"/>
                <w:sz w:val="18"/>
              </w:rPr>
              <w:t>04_Informe_Sistemas_de_Recomendacion.docx con formato oficial UTA.</w:t>
            </w:r>
          </w:p>
        </w:tc>
      </w:tr>
    </w:tbl>
    <w:p>
      <w:pPr>
        <w:spacing w:before="0" w:after="120"/>
      </w:pPr>
    </w:p>
    <w:p>
      <w:pPr>
        <w:keepNext/>
        <w:spacing w:before="180" w:after="60"/>
        <w:jc w:val="left"/>
      </w:pPr>
      <w:r>
        <w:rPr>
          <w:rFonts w:ascii="Times New Roman" w:hAnsi="Times New Roman"/>
          <w:b/>
          <w:i w:val="0"/>
          <w:color w:val="000000"/>
          <w:sz w:val="23"/>
        </w:rPr>
        <w:t>Anexo D. Resumen Cuantitativo de la Práctica y Glosario Técnico de Recomendadores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DataFrames analizados: </w:t>
      </w:r>
      <w:r>
        <w:rPr>
          <w:rFonts w:ascii="Times New Roman" w:hAnsi="Times New Roman"/>
          <w:b w:val="0"/>
          <w:i w:val="0"/>
          <w:color w:val="000000"/>
          <w:sz w:val="22"/>
        </w:rPr>
        <w:t>df_transacciones (1,056,320 registros), df_ordenes (6,471 registros), df_prestamos (682 registros) y df_cliente_consolidado (5,369 registros).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modelos de recomendación implementados: </w:t>
      </w:r>
      <w:r>
        <w:rPr>
          <w:rFonts w:ascii="Times New Roman" w:hAnsi="Times New Roman"/>
          <w:b w:val="0"/>
          <w:i w:val="0"/>
          <w:color w:val="000000"/>
          <w:sz w:val="22"/>
        </w:rPr>
        <w:t>Evaluados y contrastados a través de los cuatro DataFrames (3 modelos por DataFrame).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Cobertura de 4 familias metodológicas: </w:t>
      </w:r>
      <w:r>
        <w:rPr>
          <w:rFonts w:ascii="Times New Roman" w:hAnsi="Times New Roman"/>
          <w:b w:val="0"/>
          <w:i w:val="0"/>
          <w:color w:val="000000"/>
          <w:sz w:val="22"/>
        </w:rPr>
        <w:t>Las tres familias clásicas (Filtrado Colaborativo, Basado en Contenidos y Demográfico), complementadas con una cuarta categoría transversal de gobernanza: Modelos Basados en el Conocimiento y en la Utilidad Financiera.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 de clientes y productos cubiertos: </w:t>
      </w:r>
      <w:r>
        <w:rPr>
          <w:rFonts w:ascii="Times New Roman" w:hAnsi="Times New Roman"/>
          <w:b w:val="0"/>
          <w:i w:val="0"/>
          <w:color w:val="000000"/>
          <w:sz w:val="22"/>
        </w:rPr>
        <w:t>En la combinación global de la arquitectura en dos fases.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Reducción del error absoluto (MAE) en Slope One: </w:t>
      </w:r>
      <w:r>
        <w:rPr>
          <w:rFonts w:ascii="Times New Roman" w:hAnsi="Times New Roman"/>
          <w:b w:val="0"/>
          <w:i w:val="0"/>
          <w:color w:val="000000"/>
          <w:sz w:val="22"/>
        </w:rPr>
        <w:t>% de reducción frente a la media de usuario en partición 80/20 (MAE = 0.2535 frente a 0.4063) y 36.18% en validación cruzada 5-fold (MAE = 0.2593 ± 0.0052 frente a 0.4063, y 43.70% frente a media global de 0.4606).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Hit-Rate@1 de Slope One: </w:t>
      </w:r>
      <w:r>
        <w:rPr>
          <w:rFonts w:ascii="Times New Roman" w:hAnsi="Times New Roman"/>
          <w:b w:val="0"/>
          <w:i w:val="0"/>
          <w:color w:val="000000"/>
          <w:sz w:val="22"/>
        </w:rPr>
        <w:t>Empate estadístico en ranking Top-N con la popularidad pura (91.79% vs 91.29%, Z = 0.7634, p = 0.4452).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Evidencia transversal de mora en la regla del 30%: </w:t>
      </w:r>
      <w:r>
        <w:rPr>
          <w:rFonts w:ascii="Times New Roman" w:hAnsi="Times New Roman"/>
          <w:b w:val="0"/>
          <w:i w:val="0"/>
          <w:color w:val="000000"/>
          <w:sz w:val="22"/>
        </w:rPr>
        <w:t>Contratos con endeudamiento ≤ 30% registran mora de 6.57%, frente a 16.86% en endeudamiento &gt; 50% (confirmado con χ² = 10.62, p = 0.0011; Fisher p = 0.0007).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Dictamen técnico por DataFrame: </w:t>
      </w:r>
      <w:r>
        <w:rPr>
          <w:rFonts w:ascii="Times New Roman" w:hAnsi="Times New Roman"/>
          <w:b w:val="0"/>
          <w:i w:val="0"/>
          <w:color w:val="000000"/>
          <w:sz w:val="22"/>
        </w:rPr>
        <w:t>Cada DataFrame y punto metodológico cuenta con su dictamen técnico que determina el método óptimo para ese grano operacional.</w:t>
      </w:r>
    </w:p>
    <w:p>
      <w:pPr>
        <w:keepNext/>
        <w:spacing w:before="180" w:after="60"/>
        <w:jc w:val="left"/>
      </w:pPr>
      <w:r>
        <w:rPr>
          <w:rFonts w:ascii="Times New Roman" w:hAnsi="Times New Roman"/>
          <w:b/>
          <w:i w:val="0"/>
          <w:color w:val="000000"/>
          <w:sz w:val="23"/>
        </w:rPr>
        <w:t>Anexo E. Matriz de Gobernanza Ética, Cumplimiento Regulatorio y Mitigación de Sesgos Algorítmicos</w:t>
      </w:r>
    </w:p>
    <w:p>
      <w:pPr>
        <w:keepNext/>
        <w:spacing w:before="200" w:after="80"/>
        <w:jc w:val="center"/>
      </w:pPr>
      <w:r>
        <w:rPr>
          <w:rFonts w:ascii="Times New Roman" w:hAnsi="Times New Roman"/>
          <w:b/>
          <w:i w:val="0"/>
          <w:color w:val="000000"/>
          <w:sz w:val="21"/>
        </w:rPr>
        <w:t>Tabla 19:</w:t>
      </w:r>
      <w:r>
        <w:rPr>
          <w:rFonts w:ascii="Times New Roman" w:hAnsi="Times New Roman"/>
          <w:sz w:val="21"/>
        </w:rPr>
        <w:t xml:space="preserve"> Matriz de Gobernanza Ética y Mitigación de Riesgos en Modelos de Recomendación Bancarios.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200"/>
        <w:gridCol w:w="2200"/>
        <w:gridCol w:w="2200"/>
        <w:gridCol w:w="2200"/>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8"/>
              </w:rPr>
              <w:t>Dimensión de Gobernanza</w:t>
            </w:r>
          </w:p>
        </w:tc>
        <w:tc>
          <w:tcPr>
            <w:tcW w:type="dxa" w:w="2160"/>
            <w:vAlign w:val="center"/>
            <w:tcBorders>
              <w:bottom w:val="single" w:sz="6" w:space="0" w:color="000000"/>
            </w:tcBorders>
          </w:tcPr>
          <w:p>
            <w:pPr>
              <w:spacing w:before="0" w:after="0" w:line="252" w:lineRule="auto"/>
              <w:jc w:val="center"/>
            </w:pPr>
            <w:r>
              <w:rPr>
                <w:rFonts w:ascii="Times New Roman" w:hAnsi="Times New Roman"/>
                <w:b/>
                <w:i w:val="0"/>
                <w:color w:val="000000"/>
                <w:sz w:val="18"/>
              </w:rPr>
              <w:t>Riesgo Algorítmico Identificado</w:t>
            </w:r>
          </w:p>
        </w:tc>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Mecanismo de Mitigación Implementado en la Práctica</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8"/>
              </w:rPr>
              <w:t>Normativa de Referencia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No Discriminación</w:t>
            </w:r>
          </w:p>
        </w:tc>
        <w:tc>
          <w:tcPr>
            <w:tcW w:type="dxa" w:w="2160"/>
            <w:vAlign w:val="center"/>
          </w:tcPr>
          <w:p>
            <w:pPr>
              <w:spacing w:before="0" w:after="0" w:line="252" w:lineRule="auto"/>
              <w:jc w:val="left"/>
            </w:pPr>
            <w:r>
              <w:rPr>
                <w:rFonts w:ascii="Times New Roman" w:hAnsi="Times New Roman"/>
                <w:b w:val="0"/>
                <w:i w:val="0"/>
                <w:color w:val="000000"/>
                <w:sz w:val="18"/>
              </w:rPr>
              <w:t>Sesgo demográfico por edad o distrito en asignación de tasas o créditos.</w:t>
            </w:r>
          </w:p>
        </w:tc>
        <w:tc>
          <w:tcPr>
            <w:tcW w:type="dxa" w:w="3168"/>
            <w:vAlign w:val="center"/>
          </w:tcPr>
          <w:p>
            <w:pPr>
              <w:spacing w:before="0" w:after="0" w:line="252" w:lineRule="auto"/>
              <w:jc w:val="left"/>
            </w:pPr>
            <w:r>
              <w:rPr>
                <w:rFonts w:ascii="Times New Roman" w:hAnsi="Times New Roman"/>
                <w:b w:val="0"/>
                <w:i w:val="0"/>
                <w:color w:val="000000"/>
                <w:sz w:val="18"/>
              </w:rPr>
              <w:t>El modelo 4A se restringe estrictamente a ofertas de bienvenida; la evaluación de solvencia (3C) depende de capacidad objetiva de pago, no del estereotipo.</w:t>
            </w:r>
          </w:p>
        </w:tc>
        <w:tc>
          <w:tcPr>
            <w:tcW w:type="dxa" w:w="1742"/>
            <w:vAlign w:val="center"/>
          </w:tcPr>
          <w:p>
            <w:pPr>
              <w:spacing w:before="0" w:after="0" w:line="252" w:lineRule="auto"/>
              <w:jc w:val="left"/>
            </w:pPr>
            <w:r>
              <w:rPr>
                <w:rFonts w:ascii="Times New Roman" w:hAnsi="Times New Roman"/>
                <w:b w:val="0"/>
                <w:i w:val="0"/>
                <w:color w:val="000000"/>
                <w:sz w:val="18"/>
              </w:rPr>
              <w:t>Equal Credit Opportunity Act (ECOA) / Basilea II</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Transparencia y Explicabilidad</w:t>
            </w:r>
          </w:p>
        </w:tc>
        <w:tc>
          <w:tcPr>
            <w:tcW w:type="dxa" w:w="2160"/>
            <w:vAlign w:val="center"/>
          </w:tcPr>
          <w:p>
            <w:pPr>
              <w:spacing w:before="0" w:after="0" w:line="252" w:lineRule="auto"/>
              <w:jc w:val="left"/>
            </w:pPr>
            <w:r>
              <w:rPr>
                <w:rFonts w:ascii="Times New Roman" w:hAnsi="Times New Roman"/>
                <w:b w:val="0"/>
                <w:i w:val="0"/>
                <w:color w:val="000000"/>
                <w:sz w:val="18"/>
              </w:rPr>
              <w:t>Decisiones opacas en redes o cajas negras que impidan explicar una denegación.</w:t>
            </w:r>
          </w:p>
        </w:tc>
        <w:tc>
          <w:tcPr>
            <w:tcW w:type="dxa" w:w="3168"/>
            <w:vAlign w:val="center"/>
          </w:tcPr>
          <w:p>
            <w:pPr>
              <w:spacing w:before="0" w:after="0" w:line="252" w:lineRule="auto"/>
              <w:jc w:val="left"/>
            </w:pPr>
            <w:r>
              <w:rPr>
                <w:rFonts w:ascii="Times New Roman" w:hAnsi="Times New Roman"/>
                <w:b w:val="0"/>
                <w:i w:val="0"/>
                <w:color w:val="000000"/>
                <w:sz w:val="18"/>
              </w:rPr>
              <w:t>Slope One, Coseno Ajustado y Reglas de Utilidad son algoritmos de caja blanca con trazabilidad matemática auditable paso a paso.</w:t>
            </w:r>
          </w:p>
        </w:tc>
        <w:tc>
          <w:tcPr>
            <w:tcW w:type="dxa" w:w="1742"/>
            <w:vAlign w:val="center"/>
          </w:tcPr>
          <w:p>
            <w:pPr>
              <w:spacing w:before="0" w:after="0" w:line="252" w:lineRule="auto"/>
              <w:jc w:val="left"/>
            </w:pPr>
            <w:r>
              <w:rPr>
                <w:rFonts w:ascii="Times New Roman" w:hAnsi="Times New Roman"/>
                <w:b w:val="0"/>
                <w:i w:val="0"/>
                <w:color w:val="000000"/>
                <w:sz w:val="18"/>
              </w:rPr>
              <w:t>Reglamento General de Protección de Datos (RGPD) Art. 22</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Prevención de Sobreendeudamiento</w:t>
            </w:r>
          </w:p>
        </w:tc>
        <w:tc>
          <w:tcPr>
            <w:tcW w:type="dxa" w:w="2160"/>
            <w:vAlign w:val="center"/>
          </w:tcPr>
          <w:p>
            <w:pPr>
              <w:spacing w:before="0" w:after="0" w:line="252" w:lineRule="auto"/>
              <w:jc w:val="left"/>
            </w:pPr>
            <w:r>
              <w:rPr>
                <w:rFonts w:ascii="Times New Roman" w:hAnsi="Times New Roman"/>
                <w:b w:val="0"/>
                <w:i w:val="0"/>
                <w:color w:val="000000"/>
                <w:sz w:val="18"/>
              </w:rPr>
              <w:t>Recomendación de créditos a clientes vulnerables con alta propensión pero baja liquidez.</w:t>
            </w:r>
          </w:p>
        </w:tc>
        <w:tc>
          <w:tcPr>
            <w:tcW w:type="dxa" w:w="3168"/>
            <w:vAlign w:val="center"/>
          </w:tcPr>
          <w:p>
            <w:pPr>
              <w:spacing w:before="0" w:after="0" w:line="252" w:lineRule="auto"/>
              <w:jc w:val="left"/>
            </w:pPr>
            <w:r>
              <w:rPr>
                <w:rFonts w:ascii="Times New Roman" w:hAnsi="Times New Roman"/>
                <w:b w:val="0"/>
                <w:i w:val="0"/>
                <w:color w:val="000000"/>
                <w:sz w:val="18"/>
              </w:rPr>
              <w:t>Compuerta obligatoria de utilidad (ratio cuota/salario ≤ 30%) y bloqueo histórico del 11.15% por mora en estados B y D.</w:t>
            </w:r>
          </w:p>
        </w:tc>
        <w:tc>
          <w:tcPr>
            <w:tcW w:type="dxa" w:w="1742"/>
            <w:vAlign w:val="center"/>
          </w:tcPr>
          <w:p>
            <w:pPr>
              <w:spacing w:before="0" w:after="0" w:line="252" w:lineRule="auto"/>
              <w:jc w:val="left"/>
            </w:pPr>
            <w:r>
              <w:rPr>
                <w:rFonts w:ascii="Times New Roman" w:hAnsi="Times New Roman"/>
                <w:b w:val="0"/>
                <w:i w:val="0"/>
                <w:color w:val="000000"/>
                <w:sz w:val="18"/>
              </w:rPr>
              <w:t>Directiva Europea de Crédito al Consumo (CCD)</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Integridad y Fuga de Datos</w:t>
            </w:r>
          </w:p>
        </w:tc>
        <w:tc>
          <w:tcPr>
            <w:tcW w:type="dxa" w:w="2160"/>
            <w:vAlign w:val="center"/>
          </w:tcPr>
          <w:p>
            <w:pPr>
              <w:spacing w:before="0" w:after="0" w:line="252" w:lineRule="auto"/>
              <w:jc w:val="left"/>
            </w:pPr>
            <w:r>
              <w:rPr>
                <w:rFonts w:ascii="Times New Roman" w:hAnsi="Times New Roman"/>
                <w:b w:val="0"/>
                <w:i w:val="0"/>
                <w:color w:val="000000"/>
                <w:sz w:val="18"/>
              </w:rPr>
              <w:t>Sobreestimación del poder predictivo por inclusión de cuotas en variables transaccionales.</w:t>
            </w:r>
          </w:p>
        </w:tc>
        <w:tc>
          <w:tcPr>
            <w:tcW w:type="dxa" w:w="3168"/>
            <w:vAlign w:val="center"/>
          </w:tcPr>
          <w:p>
            <w:pPr>
              <w:spacing w:before="0" w:after="0" w:line="252" w:lineRule="auto"/>
              <w:jc w:val="left"/>
            </w:pPr>
            <w:r>
              <w:rPr>
                <w:rFonts w:ascii="Times New Roman" w:hAnsi="Times New Roman"/>
                <w:b w:val="0"/>
                <w:i w:val="0"/>
                <w:color w:val="000000"/>
                <w:sz w:val="18"/>
              </w:rPr>
              <w:t>Protocolo de aislamiento estricto de variables en 4B, excluyendo débitos crediticios del vector de características de entrada.</w:t>
            </w:r>
          </w:p>
        </w:tc>
        <w:tc>
          <w:tcPr>
            <w:tcW w:type="dxa" w:w="1742"/>
            <w:vAlign w:val="center"/>
          </w:tcPr>
          <w:p>
            <w:pPr>
              <w:spacing w:before="0" w:after="0" w:line="252" w:lineRule="auto"/>
              <w:jc w:val="left"/>
            </w:pPr>
            <w:r>
              <w:rPr>
                <w:rFonts w:ascii="Times New Roman" w:hAnsi="Times New Roman"/>
                <w:b w:val="0"/>
                <w:i w:val="0"/>
                <w:color w:val="000000"/>
                <w:sz w:val="18"/>
              </w:rPr>
              <w:t>Estándares ISO/IEC 23894 para Gestión de Riesgos de 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Estabilidad Temporal</w:t>
            </w:r>
          </w:p>
        </w:tc>
        <w:tc>
          <w:tcPr>
            <w:tcW w:type="dxa" w:w="2160"/>
            <w:vAlign w:val="center"/>
          </w:tcPr>
          <w:p>
            <w:pPr>
              <w:spacing w:before="0" w:after="0" w:line="252" w:lineRule="auto"/>
              <w:jc w:val="left"/>
            </w:pPr>
            <w:r>
              <w:rPr>
                <w:rFonts w:ascii="Times New Roman" w:hAnsi="Times New Roman"/>
                <w:b w:val="0"/>
                <w:i w:val="0"/>
                <w:color w:val="000000"/>
                <w:sz w:val="18"/>
              </w:rPr>
              <w:t>Degradación del rendimiento por cambios en la macroeconomía (inflación, desempleo).</w:t>
            </w:r>
          </w:p>
        </w:tc>
        <w:tc>
          <w:tcPr>
            <w:tcW w:type="dxa" w:w="3168"/>
            <w:vAlign w:val="center"/>
          </w:tcPr>
          <w:p>
            <w:pPr>
              <w:spacing w:before="0" w:after="0" w:line="252" w:lineRule="auto"/>
              <w:jc w:val="left"/>
            </w:pPr>
            <w:r>
              <w:rPr>
                <w:rFonts w:ascii="Times New Roman" w:hAnsi="Times New Roman"/>
                <w:b w:val="0"/>
                <w:i w:val="0"/>
                <w:color w:val="000000"/>
                <w:sz w:val="18"/>
              </w:rPr>
              <w:t>Monitoreo semanal de Concept Drift con tests de Kolmogorov-Smirnov y reentrenamiento trimestral de matrices b(j, i).</w:t>
            </w:r>
          </w:p>
        </w:tc>
        <w:tc>
          <w:tcPr>
            <w:tcW w:type="dxa" w:w="1742"/>
            <w:vAlign w:val="center"/>
          </w:tcPr>
          <w:p>
            <w:pPr>
              <w:spacing w:before="0" w:after="0" w:line="252" w:lineRule="auto"/>
              <w:jc w:val="left"/>
            </w:pPr>
            <w:r>
              <w:rPr>
                <w:rFonts w:ascii="Times New Roman" w:hAnsi="Times New Roman"/>
                <w:b w:val="0"/>
                <w:i w:val="0"/>
                <w:color w:val="000000"/>
                <w:sz w:val="18"/>
              </w:rPr>
              <w:t>Guía de Gestión de Modelos de Riesgo SR 11-7 (Fed)</w:t>
            </w:r>
          </w:p>
        </w:tc>
      </w:tr>
    </w:tbl>
    <w:p>
      <w:pPr>
        <w:spacing w:before="0" w:after="120"/>
      </w:pPr>
    </w:p>
    <w:sectPr w:rsidR="00FC693F" w:rsidRPr="0006063C" w:rsidSect="00034616">
      <w:headerReference w:type="default" r:id="rId9"/>
      <w:footerReference w:type="default" r:id="rId10"/>
      <w:pgSz w:w="11909" w:h="16834"/>
      <w:pgMar w:top="1411" w:right="1411" w:bottom="1411" w:left="1699"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p>
  <w:tbl>
    <w:tblPr>
      <w:tblW w:type="auto" w:w="0"/>
      <w:jc w:val="center"/>
      <w:tblLayout w:type="fixed"/>
      <w:tblLook w:firstColumn="1" w:firstRow="1" w:lastColumn="0" w:lastRow="0" w:noHBand="0" w:noVBand="1" w:val="04A0"/>
    </w:tblPr>
    <w:tblGrid>
      <w:gridCol w:w="2933"/>
      <w:gridCol w:w="2933"/>
      <w:gridCol w:w="2933"/>
    </w:tblGrid>
    <w:tr>
      <w:tc>
        <w:tcPr>
          <w:tcW w:type="dxa" w:w="1224"/>
          <w:vAlign w:val="center"/>
        </w:tcPr>
        <w:p>
          <w:pPr>
            <w:spacing w:before="0" w:after="0"/>
            <w:jc w:val="left"/>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logo_uta.jpg"/>
                        <pic:cNvPicPr/>
                      </pic:nvPicPr>
                      <pic:blipFill>
                        <a:blip r:embed="rId1"/>
                        <a:stretch>
                          <a:fillRect/>
                        </a:stretch>
                      </pic:blipFill>
                      <pic:spPr>
                        <a:xfrm>
                          <a:off x="0" y="0"/>
                          <a:ext cx="685800" cy="685800"/>
                        </a:xfrm>
                        <a:prstGeom prst="rect"/>
                      </pic:spPr>
                    </pic:pic>
                  </a:graphicData>
                </a:graphic>
              </wp:inline>
            </w:drawing>
          </w:r>
        </w:p>
      </w:tc>
      <w:tc>
        <w:tcPr>
          <w:tcW w:type="dxa" w:w="6350"/>
          <w:vAlign w:val="center"/>
        </w:tcPr>
        <w:p>
          <w:pPr>
            <w:spacing w:line="252" w:lineRule="auto" w:before="0" w:after="0"/>
            <w:jc w:val="center"/>
          </w:pPr>
          <w:r>
            <w:rPr>
              <w:rFonts w:ascii="Times New Roman" w:hAnsi="Times New Roman"/>
              <w:b/>
              <w:sz w:val="21"/>
            </w:rPr>
            <w:t>UNIVERSIDAD TÉCNICA DE AMBATO</w:t>
          </w:r>
          <w:r>
            <w:rPr>
              <w:rFonts w:ascii="Times New Roman" w:hAnsi="Times New Roman"/>
              <w:b/>
              <w:sz w:val="16"/>
            </w:rPr>
            <w:br/>
            <w:t>FACULTAD DE INGENIERÍA EN SISTEMAS ELECTRÓNICA E INDUSTRIAL</w:t>
          </w:r>
          <w:r>
            <w:rPr>
              <w:rFonts w:ascii="Times New Roman" w:hAnsi="Times New Roman"/>
              <w:b/>
              <w:sz w:val="16"/>
            </w:rPr>
            <w:br/>
            <w:t>CARRERA DE SOFTWARE</w:t>
          </w:r>
          <w:r>
            <w:rPr>
              <w:rFonts w:ascii="Times New Roman" w:hAnsi="Times New Roman"/>
              <w:b/>
              <w:sz w:val="16"/>
            </w:rPr>
            <w:br/>
            <w:t>CICLO ACADÉMICO: JULIO – DICIEMBRE 2026</w:t>
          </w:r>
        </w:p>
      </w:tc>
      <w:tc>
        <w:tcPr>
          <w:tcW w:type="dxa" w:w="1224"/>
          <w:vAlign w:val="center"/>
        </w:tcPr>
        <w:p>
          <w:pPr>
            <w:spacing w:before="0" w:after="0"/>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logo_fisei.jpg"/>
                        <pic:cNvPicPr/>
                      </pic:nvPicPr>
                      <pic:blipFill>
                        <a:blip r:embed="rId2"/>
                        <a:stretch>
                          <a:fillRect/>
                        </a:stretch>
                      </pic:blipFill>
                      <pic:spPr>
                        <a:xfrm>
                          <a:off x="0" y="0"/>
                          <a:ext cx="685800" cy="685800"/>
                        </a:xfrm>
                        <a:prstGeom prst="rect"/>
                      </pic:spPr>
                    </pic:pic>
                  </a:graphicData>
                </a:graphic>
              </wp:inline>
            </w:drawing>
          </w:r>
        </w:p>
      </w:tc>
    </w:tr>
  </w:tbl>
  <w:p>
    <w:pPr>
      <w:spacing w:before="40" w:after="0"/>
      <w:jc w:val="center"/>
      <w:pBrd>
        <w:bottom w:val="single" w:sz="6" w:space="1" w:color="000000"/>
      </w:pBrd>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