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jc w:val="center"/>
      </w:pPr>
      <w:r>
        <w:rPr>
          <w:rFonts w:ascii="Times New Roman" w:hAnsi="Times New Roman"/>
          <w:b/>
          <w:i w:val="0"/>
          <w:color w:val="000000"/>
          <w:sz w:val="28"/>
        </w:rPr>
        <w:t>INFORME DE GUÍA PRÁCTICA</w:t>
      </w:r>
    </w:p>
    <w:p>
      <w:pPr>
        <w:keepNext/>
        <w:spacing w:before="240" w:after="80"/>
        <w:jc w:val="left"/>
      </w:pPr>
      <w:r>
        <w:rPr>
          <w:rFonts w:ascii="Times New Roman" w:hAnsi="Times New Roman"/>
          <w:b/>
          <w:i w:val="0"/>
          <w:color w:val="000000"/>
          <w:sz w:val="25"/>
        </w:rPr>
        <w:t>I. PORTADA</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4399"/>
        <w:gridCol w:w="4399"/>
      </w:tblGrid>
      <w:tr>
        <w:trPr>
          <w:tblHeader/>
          <w:cantSplit/>
        </w:trPr>
        <w:tc>
          <w:tcPr>
            <w:tcW w:type="dxa" w:w="3168"/>
            <w:vAlign w:val="center"/>
            <w:tcBorders>
              <w:bottom w:val="single" w:sz="6" w:space="0" w:color="000000"/>
            </w:tcBorders>
          </w:tcPr>
          <w:p>
            <w:pPr>
              <w:spacing w:before="0" w:after="0" w:line="252" w:lineRule="auto"/>
              <w:jc w:val="center"/>
            </w:pPr>
            <w:r>
              <w:rPr>
                <w:rFonts w:ascii="Times New Roman" w:hAnsi="Times New Roman"/>
                <w:b/>
                <w:i w:val="0"/>
                <w:color w:val="000000"/>
                <w:sz w:val="18"/>
              </w:rPr>
              <w:t>Campo Institucional</w:t>
            </w:r>
          </w:p>
        </w:tc>
        <w:tc>
          <w:tcPr>
            <w:tcW w:type="dxa" w:w="5630"/>
            <w:vAlign w:val="center"/>
            <w:tcBorders>
              <w:bottom w:val="single" w:sz="6" w:space="0" w:color="000000"/>
            </w:tcBorders>
          </w:tcPr>
          <w:p>
            <w:pPr>
              <w:spacing w:before="0" w:after="0" w:line="252" w:lineRule="auto"/>
              <w:jc w:val="center"/>
            </w:pPr>
            <w:r>
              <w:rPr>
                <w:rFonts w:ascii="Times New Roman" w:hAnsi="Times New Roman"/>
                <w:b/>
                <w:i w:val="0"/>
                <w:color w:val="000000"/>
                <w:sz w:val="18"/>
              </w:rPr>
              <w:t>Detalle de la Práctica</w:t>
            </w:r>
          </w:p>
        </w:tc>
      </w:tr>
      <w:tr>
        <w:trPr>
          <w:cantSplit/>
        </w:trPr>
        <w:tc>
          <w:tcPr>
            <w:tcW w:type="dxa" w:w="3168"/>
            <w:vAlign w:val="center"/>
          </w:tcPr>
          <w:p>
            <w:pPr>
              <w:spacing w:before="0" w:after="0" w:line="252" w:lineRule="auto"/>
              <w:jc w:val="left"/>
            </w:pPr>
            <w:r>
              <w:rPr>
                <w:rFonts w:ascii="Times New Roman" w:hAnsi="Times New Roman"/>
                <w:b w:val="0"/>
                <w:i w:val="0"/>
                <w:color w:val="000000"/>
                <w:sz w:val="18"/>
              </w:rPr>
              <w:t>Tema:</w:t>
            </w:r>
          </w:p>
        </w:tc>
        <w:tc>
          <w:tcPr>
            <w:tcW w:type="dxa" w:w="5630"/>
            <w:vAlign w:val="center"/>
          </w:tcPr>
          <w:p>
            <w:pPr>
              <w:spacing w:before="0" w:after="0" w:line="252" w:lineRule="auto"/>
              <w:jc w:val="left"/>
            </w:pPr>
            <w:r>
              <w:rPr>
                <w:rFonts w:ascii="Times New Roman" w:hAnsi="Times New Roman"/>
                <w:b w:val="0"/>
                <w:i w:val="0"/>
                <w:color w:val="000000"/>
                <w:sz w:val="18"/>
              </w:rPr>
              <w:t>Implementación, Validación Experimental y Evaluación Multicriterio de Sistemas de Recomendación Colaborativos, Basados en Contenidos, Demográficos y de Utilidad sobre los Cuatro DataFrames del Banco Comercial (Financial_ijs)</w:t>
            </w:r>
          </w:p>
        </w:tc>
      </w:tr>
      <w:tr>
        <w:trPr>
          <w:cantSplit/>
        </w:trPr>
        <w:tc>
          <w:tcPr>
            <w:tcW w:type="dxa" w:w="3168"/>
            <w:vAlign w:val="center"/>
          </w:tcPr>
          <w:p>
            <w:pPr>
              <w:spacing w:before="0" w:after="0" w:line="252" w:lineRule="auto"/>
              <w:jc w:val="left"/>
            </w:pPr>
            <w:r>
              <w:rPr>
                <w:rFonts w:ascii="Times New Roman" w:hAnsi="Times New Roman"/>
                <w:b w:val="0"/>
                <w:i w:val="0"/>
                <w:color w:val="000000"/>
                <w:sz w:val="18"/>
              </w:rPr>
              <w:t>Unidad de Organización Curricular:</w:t>
            </w:r>
          </w:p>
        </w:tc>
        <w:tc>
          <w:tcPr>
            <w:tcW w:type="dxa" w:w="5630"/>
            <w:vAlign w:val="center"/>
          </w:tcPr>
          <w:p>
            <w:pPr>
              <w:spacing w:before="0" w:after="0" w:line="252" w:lineRule="auto"/>
              <w:jc w:val="left"/>
            </w:pPr>
            <w:r>
              <w:rPr>
                <w:rFonts w:ascii="Times New Roman" w:hAnsi="Times New Roman"/>
                <w:b w:val="0"/>
                <w:i w:val="0"/>
                <w:color w:val="000000"/>
                <w:sz w:val="18"/>
              </w:rPr>
              <w:t>Unidad Profesional</w:t>
            </w:r>
          </w:p>
        </w:tc>
      </w:tr>
      <w:tr>
        <w:trPr>
          <w:cantSplit/>
        </w:trPr>
        <w:tc>
          <w:tcPr>
            <w:tcW w:type="dxa" w:w="3168"/>
            <w:vAlign w:val="center"/>
          </w:tcPr>
          <w:p>
            <w:pPr>
              <w:spacing w:before="0" w:after="0" w:line="252" w:lineRule="auto"/>
              <w:jc w:val="left"/>
            </w:pPr>
            <w:r>
              <w:rPr>
                <w:rFonts w:ascii="Times New Roman" w:hAnsi="Times New Roman"/>
                <w:b w:val="0"/>
                <w:i w:val="0"/>
                <w:color w:val="000000"/>
                <w:sz w:val="18"/>
              </w:rPr>
              <w:t>Nivel y Paralelo:</w:t>
            </w:r>
          </w:p>
        </w:tc>
        <w:tc>
          <w:tcPr>
            <w:tcW w:type="dxa" w:w="5630"/>
            <w:vAlign w:val="center"/>
          </w:tcPr>
          <w:p>
            <w:pPr>
              <w:spacing w:before="0" w:after="0" w:line="252" w:lineRule="auto"/>
              <w:jc w:val="left"/>
            </w:pPr>
            <w:r>
              <w:rPr>
                <w:rFonts w:ascii="Times New Roman" w:hAnsi="Times New Roman"/>
                <w:b w:val="0"/>
                <w:i w:val="0"/>
                <w:color w:val="000000"/>
                <w:sz w:val="18"/>
              </w:rPr>
              <w:t>Sexto Semestre – Software "A"</w:t>
            </w:r>
          </w:p>
        </w:tc>
      </w:tr>
      <w:tr>
        <w:trPr>
          <w:cantSplit/>
        </w:trPr>
        <w:tc>
          <w:tcPr>
            <w:tcW w:type="dxa" w:w="3168"/>
            <w:vAlign w:val="center"/>
          </w:tcPr>
          <w:p>
            <w:pPr>
              <w:spacing w:before="0" w:after="0" w:line="252" w:lineRule="auto"/>
              <w:jc w:val="left"/>
            </w:pPr>
            <w:r>
              <w:rPr>
                <w:rFonts w:ascii="Times New Roman" w:hAnsi="Times New Roman"/>
                <w:b w:val="0"/>
                <w:i w:val="0"/>
                <w:color w:val="000000"/>
                <w:sz w:val="18"/>
              </w:rPr>
              <w:t>Alumnos participantes:</w:t>
            </w:r>
          </w:p>
        </w:tc>
        <w:tc>
          <w:tcPr>
            <w:tcW w:type="dxa" w:w="5630"/>
            <w:vAlign w:val="center"/>
          </w:tcPr>
          <w:p>
            <w:pPr>
              <w:spacing w:before="0" w:after="0" w:line="252" w:lineRule="auto"/>
              <w:jc w:val="left"/>
            </w:pPr>
            <w:r>
              <w:rPr>
                <w:rFonts w:ascii="Times New Roman" w:hAnsi="Times New Roman"/>
                <w:b w:val="0"/>
                <w:i w:val="0"/>
                <w:color w:val="000000"/>
                <w:sz w:val="18"/>
              </w:rPr>
              <w:t>Cobos Taco Alison Marcela</w:t>
              <w:br/>
              <w:t>Lagua Flores Henry Daniel</w:t>
            </w:r>
          </w:p>
        </w:tc>
      </w:tr>
      <w:tr>
        <w:trPr>
          <w:cantSplit/>
        </w:trPr>
        <w:tc>
          <w:tcPr>
            <w:tcW w:type="dxa" w:w="3168"/>
            <w:vAlign w:val="center"/>
          </w:tcPr>
          <w:p>
            <w:pPr>
              <w:spacing w:before="0" w:after="0" w:line="252" w:lineRule="auto"/>
              <w:jc w:val="left"/>
            </w:pPr>
            <w:r>
              <w:rPr>
                <w:rFonts w:ascii="Times New Roman" w:hAnsi="Times New Roman"/>
                <w:b w:val="0"/>
                <w:i w:val="0"/>
                <w:color w:val="000000"/>
                <w:sz w:val="18"/>
              </w:rPr>
              <w:t>Asignatura:</w:t>
            </w:r>
          </w:p>
        </w:tc>
        <w:tc>
          <w:tcPr>
            <w:tcW w:type="dxa" w:w="5630"/>
            <w:vAlign w:val="center"/>
          </w:tcPr>
          <w:p>
            <w:pPr>
              <w:spacing w:before="0" w:after="0" w:line="252" w:lineRule="auto"/>
              <w:jc w:val="left"/>
            </w:pPr>
            <w:r>
              <w:rPr>
                <w:rFonts w:ascii="Times New Roman" w:hAnsi="Times New Roman"/>
                <w:b w:val="0"/>
                <w:i w:val="0"/>
                <w:color w:val="000000"/>
                <w:sz w:val="18"/>
              </w:rPr>
              <w:t>Inteligencia de Negocios</w:t>
            </w:r>
          </w:p>
        </w:tc>
      </w:tr>
      <w:tr>
        <w:trPr>
          <w:cantSplit/>
        </w:trPr>
        <w:tc>
          <w:tcPr>
            <w:tcW w:type="dxa" w:w="3168"/>
            <w:vAlign w:val="center"/>
          </w:tcPr>
          <w:p>
            <w:pPr>
              <w:spacing w:before="0" w:after="0" w:line="252" w:lineRule="auto"/>
              <w:jc w:val="left"/>
            </w:pPr>
            <w:r>
              <w:rPr>
                <w:rFonts w:ascii="Times New Roman" w:hAnsi="Times New Roman"/>
                <w:b w:val="0"/>
                <w:i w:val="0"/>
                <w:color w:val="000000"/>
                <w:sz w:val="18"/>
              </w:rPr>
              <w:t>Docente:</w:t>
            </w:r>
          </w:p>
        </w:tc>
        <w:tc>
          <w:tcPr>
            <w:tcW w:type="dxa" w:w="5630"/>
            <w:vAlign w:val="center"/>
          </w:tcPr>
          <w:p>
            <w:pPr>
              <w:spacing w:before="0" w:after="0" w:line="252" w:lineRule="auto"/>
              <w:jc w:val="left"/>
            </w:pPr>
            <w:r>
              <w:rPr>
                <w:rFonts w:ascii="Times New Roman" w:hAnsi="Times New Roman"/>
                <w:b w:val="0"/>
                <w:i w:val="0"/>
                <w:color w:val="000000"/>
                <w:sz w:val="18"/>
              </w:rPr>
              <w:t>Ing. Rubén Nogales, Mg.</w:t>
            </w:r>
          </w:p>
        </w:tc>
      </w:tr>
    </w:tbl>
    <w:p>
      <w:pPr>
        <w:spacing w:before="0" w:after="120"/>
      </w:pPr>
    </w:p>
    <w:p>
      <w:pPr>
        <w:keepNext/>
        <w:spacing w:before="240" w:after="80"/>
        <w:jc w:val="left"/>
      </w:pPr>
      <w:r>
        <w:rPr>
          <w:rFonts w:ascii="Times New Roman" w:hAnsi="Times New Roman"/>
          <w:b/>
          <w:i w:val="0"/>
          <w:color w:val="000000"/>
          <w:sz w:val="25"/>
        </w:rPr>
        <w:t>II. INFORME DE GUÍA PRÁCTICA</w:t>
      </w:r>
    </w:p>
    <w:p>
      <w:pPr>
        <w:keepNext/>
        <w:spacing w:before="180" w:after="60"/>
        <w:jc w:val="left"/>
      </w:pPr>
      <w:r>
        <w:rPr>
          <w:rFonts w:ascii="Times New Roman" w:hAnsi="Times New Roman"/>
          <w:b/>
          <w:i w:val="0"/>
          <w:color w:val="000000"/>
          <w:sz w:val="23"/>
        </w:rPr>
        <w:t>2.1 Objetivos</w:t>
      </w:r>
    </w:p>
    <w:p>
      <w:pPr>
        <w:keepNext/>
        <w:spacing w:before="140" w:after="40"/>
        <w:jc w:val="left"/>
      </w:pPr>
      <w:r>
        <w:rPr>
          <w:rFonts w:ascii="Times New Roman" w:hAnsi="Times New Roman"/>
          <w:b/>
          <w:i w:val="0"/>
          <w:color w:val="000000"/>
          <w:sz w:val="22"/>
        </w:rPr>
        <w:t>General:</w:t>
      </w:r>
    </w:p>
    <w:p>
      <w:pPr>
        <w:spacing w:line="276" w:lineRule="auto" w:before="0" w:after="90"/>
        <w:jc w:val="both"/>
      </w:pPr>
      <w:r>
        <w:rPr>
          <w:rFonts w:ascii="Times New Roman" w:hAnsi="Times New Roman"/>
          <w:b w:val="0"/>
          <w:i w:val="0"/>
          <w:color w:val="000000"/>
          <w:sz w:val="22"/>
        </w:rPr>
        <w:t>Desarrollar, evaluar, contrastar empíricamente y desplegar en una arquitectura analítica coherente múltiples sistemas de recomendación sobre cada uno de los cuatro DataFrames limpios del banco comercial Financial_ijs (PKDD'99 Financial Discovery Challenge), aplicando para cada conjunto de datos los algoritmos canónicos válidos según su nivel de agregación, granularidad temporal y naturaleza de información, incorporando sus respectivas formulaciones matemáticas rigurosas, procedimientos metodológicos paso a paso, matrices numéricas auditadas, gráficos individuales en alta definición (300 DPI), ejemplos numéricos de cálculo paso a paso con clientes reales de la entidad e interpretaciones comerciales profundas que fundamenten las conclusiones y recomendaciones estratégicas de negocio para cada método evaluado.</w:t>
      </w:r>
    </w:p>
    <w:p>
      <w:pPr>
        <w:keepNext/>
        <w:spacing w:before="140" w:after="40"/>
        <w:jc w:val="left"/>
      </w:pPr>
      <w:r>
        <w:rPr>
          <w:rFonts w:ascii="Times New Roman" w:hAnsi="Times New Roman"/>
          <w:b/>
          <w:i w:val="0"/>
          <w:color w:val="000000"/>
          <w:sz w:val="22"/>
        </w:rPr>
        <w:t>Específicos:</w:t>
      </w:r>
    </w:p>
    <w:p>
      <w:pPr>
        <w:spacing w:line="276" w:lineRule="auto" w:before="0" w:after="70"/>
        <w:ind w:left="403" w:hanging="403"/>
        <w:jc w:val="both"/>
      </w:pPr>
      <w:r>
        <w:rPr>
          <w:rFonts w:ascii="Times New Roman" w:hAnsi="Times New Roman"/>
          <w:b/>
          <w:sz w:val="22"/>
        </w:rPr>
        <w:t xml:space="preserve">1.  </w:t>
      </w:r>
      <w:r>
        <w:rPr>
          <w:rFonts w:ascii="Times New Roman" w:hAnsi="Times New Roman"/>
          <w:b/>
          <w:sz w:val="22"/>
        </w:rPr>
        <w:t xml:space="preserve">Objetivo Específico 1: </w:t>
      </w:r>
      <w:r>
        <w:rPr>
          <w:rFonts w:ascii="Times New Roman" w:hAnsi="Times New Roman"/>
          <w:b w:val="0"/>
          <w:i w:val="0"/>
          <w:color w:val="000000"/>
          <w:sz w:val="22"/>
        </w:rPr>
        <w:t>Modelar y estructurar los cuatro DataFrames analíticos limpios procedentes del Data Warehouse bancario bajo la metodología dimensional de Ralph Kimball (df_transacciones, df_ordenes, df_prestamos y df_cliente_consolidado), resolviendo inconsistencias de grano, auditando las claves foráneas y evaluando sistemáticamente la viabilidad matemática de las 20 combinaciones matriciales posibles (5 familias de algoritmos × 4 DataFrames).</w:t>
      </w:r>
    </w:p>
    <w:p>
      <w:pPr>
        <w:spacing w:line="276" w:lineRule="auto" w:before="0" w:after="70"/>
        <w:ind w:left="403" w:hanging="403"/>
        <w:jc w:val="both"/>
      </w:pPr>
      <w:r>
        <w:rPr>
          <w:rFonts w:ascii="Times New Roman" w:hAnsi="Times New Roman"/>
          <w:b/>
          <w:sz w:val="22"/>
        </w:rPr>
        <w:t xml:space="preserve">2.  </w:t>
      </w:r>
      <w:r>
        <w:rPr>
          <w:rFonts w:ascii="Times New Roman" w:hAnsi="Times New Roman"/>
          <w:b/>
          <w:sz w:val="22"/>
        </w:rPr>
        <w:t xml:space="preserve">Objetivo Específico 2: </w:t>
      </w:r>
      <w:r>
        <w:rPr>
          <w:rFonts w:ascii="Times New Roman" w:hAnsi="Times New Roman"/>
          <w:b w:val="0"/>
          <w:i w:val="0"/>
          <w:color w:val="000000"/>
          <w:sz w:val="22"/>
        </w:rPr>
        <w:t>Implementar, verificar y documentar doce motores de recomendación con su ciclo analítico completo: fundamento teórico, formulación matemática en ecuaciones estándar, procedimiento metodológico paso a paso, trazabilidad numérica manual sobre clientes reales, matrices de resultados auditadas, representaciones gráficas individuales y análisis pormenorizado de implicaciones financieras.</w:t>
      </w:r>
    </w:p>
    <w:p>
      <w:pPr>
        <w:spacing w:line="276" w:lineRule="auto" w:before="0" w:after="70"/>
        <w:ind w:left="403" w:hanging="403"/>
        <w:jc w:val="both"/>
      </w:pPr>
      <w:r>
        <w:rPr>
          <w:rFonts w:ascii="Times New Roman" w:hAnsi="Times New Roman"/>
          <w:b/>
          <w:sz w:val="22"/>
        </w:rPr>
        <w:t xml:space="preserve">3.  </w:t>
      </w:r>
      <w:r>
        <w:rPr>
          <w:rFonts w:ascii="Times New Roman" w:hAnsi="Times New Roman"/>
          <w:b/>
          <w:sz w:val="22"/>
        </w:rPr>
        <w:t xml:space="preserve">Objetivo Específico 3: </w:t>
      </w:r>
      <w:r>
        <w:rPr>
          <w:rFonts w:ascii="Times New Roman" w:hAnsi="Times New Roman"/>
          <w:b w:val="0"/>
          <w:i w:val="0"/>
          <w:color w:val="000000"/>
          <w:sz w:val="22"/>
        </w:rPr>
        <w:t>Emitir un dictamen técnico riguroso y cuantitativamente respaldado al cierre de cada DataFrame que determine el mejor método para ese entorno operativo, contrastando sus ventajas frente a los modelos alternativos con base en métricas objetivas de error de intensidad (MAE, RMSE), capacidad de ordenamiento (Hit-Rate@k, MRR), capacidad discriminativa (AUC, Brier Score) y mitigación del riesgo crediticio.</w:t>
      </w:r>
    </w:p>
    <w:p>
      <w:pPr>
        <w:spacing w:line="276" w:lineRule="auto" w:before="0" w:after="70"/>
        <w:ind w:left="403" w:hanging="403"/>
        <w:jc w:val="both"/>
      </w:pPr>
      <w:r>
        <w:rPr>
          <w:rFonts w:ascii="Times New Roman" w:hAnsi="Times New Roman"/>
          <w:b/>
          <w:sz w:val="22"/>
        </w:rPr>
        <w:t xml:space="preserve">4.  </w:t>
      </w:r>
      <w:r>
        <w:rPr>
          <w:rFonts w:ascii="Times New Roman" w:hAnsi="Times New Roman"/>
          <w:b/>
          <w:sz w:val="22"/>
        </w:rPr>
        <w:t xml:space="preserve">Objetivo Específico 4: </w:t>
      </w:r>
      <w:r>
        <w:rPr>
          <w:rFonts w:ascii="Times New Roman" w:hAnsi="Times New Roman"/>
          <w:b w:val="0"/>
          <w:i w:val="0"/>
          <w:color w:val="000000"/>
          <w:sz w:val="22"/>
        </w:rPr>
        <w:t>Demostrar analítica y empíricamente las patologías matemáticas que motivaron el descarte de la co-ocurrencia transaccional cruda frente a los modelos refinados, y sintetizar el rendimiento global de los doce sistemas en un mapa estratégico de cobertura frente a personalización, definiendo una arquitectura de despliegue bancario en dos fases gobernada transversalmente por compuertas prudenciales de solvencia y riesgo de impago.</w:t>
      </w:r>
    </w:p>
    <w:p>
      <w:pPr>
        <w:keepNext/>
        <w:spacing w:before="180" w:after="60"/>
        <w:jc w:val="left"/>
      </w:pPr>
      <w:r>
        <w:rPr>
          <w:rFonts w:ascii="Times New Roman" w:hAnsi="Times New Roman"/>
          <w:b/>
          <w:i w:val="0"/>
          <w:color w:val="000000"/>
          <w:sz w:val="23"/>
        </w:rPr>
        <w:t>2.2 Modalidad</w:t>
      </w:r>
    </w:p>
    <w:p>
      <w:pPr>
        <w:spacing w:line="276" w:lineRule="auto" w:before="0" w:after="90"/>
        <w:jc w:val="both"/>
      </w:pPr>
      <w:r>
        <w:rPr>
          <w:rFonts w:ascii="Times New Roman" w:hAnsi="Times New Roman"/>
          <w:b w:val="0"/>
          <w:i w:val="0"/>
          <w:color w:val="000000"/>
          <w:sz w:val="22"/>
        </w:rPr>
        <w:t>Práctica de laboratorio desarrollada en modalidad presencial, complementada con sesiones autónomas de modelado matemático, programación analítica en Python, validación cruzada 5-fold, pruebas de hipótesis estadísticas y verificación cruzada de matrices de cálculo.</w:t>
      </w:r>
    </w:p>
    <w:p>
      <w:pPr>
        <w:keepNext/>
        <w:spacing w:before="180" w:after="60"/>
        <w:jc w:val="left"/>
      </w:pPr>
      <w:r>
        <w:rPr>
          <w:rFonts w:ascii="Times New Roman" w:hAnsi="Times New Roman"/>
          <w:b/>
          <w:i w:val="0"/>
          <w:color w:val="000000"/>
          <w:sz w:val="23"/>
        </w:rPr>
        <w:t>2.3 Tiempo de duración</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Presenciales: </w:t>
      </w:r>
      <w:r>
        <w:rPr>
          <w:rFonts w:ascii="Times New Roman" w:hAnsi="Times New Roman"/>
          <w:b w:val="0"/>
          <w:i w:val="0"/>
          <w:color w:val="000000"/>
          <w:sz w:val="22"/>
        </w:rPr>
        <w:t>horas de sesión guiada en laboratorio para la calibración del entorno analítico, discusión de requisitos de negocio y presentación de la arquitectura de datos.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No presenciales: </w:t>
      </w:r>
      <w:r>
        <w:rPr>
          <w:rFonts w:ascii="Times New Roman" w:hAnsi="Times New Roman"/>
          <w:b w:val="0"/>
          <w:i w:val="0"/>
          <w:color w:val="000000"/>
          <w:sz w:val="22"/>
        </w:rPr>
        <w:t>horas de trabajo autónomo dedicadas a la ingeniería de características, procesamiento matricial intensivo, validación cruzada de pliegues, cálculo de métricas de ranking y redacción del informe técnico.</w:t>
      </w:r>
    </w:p>
    <w:p>
      <w:pPr>
        <w:keepNext/>
        <w:spacing w:before="180" w:after="60"/>
        <w:jc w:val="left"/>
      </w:pPr>
      <w:r>
        <w:rPr>
          <w:rFonts w:ascii="Times New Roman" w:hAnsi="Times New Roman"/>
          <w:b/>
          <w:i w:val="0"/>
          <w:color w:val="000000"/>
          <w:sz w:val="23"/>
        </w:rPr>
        <w:t>2.4 Instrucciones</w:t>
      </w:r>
    </w:p>
    <w:p>
      <w:pPr>
        <w:spacing w:line="276" w:lineRule="auto" w:before="0" w:after="90"/>
        <w:jc w:val="both"/>
      </w:pPr>
      <w:r>
        <w:rPr>
          <w:rFonts w:ascii="Times New Roman" w:hAnsi="Times New Roman"/>
          <w:b w:val="0"/>
          <w:i w:val="0"/>
          <w:color w:val="000000"/>
          <w:sz w:val="22"/>
        </w:rPr>
        <w:t>Tomando como base los cuatro DataFrames analíticos limpios y consolidados de la entidad bancaria Financial_ijs, estructurar para cada algoritmo la matriz de datos que proporcione la señal analítica adecuada. Programar los motores de recomendación respetando los estándares de reproducibilidad científica (semilla aleatoria fijada seed = 42), evaluar los errores predictivos y niveles de afinidad, e interpretar los hallazgos en función de la toma de decisiones comerciales, la fidelización del cliente y la gestión prudencial del riesgo de la institución bancaria.</w:t>
      </w:r>
    </w:p>
    <w:p>
      <w:pPr>
        <w:keepNext/>
        <w:spacing w:before="180" w:after="60"/>
        <w:jc w:val="left"/>
      </w:pPr>
      <w:r>
        <w:rPr>
          <w:rFonts w:ascii="Times New Roman" w:hAnsi="Times New Roman"/>
          <w:b/>
          <w:i w:val="0"/>
          <w:color w:val="000000"/>
          <w:sz w:val="23"/>
        </w:rPr>
        <w:t>2.5 Listado de equipos, materiales y recursos</w:t>
      </w:r>
    </w:p>
    <w:p>
      <w:pPr>
        <w:keepNext/>
        <w:spacing w:before="140" w:after="40"/>
        <w:jc w:val="left"/>
      </w:pPr>
      <w:r>
        <w:rPr>
          <w:rFonts w:ascii="Times New Roman" w:hAnsi="Times New Roman"/>
          <w:b/>
          <w:i w:val="0"/>
          <w:color w:val="000000"/>
          <w:sz w:val="22"/>
        </w:rPr>
        <w:t>Listado de equipos y materiales generales empleados en la guía práctica: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Hardware: </w:t>
      </w:r>
      <w:r>
        <w:rPr>
          <w:rFonts w:ascii="Times New Roman" w:hAnsi="Times New Roman"/>
          <w:b w:val="0"/>
          <w:i w:val="0"/>
          <w:color w:val="000000"/>
          <w:sz w:val="22"/>
        </w:rPr>
        <w:t>Computador personal con arquitectura x86_64, 16 GB de memoria RAM, procesador multi-núcleo de alta velocidad y sistema operativo Microsoft Windows 11.</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Software y Entorno Científico: </w:t>
      </w:r>
      <w:r>
        <w:rPr>
          <w:rFonts w:ascii="Times New Roman" w:hAnsi="Times New Roman"/>
          <w:b w:val="0"/>
          <w:i w:val="0"/>
          <w:color w:val="000000"/>
          <w:sz w:val="22"/>
        </w:rPr>
        <w:t>Entorno de desarrollo integrado VS Code, terminal PowerShell y distribución científica Python 3.12 con librerías analíticas especializadas: Pandas (manipulación de datos), NumPy (álgebra matricial), Scikit-Learn (vectorización y métricas de evaluación), SciPy (tests estadísticos y distribuciones), Matplotlib y Seaborn (renderizado gráfico en alta resolución a 300 DPI).</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Conjuntos de Datos: </w:t>
      </w:r>
      <w:r>
        <w:rPr>
          <w:rFonts w:ascii="Times New Roman" w:hAnsi="Times New Roman"/>
          <w:b w:val="0"/>
          <w:i w:val="0"/>
          <w:color w:val="000000"/>
          <w:sz w:val="22"/>
        </w:rPr>
        <w:t>Los cuatro DataFrames analíticos limpios y consolidados de la entidad bancaria Financial_ijs (PKDD'99 Financial Discovery Challenge) en formatos CSV estructurados y comprimidos.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Herramientas de Auditoría: </w:t>
      </w:r>
      <w:r>
        <w:rPr>
          <w:rFonts w:ascii="Times New Roman" w:hAnsi="Times New Roman"/>
          <w:b w:val="0"/>
          <w:i w:val="0"/>
          <w:color w:val="000000"/>
          <w:sz w:val="22"/>
        </w:rPr>
        <w:t>Microsoft Excel para la auditoría manual independiente, verificación cruzada de sumas y comprobación de productos matriciales.</w:t>
      </w:r>
    </w:p>
    <w:p>
      <w:pPr>
        <w:keepNext/>
        <w:spacing w:before="140" w:after="40"/>
        <w:jc w:val="left"/>
      </w:pPr>
      <w:r>
        <w:rPr>
          <w:rFonts w:ascii="Times New Roman" w:hAnsi="Times New Roman"/>
          <w:b/>
          <w:i w:val="0"/>
          <w:color w:val="000000"/>
          <w:sz w:val="22"/>
        </w:rPr>
        <w:t>TAC (Tecnologías para el Aprendizaje y Conocimiento) empleados en la guía práctica:</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Plataformas educativas</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Simuladores y laboratorios virtuales (Jupyter Lab, Entornos Interactivos en Python)</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Aplicaciones educativas</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Recursos audiovisuales</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Gamificación</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Inteligencia Artificial (Asistentes de programación científica y verificación estadística)</w:t>
      </w:r>
    </w:p>
    <w:p>
      <w:pPr>
        <w:spacing w:line="276" w:lineRule="auto" w:before="0" w:after="90"/>
        <w:jc w:val="both"/>
      </w:pPr>
      <w:r>
        <w:rPr>
          <w:rFonts w:ascii="Times New Roman" w:hAnsi="Times New Roman"/>
          <w:b w:val="0"/>
          <w:i w:val="0"/>
          <w:color w:val="000000"/>
          <w:sz w:val="22"/>
        </w:rPr>
        <w:t>Otros (Especifique): Sistema de control de versiones distribuido Git y bibliotecas de procesamiento matricial optimizado.</w:t>
      </w:r>
    </w:p>
    <w:p>
      <w:pPr>
        <w:keepNext/>
        <w:spacing w:before="180" w:after="60"/>
        <w:jc w:val="left"/>
      </w:pPr>
      <w:r>
        <w:rPr>
          <w:rFonts w:ascii="Times New Roman" w:hAnsi="Times New Roman"/>
          <w:b/>
          <w:i w:val="0"/>
          <w:color w:val="000000"/>
          <w:sz w:val="23"/>
        </w:rPr>
        <w:t>2.6 Actividades por desarrollar</w:t>
      </w:r>
    </w:p>
    <w:p>
      <w:pPr>
        <w:spacing w:line="276" w:lineRule="auto" w:before="0" w:after="90"/>
        <w:jc w:val="both"/>
      </w:pPr>
      <w:r>
        <w:rPr>
          <w:rFonts w:ascii="Times New Roman" w:hAnsi="Times New Roman"/>
          <w:b w:val="0"/>
          <w:i w:val="0"/>
          <w:color w:val="000000"/>
          <w:sz w:val="22"/>
        </w:rPr>
        <w:t>La investigación experimental y el modelado analítico se articularon a través de ocho actividades metodológicas secuenciales y rigurosamente interconectadas:</w:t>
      </w:r>
    </w:p>
    <w:p>
      <w:pPr>
        <w:spacing w:line="276" w:lineRule="auto" w:before="0" w:after="70"/>
        <w:ind w:left="403" w:hanging="403"/>
        <w:jc w:val="both"/>
      </w:pPr>
      <w:r>
        <w:rPr>
          <w:rFonts w:ascii="Times New Roman" w:hAnsi="Times New Roman"/>
          <w:b/>
          <w:sz w:val="22"/>
        </w:rPr>
        <w:t xml:space="preserve">1.  </w:t>
      </w:r>
      <w:r>
        <w:rPr>
          <w:rFonts w:ascii="Times New Roman" w:hAnsi="Times New Roman"/>
          <w:b/>
          <w:sz w:val="22"/>
        </w:rPr>
        <w:t xml:space="preserve">Actividad 1: </w:t>
      </w:r>
      <w:r>
        <w:rPr>
          <w:rFonts w:ascii="Times New Roman" w:hAnsi="Times New Roman"/>
          <w:b w:val="0"/>
          <w:i w:val="0"/>
          <w:color w:val="000000"/>
          <w:sz w:val="22"/>
        </w:rPr>
        <w:t>Auditoría de integridad relacional, reconciliación de entidades y consolidación dimensional del Data Warehouse bancario Financial_ijs en esquema de estrella bajo principios de Ralph Kimball.</w:t>
      </w:r>
    </w:p>
    <w:p>
      <w:pPr>
        <w:spacing w:line="276" w:lineRule="auto" w:before="0" w:after="70"/>
        <w:ind w:left="403" w:hanging="403"/>
        <w:jc w:val="both"/>
      </w:pPr>
      <w:r>
        <w:rPr>
          <w:rFonts w:ascii="Times New Roman" w:hAnsi="Times New Roman"/>
          <w:b/>
          <w:sz w:val="22"/>
        </w:rPr>
        <w:t xml:space="preserve">2.  </w:t>
      </w:r>
      <w:r>
        <w:rPr>
          <w:rFonts w:ascii="Times New Roman" w:hAnsi="Times New Roman"/>
          <w:b/>
          <w:sz w:val="22"/>
        </w:rPr>
        <w:t xml:space="preserve">Actividad 2: </w:t>
      </w:r>
      <w:r>
        <w:rPr>
          <w:rFonts w:ascii="Times New Roman" w:hAnsi="Times New Roman"/>
          <w:b w:val="0"/>
          <w:i w:val="0"/>
          <w:color w:val="000000"/>
          <w:sz w:val="22"/>
        </w:rPr>
        <w:t>Evaluación sistemática de la viabilidad técnica y matemática de las 20 combinaciones cruzadas posibles (5 familias de algoritmos de recomendación × 4 DataFrames analíticos).</w:t>
      </w:r>
    </w:p>
    <w:p>
      <w:pPr>
        <w:spacing w:line="276" w:lineRule="auto" w:before="0" w:after="70"/>
        <w:ind w:left="403" w:hanging="403"/>
        <w:jc w:val="both"/>
      </w:pPr>
      <w:r>
        <w:rPr>
          <w:rFonts w:ascii="Times New Roman" w:hAnsi="Times New Roman"/>
          <w:b/>
          <w:sz w:val="22"/>
        </w:rPr>
        <w:t xml:space="preserve">3.  </w:t>
      </w:r>
      <w:r>
        <w:rPr>
          <w:rFonts w:ascii="Times New Roman" w:hAnsi="Times New Roman"/>
          <w:b/>
          <w:sz w:val="22"/>
        </w:rPr>
        <w:t xml:space="preserve">Actividad 3: </w:t>
      </w:r>
      <w:r>
        <w:rPr>
          <w:rFonts w:ascii="Times New Roman" w:hAnsi="Times New Roman"/>
          <w:b w:val="0"/>
          <w:i w:val="0"/>
          <w:color w:val="000000"/>
          <w:sz w:val="22"/>
        </w:rPr>
        <w:t>Implementación, cálculo paso a paso, validación cruzada 5-fold, pruebas de ranking Top-N y dictamen técnico de los modelos colaborativos y temporales sobre df_transacciones.</w:t>
      </w:r>
    </w:p>
    <w:p>
      <w:pPr>
        <w:spacing w:line="276" w:lineRule="auto" w:before="0" w:after="70"/>
        <w:ind w:left="403" w:hanging="403"/>
        <w:jc w:val="both"/>
      </w:pPr>
      <w:r>
        <w:rPr>
          <w:rFonts w:ascii="Times New Roman" w:hAnsi="Times New Roman"/>
          <w:b/>
          <w:sz w:val="22"/>
        </w:rPr>
        <w:t xml:space="preserve">4.  </w:t>
      </w:r>
      <w:r>
        <w:rPr>
          <w:rFonts w:ascii="Times New Roman" w:hAnsi="Times New Roman"/>
          <w:b/>
          <w:sz w:val="22"/>
        </w:rPr>
        <w:t xml:space="preserve">Actividad 4: </w:t>
      </w:r>
      <w:r>
        <w:rPr>
          <w:rFonts w:ascii="Times New Roman" w:hAnsi="Times New Roman"/>
          <w:b w:val="0"/>
          <w:i w:val="0"/>
          <w:color w:val="000000"/>
          <w:sz w:val="22"/>
        </w:rPr>
        <w:t>Modelado de co-adquisición contractual, penalización de frecuencia inversa (ITF), análisis de correlación y dictamen técnico sobre df_ordenes.</w:t>
      </w:r>
    </w:p>
    <w:p>
      <w:pPr>
        <w:spacing w:line="276" w:lineRule="auto" w:before="0" w:after="70"/>
        <w:ind w:left="403" w:hanging="403"/>
        <w:jc w:val="both"/>
      </w:pPr>
      <w:r>
        <w:rPr>
          <w:rFonts w:ascii="Times New Roman" w:hAnsi="Times New Roman"/>
          <w:b/>
          <w:sz w:val="22"/>
        </w:rPr>
        <w:t xml:space="preserve">5.  </w:t>
      </w:r>
      <w:r>
        <w:rPr>
          <w:rFonts w:ascii="Times New Roman" w:hAnsi="Times New Roman"/>
          <w:b/>
          <w:sz w:val="22"/>
        </w:rPr>
        <w:t xml:space="preserve">Actividad 5: </w:t>
      </w:r>
      <w:r>
        <w:rPr>
          <w:rFonts w:ascii="Times New Roman" w:hAnsi="Times New Roman"/>
          <w:b w:val="0"/>
          <w:i w:val="0"/>
          <w:color w:val="000000"/>
          <w:sz w:val="22"/>
        </w:rPr>
        <w:t>Vectorización semántica TF-IDF sobre cláusulas, mapeo geométrico de plazos y diseño del filtro de solvencia con función de utilidad financiera (regla del 30%) sobre df_prestamos.</w:t>
      </w:r>
    </w:p>
    <w:p>
      <w:pPr>
        <w:spacing w:line="276" w:lineRule="auto" w:before="0" w:after="70"/>
        <w:ind w:left="403" w:hanging="403"/>
        <w:jc w:val="both"/>
      </w:pPr>
      <w:r>
        <w:rPr>
          <w:rFonts w:ascii="Times New Roman" w:hAnsi="Times New Roman"/>
          <w:b/>
          <w:sz w:val="22"/>
        </w:rPr>
        <w:t xml:space="preserve">6.  </w:t>
      </w:r>
      <w:r>
        <w:rPr>
          <w:rFonts w:ascii="Times New Roman" w:hAnsi="Times New Roman"/>
          <w:b/>
          <w:sz w:val="22"/>
        </w:rPr>
        <w:t xml:space="preserve">Actividad 6: </w:t>
      </w:r>
      <w:r>
        <w:rPr>
          <w:rFonts w:ascii="Times New Roman" w:hAnsi="Times New Roman"/>
          <w:b w:val="0"/>
          <w:i w:val="0"/>
          <w:color w:val="000000"/>
          <w:sz w:val="22"/>
        </w:rPr>
        <w:t>Segmentación demográfica por estereotipos (resolución de User Cold Start), filtrado colaborativo Usuario a Usuario (kNN) y análisis multivariante sobre df_cliente_consolidado.</w:t>
      </w:r>
    </w:p>
    <w:p>
      <w:pPr>
        <w:spacing w:line="276" w:lineRule="auto" w:before="0" w:after="70"/>
        <w:ind w:left="403" w:hanging="403"/>
        <w:jc w:val="both"/>
      </w:pPr>
      <w:r>
        <w:rPr>
          <w:rFonts w:ascii="Times New Roman" w:hAnsi="Times New Roman"/>
          <w:b/>
          <w:sz w:val="22"/>
        </w:rPr>
        <w:t xml:space="preserve">7.  </w:t>
      </w:r>
      <w:r>
        <w:rPr>
          <w:rFonts w:ascii="Times New Roman" w:hAnsi="Times New Roman"/>
          <w:b/>
          <w:sz w:val="22"/>
        </w:rPr>
        <w:t xml:space="preserve">Actividad 7: </w:t>
      </w:r>
      <w:r>
        <w:rPr>
          <w:rFonts w:ascii="Times New Roman" w:hAnsi="Times New Roman"/>
          <w:b w:val="0"/>
          <w:i w:val="0"/>
          <w:color w:val="000000"/>
          <w:sz w:val="22"/>
        </w:rPr>
        <w:t>Demostración analítica y cuantitativa de las patologías matemáticas que justificaron el descarte empírico de la co-ocurrencia transaccional cruda.</w:t>
      </w:r>
    </w:p>
    <w:p>
      <w:pPr>
        <w:spacing w:line="276" w:lineRule="auto" w:before="0" w:after="70"/>
        <w:ind w:left="403" w:hanging="403"/>
        <w:jc w:val="both"/>
      </w:pPr>
      <w:r>
        <w:rPr>
          <w:rFonts w:ascii="Times New Roman" w:hAnsi="Times New Roman"/>
          <w:b/>
          <w:sz w:val="22"/>
        </w:rPr>
        <w:t xml:space="preserve">8.  </w:t>
      </w:r>
      <w:r>
        <w:rPr>
          <w:rFonts w:ascii="Times New Roman" w:hAnsi="Times New Roman"/>
          <w:b/>
          <w:sz w:val="22"/>
        </w:rPr>
        <w:t xml:space="preserve">Actividad 8: </w:t>
      </w:r>
      <w:r>
        <w:rPr>
          <w:rFonts w:ascii="Times New Roman" w:hAnsi="Times New Roman"/>
          <w:b w:val="0"/>
          <w:i w:val="0"/>
          <w:color w:val="000000"/>
          <w:sz w:val="22"/>
        </w:rPr>
        <w:t>Síntesis comparativa global de los doce recomendadores, construcción de la frontera estratégica de cobertura frente a personalización y diseño de la arquitectura bancaria en dos fases.</w:t>
      </w:r>
    </w:p>
    <w:p>
      <w:pPr>
        <w:keepNext/>
        <w:spacing w:before="180" w:after="60"/>
        <w:jc w:val="left"/>
      </w:pPr>
      <w:r>
        <w:rPr>
          <w:rFonts w:ascii="Times New Roman" w:hAnsi="Times New Roman"/>
          <w:b/>
          <w:i w:val="0"/>
          <w:color w:val="000000"/>
          <w:sz w:val="23"/>
        </w:rPr>
        <w:t>2.7 Resultados obtenidos</w:t>
      </w:r>
    </w:p>
    <w:p>
      <w:pPr>
        <w:keepNext/>
        <w:spacing w:before="140" w:after="40"/>
        <w:jc w:val="left"/>
      </w:pPr>
      <w:r>
        <w:rPr>
          <w:rFonts w:ascii="Times New Roman" w:hAnsi="Times New Roman"/>
          <w:b/>
          <w:i w:val="0"/>
          <w:color w:val="000000"/>
          <w:sz w:val="22"/>
        </w:rPr>
        <w:t>2.7.1 Marco conceptual aplicado y taxonomía de sistemas de recomendación en la banca comercial</w:t>
      </w:r>
    </w:p>
    <w:p>
      <w:pPr>
        <w:spacing w:line="276" w:lineRule="auto" w:before="0" w:after="90"/>
        <w:jc w:val="both"/>
      </w:pPr>
      <w:r>
        <w:rPr>
          <w:rFonts w:ascii="Times New Roman" w:hAnsi="Times New Roman"/>
          <w:b w:val="0"/>
          <w:i w:val="0"/>
          <w:color w:val="000000"/>
          <w:sz w:val="22"/>
        </w:rPr>
        <w:t>En el ecosistema bancario contemporáneo, un sistema de recomendación (Recommender System, RS) constituye una herramienta analítica avanzada diseñada para estimar la propensión, interés o afinidad de un cliente hacia productos financieros específicos que no posee activamente. A diferencia del comercio electrónico generalista (donde prima la compra por impulso), los servicios bancarios involucran compromisos contractuales de largo plazo, riesgo de crédito, requerimientos de liquidez y normativas regulatorias estrictas. En consecuencia, un motor de recomendación financiero no solo debe identificar qué producto atrae al cliente, sino también si dicho producto es coherente con su capacidad de pago y si preserva la salud patrimonial de la institución.</w:t>
      </w:r>
    </w:p>
    <w:p>
      <w:pPr>
        <w:spacing w:line="276" w:lineRule="auto" w:before="0" w:after="90"/>
        <w:jc w:val="both"/>
      </w:pPr>
      <w:r>
        <w:rPr>
          <w:rFonts w:ascii="Times New Roman" w:hAnsi="Times New Roman"/>
          <w:b w:val="0"/>
          <w:i w:val="0"/>
          <w:color w:val="000000"/>
          <w:sz w:val="22"/>
        </w:rPr>
        <w:t>Formulación matemática general del problema de recomendación: Sea U = {u_1, u_2, ..., u_M} el conjunto universal de clientes de la entidad financiera, y sea I = {i_1, i_2, ..., i_N} el catálogo de productos y servicios ofertados por la institución. El historial de interacciones se representa matricialmente mediante R en el espacio real R^(M x N), donde cada elemento escalar r_{u, i} cuantifica la intensidad de preferencia observada. En el ámbito bancario, la gran mayoría de las combinaciones cliente-producto carecen de interacción previa, dando lugar a una matriz con una densidad sumamente baja. La dispersión analítica se formula como:</w:t>
      </w:r>
    </w:p>
    <w:p>
      <w:pPr>
        <w:keepNext/>
        <w:spacing w:before="80" w:after="80"/>
        <w:jc w:val="center"/>
      </w:pPr>
      <m:oMathPara>
        <m:oMath>
          <m:r>
            <m:t>S=1−</m:t>
          </m:r>
          <m:f>
            <m:fPr>
              <m:type m:val="bar"/>
            </m:fPr>
            <m:num>
              <m:d>
                <m:dPr>
                  <m:begChr m:val="|"/>
                  <m:sepChr m:val=""/>
                  <m:endChr m:val="|"/>
                </m:dPr>
                <m:e>
                  <m:sSub>
                    <m:e>
                      <m:r>
                        <m:t>R</m:t>
                      </m:r>
                    </m:e>
                    <m:sub>
                      <m:r>
                        <m:rPr>
                          <m:nor/>
                        </m:rPr>
                        <m:t>observados</m:t>
                      </m:r>
                    </m:sub>
                  </m:sSub>
                </m:e>
              </m:d>
            </m:num>
            <m:den>
              <m:d>
                <m:dPr>
                  <m:begChr m:val="|"/>
                  <m:sepChr m:val=""/>
                  <m:endChr m:val="|"/>
                </m:dPr>
                <m:e>
                  <m:r>
                    <m:t>U</m:t>
                  </m:r>
                  <m:r>
                    <m:t>|</m:t>
                  </m:r>
                  <m:r>
                    <m:t>×</m:t>
                  </m:r>
                  <m:r>
                    <m:t>|</m:t>
                  </m:r>
                  <m:r>
                    <m:t>I</m:t>
                  </m:r>
                </m:e>
              </m:d>
            </m:den>
          </m:f>
        </m:oMath>
      </m:oMathPara>
    </w:p>
    <w:p>
      <w:pPr>
        <w:spacing w:line="276" w:lineRule="auto" w:before="0" w:after="90"/>
        <w:jc w:val="both"/>
      </w:pPr>
      <w:r>
        <w:rPr>
          <w:rFonts w:ascii="Times New Roman" w:hAnsi="Times New Roman"/>
          <w:b w:val="0"/>
          <w:i w:val="0"/>
          <w:color w:val="000000"/>
          <w:sz w:val="22"/>
        </w:rPr>
        <w:t>donde |R_observados| es el recuento de contratos o movimientos existentes. En la banca comercial minorista, este índice de dispersión S supera típicamente el 85%, lo que impone restricciones severas a los algoritmos que requieren solapamiento denso. La meta algorítmica es aprender una función de correspondencia f: U x I -&gt; R que estime las calificaciones implícitas latentes rhat_{u, j} para todos los productos j no pertenecientes a la cartera activa del cliente u, de modo que se minimice el error de predicción sobre las preferencias futuras y se maximice la precisión del ranking Top-N resultante.</w:t>
      </w:r>
    </w:p>
    <w:p>
      <w:pPr>
        <w:spacing w:line="276" w:lineRule="auto" w:before="0" w:after="90"/>
        <w:jc w:val="both"/>
      </w:pPr>
      <w:r>
        <w:rPr>
          <w:rFonts w:ascii="Times New Roman" w:hAnsi="Times New Roman"/>
          <w:b w:val="0"/>
          <w:i w:val="0"/>
          <w:color w:val="000000"/>
          <w:sz w:val="22"/>
        </w:rPr>
        <w:t>De acuerdo con la literatura científica clásica y las directrices curriculares de la asignatura Inteligencia de Negocios, los sistemas de recomendación se estructuran en tres familias metodológicas principales, enriquecidas por una cuarta categoría transversal de gobernanza financiera: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Familia de Filtrado Colaborativo (Collaborative Filtering): </w:t>
      </w:r>
      <w:r>
        <w:rPr>
          <w:rFonts w:ascii="Times New Roman" w:hAnsi="Times New Roman"/>
          <w:b w:val="0"/>
          <w:i w:val="0"/>
          <w:color w:val="000000"/>
          <w:sz w:val="22"/>
        </w:rPr>
        <w:t>Se fundamenta en la premisa socioconductual de que clientes con hábitos de consumo o transaccionalidad similares en el pasado mantendrán preferencias convergentes en el futuro. No requiere conocer los atributos contractuales intrínsecos de los productos ni el perfil demográfico del usuario; opera exclusivamente sobre la matriz de interacciones usuario-producto. Dentro de esta familia coexisten dos grandes orientaciones: (a) Enfoques basados en usuarios (User-to-User), que localizan gemelos comportamentales para transferir recomendaciones; y (b) Enfoques basados en productos o ítems (Item-to-Item, como Slope One y Coseno Ajustado), que calculan la proximidad o diferencias relativas entre pares de servicios sobre clientes comunes. En el ámbito académico (diapositivas de clase), los métodos colaborativos suelen agruparse bajo el término general 'filtrado basado en usuarios' en contraposición al de contenidos, si bien técnicamente Slope One e Item-kNN operan sobre vectores columna de productos.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Familia de Filtrado Basado en Contenidos (Content-Based Filtering): </w:t>
      </w:r>
      <w:r>
        <w:rPr>
          <w:rFonts w:ascii="Times New Roman" w:hAnsi="Times New Roman"/>
          <w:b w:val="0"/>
          <w:i w:val="0"/>
          <w:color w:val="000000"/>
          <w:sz w:val="22"/>
        </w:rPr>
        <w:t>Recomienda productos comparando las características técnicas, legales y funcionales del catálogo bancario con los antecedentes de consumo del cliente. Modela tanto el perfil del producto como las preferencias del usuario a través de representaciones vectoriales de atributos (plazos, cláusulas de amortización, coberturas de seguro, requisitos de colateral). Es el enfoque canónico para superar el arranque en frío de productos (Item Cold Start): un crédito recién creado puede ser sugerido inmediatamente al mapear sus descriptores textuales mediante técnicas de Procesamiento de Lenguaje Natural como TF-IDF.</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Familia de Filtrado Demográfico (Demographic Filtering): </w:t>
      </w:r>
      <w:r>
        <w:rPr>
          <w:rFonts w:ascii="Times New Roman" w:hAnsi="Times New Roman"/>
          <w:b w:val="0"/>
          <w:i w:val="0"/>
          <w:color w:val="000000"/>
          <w:sz w:val="22"/>
        </w:rPr>
        <w:t>Explota los atributos sociodemográficos del cliente (edad, sexo, macro-región geográfica, nivel salarial distrital) bajo el postulado de que usuarios pertenecientes al mismo estrato poblacional exhiben necesidades bancarias homogéneas. Basado en la teoría clásica de estereotipos (Rich, 1979), este enfoque resulta indispensable para resolver el arranque en frío de nuevos usuarios (User Cold Start): en el momento exacto en que un ciudadano abre su primera cuenta de ahorros y carece por completo de historial transaccional, el banco puede asignarle ofertas personalizadas acordes al consumo promedio de su arquetipo demográfico.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Modelos Basados en el Conocimiento y en la Utilidad Financiera (Knowledge &amp; Utility-Based): </w:t>
      </w:r>
      <w:r>
        <w:rPr>
          <w:rFonts w:ascii="Times New Roman" w:hAnsi="Times New Roman"/>
          <w:b w:val="0"/>
          <w:i w:val="0"/>
          <w:color w:val="000000"/>
          <w:sz w:val="22"/>
        </w:rPr>
        <w:t>A diferencia de los modelos puramente asociativos o estadísticos, estos sistemas incorporan conocimiento explícito del negocio crediticio, reglas de política monetaria y funciones matemáticas de utilidad. Evalúan de manera determinista si la contratación de un producto cumple con las compuertas de solvencia de la entidad (por ejemplo, verificando que la cuota de amortización no sobrepase el 30% del salario distrital promedio del cliente y bloqueando a usuarios con morosidad histórica). Actúan como una capa transversal de prudencia bancaria que previene activamente el sobreendeudamiento.</w:t>
      </w:r>
    </w:p>
    <w:p>
      <w:pPr>
        <w:spacing w:line="276" w:lineRule="auto" w:before="0" w:after="90"/>
        <w:jc w:val="both"/>
      </w:pPr>
      <w:r>
        <w:rPr>
          <w:rFonts w:ascii="Times New Roman" w:hAnsi="Times New Roman"/>
          <w:b w:val="0"/>
          <w:i w:val="0"/>
          <w:color w:val="000000"/>
          <w:sz w:val="22"/>
        </w:rPr>
        <w:t>Naturaleza de los ratings implícitos en banca: En la operativa bancaria real, los clientes no otorgan puntuaciones explícitas de 1 a 5 estrellas a sus transferencias o débitos automáticos. Por consiguiente, las calificaciones deben inferirse matemáticamente a partir de señales de comportamiento implícito: la recurrencia de movimientos contables, la contratación formal de órdenes domiciliadas y la tenencia de préstamos. Siguiendo el marco conceptual formalizado por Hu, Koren y Volinsky (2008), la retroalimentación implícita en finanzas presenta dos propiedades críticas: (1) Ausencia de señales negativas explícitas: el hecho de que un cliente no mantenga un seguro de vida no significa aversión, sino posiblemente falta de exposición o necesidad temporal; y (2) La frecuencia operacional x_{u, i} actúa como una medida monótona de confianza c_{u, i} en la preferencia del usuario, no como una satisfacción hedónica directa. Para procesar estas señales, se normalizan y escalan rigurosamente para alimentar las matrices analíticas.</w:t>
      </w:r>
    </w:p>
    <w:p>
      <w:pPr>
        <w:spacing w:line="276" w:lineRule="auto" w:before="0" w:after="90"/>
        <w:jc w:val="both"/>
      </w:pPr>
      <w:r>
        <w:rPr>
          <w:rFonts w:ascii="Times New Roman" w:hAnsi="Times New Roman"/>
          <w:b w:val="0"/>
          <w:i w:val="0"/>
          <w:color w:val="000000"/>
          <w:sz w:val="22"/>
        </w:rPr>
        <w:t>Taxonomía del problema de arranque en frío (Cold Start) en la industria bancaria: El fenómeno de arranque en frío representa el reto de ingeniería predictiva más agudo en instituciones financieras. Se manifiesta en tres vertientes operacionales: (a) Arranque en Frío de Usuario (User Cold Start), que afecta a cada cliente que se vincula por primera vez al banco; al carecer de meses de depósitos o transacciones, los métodos colaborativos puros colapsan en indeterminación matemática. (b) Arranque en Frío de Producto (Item Cold Start), que surge cuando la institución diseña una nueva línea de financiamiento verde o un seguro de ciber-riesgo sin clientes históricos asociados. (c) Arranque en Frío del Sistema (System Cold Start), correspondiente a la puesta en marcha de una nueva filial bancaria. Como se demostrará cuantitativamente a lo largo del informe, la solución óptima radica en una arquitectura híbrida donde el Filtrado Demográfico (Modelo 4A) y el Filtrado Basado en Contenidos con TF-IDF (Modelo 3A) operan como amortiguadores iniciales con cobertura total (100%), transfiriendo progresivamente los clientes a los modelos colaborativos (Slope One, ITF y kNN) conforme su huella transaccional madura.</w:t>
      </w:r>
    </w:p>
    <w:p>
      <w:pPr>
        <w:keepNext/>
        <w:spacing w:before="140" w:after="40"/>
        <w:jc w:val="left"/>
      </w:pPr>
      <w:r>
        <w:rPr>
          <w:rFonts w:ascii="Times New Roman" w:hAnsi="Times New Roman"/>
          <w:b/>
          <w:i w:val="0"/>
          <w:color w:val="000000"/>
          <w:sz w:val="22"/>
        </w:rPr>
        <w:t>2.7.2 Origen de los datos y arquitectura del Data Warehouse Bancario (Financial_ijs)</w:t>
      </w:r>
    </w:p>
    <w:p>
      <w:pPr>
        <w:spacing w:line="276" w:lineRule="auto" w:before="0" w:after="90"/>
        <w:jc w:val="both"/>
      </w:pPr>
      <w:r>
        <w:rPr>
          <w:rFonts w:ascii="Times New Roman" w:hAnsi="Times New Roman"/>
          <w:b w:val="0"/>
          <w:i w:val="0"/>
          <w:color w:val="000000"/>
          <w:sz w:val="22"/>
        </w:rPr>
        <w:t>Para el desarrollo experimental de la práctica se tomó como fuente la base de datos bancaria Financial_ijs (correspondiente al benchmark internacional PKDD'99 Financial Discovery Challenge), la cual contiene registros operacionales, cuentas, contratos y clientes de un banco comercial a lo largo de un período de seis años (1993 a 1998). A partir de este repositorio relacional transaccional, se construyó un Data Warehouse bajo la metodología dimensional de Ralph Kimball en esquema de estrella con dimensiones conformadas compartidas, desde el cual se extrajeron y consolidaron los cuatro DataFrames analíticos limpios utilizados en los modelos de recomendación: df_transacciones (1,056,320 movimientos contables y pagos), df_ordenes (6,471 órdenes de débito permanente domiciliadas en 3,758 cuentas), df_prestamos (682 contratos de crédito con sus plazos y cuotas) y df_cliente_consolidado (visión 360° sociodemográfica y financiera de 5,369 clientes). Las características de las entidades originales se detallan en la Tabla 1.</w:t>
      </w:r>
    </w:p>
    <w:p>
      <w:pPr>
        <w:keepNext/>
        <w:spacing w:before="200" w:after="80"/>
        <w:jc w:val="center"/>
      </w:pPr>
      <w:r>
        <w:rPr>
          <w:rFonts w:ascii="Times New Roman" w:hAnsi="Times New Roman"/>
          <w:b/>
          <w:i w:val="0"/>
          <w:color w:val="000000"/>
          <w:sz w:val="21"/>
        </w:rPr>
        <w:t>Tabla 1:</w:t>
      </w:r>
      <w:r>
        <w:rPr>
          <w:rFonts w:ascii="Times New Roman" w:hAnsi="Times New Roman"/>
          <w:sz w:val="21"/>
        </w:rPr>
        <w:t xml:space="preserve"> Inventario de Objetos del Sistema Transaccional Bancario (Financial_ijs).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760"/>
        <w:gridCol w:w="1760"/>
        <w:gridCol w:w="1760"/>
        <w:gridCol w:w="1760"/>
        <w:gridCol w:w="1760"/>
      </w:tblGrid>
      <w:tr>
        <w:trPr>
          <w:tblHeader/>
          <w:cantSplit/>
        </w:trPr>
        <w:tc>
          <w:tcPr>
            <w:tcW w:type="dxa" w:w="1242"/>
            <w:vAlign w:val="center"/>
            <w:tcBorders>
              <w:bottom w:val="single" w:sz="6" w:space="0" w:color="000000"/>
            </w:tcBorders>
          </w:tcPr>
          <w:p>
            <w:pPr>
              <w:spacing w:before="0" w:after="0" w:line="252" w:lineRule="auto"/>
              <w:jc w:val="center"/>
            </w:pPr>
            <w:r>
              <w:rPr>
                <w:rFonts w:ascii="Times New Roman" w:hAnsi="Times New Roman"/>
                <w:b/>
                <w:i w:val="0"/>
                <w:color w:val="000000"/>
                <w:sz w:val="17"/>
              </w:rPr>
              <w:t>Tabla Origen</w:t>
            </w:r>
          </w:p>
        </w:tc>
        <w:tc>
          <w:tcPr>
            <w:tcW w:type="dxa" w:w="1557"/>
            <w:vAlign w:val="center"/>
            <w:tcBorders>
              <w:bottom w:val="single" w:sz="6" w:space="0" w:color="000000"/>
            </w:tcBorders>
          </w:tcPr>
          <w:p>
            <w:pPr>
              <w:spacing w:before="0" w:after="0" w:line="252" w:lineRule="auto"/>
              <w:jc w:val="center"/>
            </w:pPr>
            <w:r>
              <w:rPr>
                <w:rFonts w:ascii="Times New Roman" w:hAnsi="Times New Roman"/>
                <w:b/>
                <w:i w:val="0"/>
                <w:color w:val="000000"/>
                <w:sz w:val="17"/>
              </w:rPr>
              <w:t>Tipo de Entidad</w:t>
            </w:r>
          </w:p>
        </w:tc>
        <w:tc>
          <w:tcPr>
            <w:tcW w:type="dxa" w:w="2716"/>
            <w:vAlign w:val="center"/>
            <w:tcBorders>
              <w:bottom w:val="single" w:sz="6" w:space="0" w:color="000000"/>
            </w:tcBorders>
          </w:tcPr>
          <w:p>
            <w:pPr>
              <w:spacing w:before="0" w:after="0" w:line="252" w:lineRule="auto"/>
              <w:jc w:val="center"/>
            </w:pPr>
            <w:r>
              <w:rPr>
                <w:rFonts w:ascii="Times New Roman" w:hAnsi="Times New Roman"/>
                <w:b/>
                <w:i w:val="0"/>
                <w:color w:val="000000"/>
                <w:sz w:val="17"/>
              </w:rPr>
              <w:t>Grano de la Información</w:t>
            </w:r>
          </w:p>
        </w:tc>
        <w:tc>
          <w:tcPr>
            <w:tcW w:type="dxa" w:w="1030"/>
            <w:vAlign w:val="center"/>
            <w:tcBorders>
              <w:bottom w:val="single" w:sz="6" w:space="0" w:color="000000"/>
            </w:tcBorders>
          </w:tcPr>
          <w:p>
            <w:pPr>
              <w:spacing w:before="0" w:after="0" w:line="252" w:lineRule="auto"/>
              <w:jc w:val="center"/>
            </w:pPr>
            <w:r>
              <w:rPr>
                <w:rFonts w:ascii="Times New Roman" w:hAnsi="Times New Roman"/>
                <w:b/>
                <w:i w:val="0"/>
                <w:color w:val="000000"/>
                <w:sz w:val="17"/>
              </w:rPr>
              <w:t>Registros</w:t>
            </w:r>
          </w:p>
        </w:tc>
        <w:tc>
          <w:tcPr>
            <w:tcW w:type="dxa" w:w="2253"/>
            <w:vAlign w:val="center"/>
            <w:tcBorders>
              <w:bottom w:val="single" w:sz="6" w:space="0" w:color="000000"/>
            </w:tcBorders>
          </w:tcPr>
          <w:p>
            <w:pPr>
              <w:spacing w:before="0" w:after="0" w:line="252" w:lineRule="auto"/>
              <w:jc w:val="center"/>
            </w:pPr>
            <w:r>
              <w:rPr>
                <w:rFonts w:ascii="Times New Roman" w:hAnsi="Times New Roman"/>
                <w:b/>
                <w:i w:val="0"/>
                <w:color w:val="000000"/>
                <w:sz w:val="17"/>
              </w:rPr>
              <w:t>Claves Primarias / Foráneas</w:t>
            </w:r>
          </w:p>
        </w:tc>
      </w:tr>
      <w:tr>
        <w:trPr>
          <w:cantSplit/>
        </w:trPr>
        <w:tc>
          <w:tcPr>
            <w:tcW w:type="dxa" w:w="1242"/>
            <w:vAlign w:val="center"/>
          </w:tcPr>
          <w:p>
            <w:pPr>
              <w:spacing w:before="0" w:after="0" w:line="252" w:lineRule="auto"/>
              <w:jc w:val="left"/>
            </w:pPr>
            <w:r>
              <w:rPr>
                <w:rFonts w:ascii="Times New Roman" w:hAnsi="Times New Roman"/>
                <w:b w:val="0"/>
                <w:i w:val="0"/>
                <w:color w:val="000000"/>
                <w:sz w:val="17"/>
              </w:rPr>
              <w:t>client</w:t>
            </w:r>
          </w:p>
        </w:tc>
        <w:tc>
          <w:tcPr>
            <w:tcW w:type="dxa" w:w="1557"/>
            <w:vAlign w:val="center"/>
          </w:tcPr>
          <w:p>
            <w:pPr>
              <w:spacing w:before="0" w:after="0" w:line="252" w:lineRule="auto"/>
              <w:jc w:val="left"/>
            </w:pPr>
            <w:r>
              <w:rPr>
                <w:rFonts w:ascii="Times New Roman" w:hAnsi="Times New Roman"/>
                <w:b w:val="0"/>
                <w:i w:val="0"/>
                <w:color w:val="000000"/>
                <w:sz w:val="17"/>
              </w:rPr>
              <w:t>Dimensión</w:t>
            </w:r>
          </w:p>
        </w:tc>
        <w:tc>
          <w:tcPr>
            <w:tcW w:type="dxa" w:w="2716"/>
            <w:vAlign w:val="center"/>
          </w:tcPr>
          <w:p>
            <w:pPr>
              <w:spacing w:before="0" w:after="0" w:line="252" w:lineRule="auto"/>
              <w:jc w:val="left"/>
            </w:pPr>
            <w:r>
              <w:rPr>
                <w:rFonts w:ascii="Times New Roman" w:hAnsi="Times New Roman"/>
                <w:b w:val="0"/>
                <w:i w:val="0"/>
                <w:color w:val="000000"/>
                <w:sz w:val="17"/>
              </w:rPr>
              <w:t>Un cliente registrado en la entidad</w:t>
            </w:r>
          </w:p>
        </w:tc>
        <w:tc>
          <w:tcPr>
            <w:tcW w:type="dxa" w:w="1030"/>
            <w:vAlign w:val="center"/>
          </w:tcPr>
          <w:p>
            <w:pPr>
              <w:spacing w:before="0" w:after="0" w:line="252" w:lineRule="auto"/>
              <w:jc w:val="center"/>
            </w:pPr>
            <w:r>
              <w:rPr>
                <w:rFonts w:ascii="Times New Roman" w:hAnsi="Times New Roman"/>
                <w:b w:val="0"/>
                <w:i w:val="0"/>
                <w:color w:val="000000"/>
                <w:sz w:val="17"/>
              </w:rPr>
              <w:t>5,369</w:t>
            </w:r>
          </w:p>
        </w:tc>
        <w:tc>
          <w:tcPr>
            <w:tcW w:type="dxa" w:w="2253"/>
            <w:vAlign w:val="center"/>
          </w:tcPr>
          <w:p>
            <w:pPr>
              <w:spacing w:before="0" w:after="0" w:line="252" w:lineRule="auto"/>
              <w:jc w:val="left"/>
            </w:pPr>
            <w:r>
              <w:rPr>
                <w:rFonts w:ascii="Times New Roman" w:hAnsi="Times New Roman"/>
                <w:b w:val="0"/>
                <w:i w:val="0"/>
                <w:color w:val="000000"/>
                <w:sz w:val="17"/>
              </w:rPr>
              <w:t>client_id, district_id</w:t>
            </w:r>
          </w:p>
        </w:tc>
      </w:tr>
      <w:tr>
        <w:trPr>
          <w:cantSplit/>
        </w:trPr>
        <w:tc>
          <w:tcPr>
            <w:tcW w:type="dxa" w:w="1242"/>
            <w:vAlign w:val="center"/>
          </w:tcPr>
          <w:p>
            <w:pPr>
              <w:spacing w:before="0" w:after="0" w:line="252" w:lineRule="auto"/>
              <w:jc w:val="left"/>
            </w:pPr>
            <w:r>
              <w:rPr>
                <w:rFonts w:ascii="Times New Roman" w:hAnsi="Times New Roman"/>
                <w:b w:val="0"/>
                <w:i w:val="0"/>
                <w:color w:val="000000"/>
                <w:sz w:val="17"/>
              </w:rPr>
              <w:t>account</w:t>
            </w:r>
          </w:p>
        </w:tc>
        <w:tc>
          <w:tcPr>
            <w:tcW w:type="dxa" w:w="1557"/>
            <w:vAlign w:val="center"/>
          </w:tcPr>
          <w:p>
            <w:pPr>
              <w:spacing w:before="0" w:after="0" w:line="252" w:lineRule="auto"/>
              <w:jc w:val="left"/>
            </w:pPr>
            <w:r>
              <w:rPr>
                <w:rFonts w:ascii="Times New Roman" w:hAnsi="Times New Roman"/>
                <w:b w:val="0"/>
                <w:i w:val="0"/>
                <w:color w:val="000000"/>
                <w:sz w:val="17"/>
              </w:rPr>
              <w:t>Dimensión</w:t>
            </w:r>
          </w:p>
        </w:tc>
        <w:tc>
          <w:tcPr>
            <w:tcW w:type="dxa" w:w="2716"/>
            <w:vAlign w:val="center"/>
          </w:tcPr>
          <w:p>
            <w:pPr>
              <w:spacing w:before="0" w:after="0" w:line="252" w:lineRule="auto"/>
              <w:jc w:val="left"/>
            </w:pPr>
            <w:r>
              <w:rPr>
                <w:rFonts w:ascii="Times New Roman" w:hAnsi="Times New Roman"/>
                <w:b w:val="0"/>
                <w:i w:val="0"/>
                <w:color w:val="000000"/>
                <w:sz w:val="17"/>
              </w:rPr>
              <w:t>Una cuenta bancaria matriz</w:t>
            </w:r>
          </w:p>
        </w:tc>
        <w:tc>
          <w:tcPr>
            <w:tcW w:type="dxa" w:w="1030"/>
            <w:vAlign w:val="center"/>
          </w:tcPr>
          <w:p>
            <w:pPr>
              <w:spacing w:before="0" w:after="0" w:line="252" w:lineRule="auto"/>
              <w:jc w:val="center"/>
            </w:pPr>
            <w:r>
              <w:rPr>
                <w:rFonts w:ascii="Times New Roman" w:hAnsi="Times New Roman"/>
                <w:b w:val="0"/>
                <w:i w:val="0"/>
                <w:color w:val="000000"/>
                <w:sz w:val="17"/>
              </w:rPr>
              <w:t>4,500</w:t>
            </w:r>
          </w:p>
        </w:tc>
        <w:tc>
          <w:tcPr>
            <w:tcW w:type="dxa" w:w="2253"/>
            <w:vAlign w:val="center"/>
          </w:tcPr>
          <w:p>
            <w:pPr>
              <w:spacing w:before="0" w:after="0" w:line="252" w:lineRule="auto"/>
              <w:jc w:val="left"/>
            </w:pPr>
            <w:r>
              <w:rPr>
                <w:rFonts w:ascii="Times New Roman" w:hAnsi="Times New Roman"/>
                <w:b w:val="0"/>
                <w:i w:val="0"/>
                <w:color w:val="000000"/>
                <w:sz w:val="17"/>
              </w:rPr>
              <w:t>account_id, district_id</w:t>
            </w:r>
          </w:p>
        </w:tc>
      </w:tr>
      <w:tr>
        <w:trPr>
          <w:cantSplit/>
        </w:trPr>
        <w:tc>
          <w:tcPr>
            <w:tcW w:type="dxa" w:w="1242"/>
            <w:vAlign w:val="center"/>
          </w:tcPr>
          <w:p>
            <w:pPr>
              <w:spacing w:before="0" w:after="0" w:line="252" w:lineRule="auto"/>
              <w:jc w:val="left"/>
            </w:pPr>
            <w:r>
              <w:rPr>
                <w:rFonts w:ascii="Times New Roman" w:hAnsi="Times New Roman"/>
                <w:b w:val="0"/>
                <w:i w:val="0"/>
                <w:color w:val="000000"/>
                <w:sz w:val="17"/>
              </w:rPr>
              <w:t>disp</w:t>
            </w:r>
          </w:p>
        </w:tc>
        <w:tc>
          <w:tcPr>
            <w:tcW w:type="dxa" w:w="1557"/>
            <w:vAlign w:val="center"/>
          </w:tcPr>
          <w:p>
            <w:pPr>
              <w:spacing w:before="0" w:after="0" w:line="252" w:lineRule="auto"/>
              <w:jc w:val="left"/>
            </w:pPr>
            <w:r>
              <w:rPr>
                <w:rFonts w:ascii="Times New Roman" w:hAnsi="Times New Roman"/>
                <w:b w:val="0"/>
                <w:i w:val="0"/>
                <w:color w:val="000000"/>
                <w:sz w:val="17"/>
              </w:rPr>
              <w:t>Relación / Puente</w:t>
            </w:r>
          </w:p>
        </w:tc>
        <w:tc>
          <w:tcPr>
            <w:tcW w:type="dxa" w:w="2716"/>
            <w:vAlign w:val="center"/>
          </w:tcPr>
          <w:p>
            <w:pPr>
              <w:spacing w:before="0" w:after="0" w:line="252" w:lineRule="auto"/>
              <w:jc w:val="left"/>
            </w:pPr>
            <w:r>
              <w:rPr>
                <w:rFonts w:ascii="Times New Roman" w:hAnsi="Times New Roman"/>
                <w:b w:val="0"/>
                <w:i w:val="0"/>
                <w:color w:val="000000"/>
                <w:sz w:val="17"/>
              </w:rPr>
              <w:t>Vínculo cliente - cuenta bancaria</w:t>
            </w:r>
          </w:p>
        </w:tc>
        <w:tc>
          <w:tcPr>
            <w:tcW w:type="dxa" w:w="1030"/>
            <w:vAlign w:val="center"/>
          </w:tcPr>
          <w:p>
            <w:pPr>
              <w:spacing w:before="0" w:after="0" w:line="252" w:lineRule="auto"/>
              <w:jc w:val="center"/>
            </w:pPr>
            <w:r>
              <w:rPr>
                <w:rFonts w:ascii="Times New Roman" w:hAnsi="Times New Roman"/>
                <w:b w:val="0"/>
                <w:i w:val="0"/>
                <w:color w:val="000000"/>
                <w:sz w:val="17"/>
              </w:rPr>
              <w:t>5,369</w:t>
            </w:r>
          </w:p>
        </w:tc>
        <w:tc>
          <w:tcPr>
            <w:tcW w:type="dxa" w:w="2253"/>
            <w:vAlign w:val="center"/>
          </w:tcPr>
          <w:p>
            <w:pPr>
              <w:spacing w:before="0" w:after="0" w:line="252" w:lineRule="auto"/>
              <w:jc w:val="left"/>
            </w:pPr>
            <w:r>
              <w:rPr>
                <w:rFonts w:ascii="Times New Roman" w:hAnsi="Times New Roman"/>
                <w:b w:val="0"/>
                <w:i w:val="0"/>
                <w:color w:val="000000"/>
                <w:sz w:val="17"/>
              </w:rPr>
              <w:t>disp_id, client_id, account_id</w:t>
            </w:r>
          </w:p>
        </w:tc>
      </w:tr>
      <w:tr>
        <w:trPr>
          <w:cantSplit/>
        </w:trPr>
        <w:tc>
          <w:tcPr>
            <w:tcW w:type="dxa" w:w="1242"/>
            <w:vAlign w:val="center"/>
          </w:tcPr>
          <w:p>
            <w:pPr>
              <w:spacing w:before="0" w:after="0" w:line="252" w:lineRule="auto"/>
              <w:jc w:val="left"/>
            </w:pPr>
            <w:r>
              <w:rPr>
                <w:rFonts w:ascii="Times New Roman" w:hAnsi="Times New Roman"/>
                <w:b w:val="0"/>
                <w:i w:val="0"/>
                <w:color w:val="000000"/>
                <w:sz w:val="17"/>
              </w:rPr>
              <w:t>trans</w:t>
            </w:r>
          </w:p>
        </w:tc>
        <w:tc>
          <w:tcPr>
            <w:tcW w:type="dxa" w:w="1557"/>
            <w:vAlign w:val="center"/>
          </w:tcPr>
          <w:p>
            <w:pPr>
              <w:spacing w:before="0" w:after="0" w:line="252" w:lineRule="auto"/>
              <w:jc w:val="left"/>
            </w:pPr>
            <w:r>
              <w:rPr>
                <w:rFonts w:ascii="Times New Roman" w:hAnsi="Times New Roman"/>
                <w:b w:val="0"/>
                <w:i w:val="0"/>
                <w:color w:val="000000"/>
                <w:sz w:val="17"/>
              </w:rPr>
              <w:t>Tabla de Hechos</w:t>
            </w:r>
          </w:p>
        </w:tc>
        <w:tc>
          <w:tcPr>
            <w:tcW w:type="dxa" w:w="2716"/>
            <w:vAlign w:val="center"/>
          </w:tcPr>
          <w:p>
            <w:pPr>
              <w:spacing w:before="0" w:after="0" w:line="252" w:lineRule="auto"/>
              <w:jc w:val="left"/>
            </w:pPr>
            <w:r>
              <w:rPr>
                <w:rFonts w:ascii="Times New Roman" w:hAnsi="Times New Roman"/>
                <w:b w:val="0"/>
                <w:i w:val="0"/>
                <w:color w:val="000000"/>
                <w:sz w:val="17"/>
              </w:rPr>
              <w:t>Un movimiento o transacción contable</w:t>
            </w:r>
          </w:p>
        </w:tc>
        <w:tc>
          <w:tcPr>
            <w:tcW w:type="dxa" w:w="1030"/>
            <w:vAlign w:val="center"/>
          </w:tcPr>
          <w:p>
            <w:pPr>
              <w:spacing w:before="0" w:after="0" w:line="252" w:lineRule="auto"/>
              <w:jc w:val="center"/>
            </w:pPr>
            <w:r>
              <w:rPr>
                <w:rFonts w:ascii="Times New Roman" w:hAnsi="Times New Roman"/>
                <w:b w:val="0"/>
                <w:i w:val="0"/>
                <w:color w:val="000000"/>
                <w:sz w:val="17"/>
              </w:rPr>
              <w:t>1,056,320</w:t>
            </w:r>
          </w:p>
        </w:tc>
        <w:tc>
          <w:tcPr>
            <w:tcW w:type="dxa" w:w="2253"/>
            <w:vAlign w:val="center"/>
          </w:tcPr>
          <w:p>
            <w:pPr>
              <w:spacing w:before="0" w:after="0" w:line="252" w:lineRule="auto"/>
              <w:jc w:val="left"/>
            </w:pPr>
            <w:r>
              <w:rPr>
                <w:rFonts w:ascii="Times New Roman" w:hAnsi="Times New Roman"/>
                <w:b w:val="0"/>
                <w:i w:val="0"/>
                <w:color w:val="000000"/>
                <w:sz w:val="17"/>
              </w:rPr>
              <w:t>trans_id, account_id, k_symbol</w:t>
            </w:r>
          </w:p>
        </w:tc>
      </w:tr>
      <w:tr>
        <w:trPr>
          <w:cantSplit/>
        </w:trPr>
        <w:tc>
          <w:tcPr>
            <w:tcW w:type="dxa" w:w="1242"/>
            <w:vAlign w:val="center"/>
          </w:tcPr>
          <w:p>
            <w:pPr>
              <w:spacing w:before="0" w:after="0" w:line="252" w:lineRule="auto"/>
              <w:jc w:val="left"/>
            </w:pPr>
            <w:r>
              <w:rPr>
                <w:rFonts w:ascii="Times New Roman" w:hAnsi="Times New Roman"/>
                <w:b w:val="0"/>
                <w:i w:val="0"/>
                <w:color w:val="000000"/>
                <w:sz w:val="17"/>
              </w:rPr>
              <w:t>order</w:t>
            </w:r>
          </w:p>
        </w:tc>
        <w:tc>
          <w:tcPr>
            <w:tcW w:type="dxa" w:w="1557"/>
            <w:vAlign w:val="center"/>
          </w:tcPr>
          <w:p>
            <w:pPr>
              <w:spacing w:before="0" w:after="0" w:line="252" w:lineRule="auto"/>
              <w:jc w:val="left"/>
            </w:pPr>
            <w:r>
              <w:rPr>
                <w:rFonts w:ascii="Times New Roman" w:hAnsi="Times New Roman"/>
                <w:b w:val="0"/>
                <w:i w:val="0"/>
                <w:color w:val="000000"/>
                <w:sz w:val="17"/>
              </w:rPr>
              <w:t>Tabla de Hechos</w:t>
            </w:r>
          </w:p>
        </w:tc>
        <w:tc>
          <w:tcPr>
            <w:tcW w:type="dxa" w:w="2716"/>
            <w:vAlign w:val="center"/>
          </w:tcPr>
          <w:p>
            <w:pPr>
              <w:spacing w:before="0" w:after="0" w:line="252" w:lineRule="auto"/>
              <w:jc w:val="left"/>
            </w:pPr>
            <w:r>
              <w:rPr>
                <w:rFonts w:ascii="Times New Roman" w:hAnsi="Times New Roman"/>
                <w:b w:val="0"/>
                <w:i w:val="0"/>
                <w:color w:val="000000"/>
                <w:sz w:val="17"/>
              </w:rPr>
              <w:t>Una orden de débito permanente</w:t>
            </w:r>
          </w:p>
        </w:tc>
        <w:tc>
          <w:tcPr>
            <w:tcW w:type="dxa" w:w="1030"/>
            <w:vAlign w:val="center"/>
          </w:tcPr>
          <w:p>
            <w:pPr>
              <w:spacing w:before="0" w:after="0" w:line="252" w:lineRule="auto"/>
              <w:jc w:val="center"/>
            </w:pPr>
            <w:r>
              <w:rPr>
                <w:rFonts w:ascii="Times New Roman" w:hAnsi="Times New Roman"/>
                <w:b w:val="0"/>
                <w:i w:val="0"/>
                <w:color w:val="000000"/>
                <w:sz w:val="17"/>
              </w:rPr>
              <w:t>6,471</w:t>
            </w:r>
          </w:p>
        </w:tc>
        <w:tc>
          <w:tcPr>
            <w:tcW w:type="dxa" w:w="2253"/>
            <w:vAlign w:val="center"/>
          </w:tcPr>
          <w:p>
            <w:pPr>
              <w:spacing w:before="0" w:after="0" w:line="252" w:lineRule="auto"/>
              <w:jc w:val="left"/>
            </w:pPr>
            <w:r>
              <w:rPr>
                <w:rFonts w:ascii="Times New Roman" w:hAnsi="Times New Roman"/>
                <w:b w:val="0"/>
                <w:i w:val="0"/>
                <w:color w:val="000000"/>
                <w:sz w:val="17"/>
              </w:rPr>
              <w:t>order_id, account_id, k_symbol</w:t>
            </w:r>
          </w:p>
        </w:tc>
      </w:tr>
      <w:tr>
        <w:trPr>
          <w:cantSplit/>
        </w:trPr>
        <w:tc>
          <w:tcPr>
            <w:tcW w:type="dxa" w:w="1242"/>
            <w:vAlign w:val="center"/>
          </w:tcPr>
          <w:p>
            <w:pPr>
              <w:spacing w:before="0" w:after="0" w:line="252" w:lineRule="auto"/>
              <w:jc w:val="left"/>
            </w:pPr>
            <w:r>
              <w:rPr>
                <w:rFonts w:ascii="Times New Roman" w:hAnsi="Times New Roman"/>
                <w:b w:val="0"/>
                <w:i w:val="0"/>
                <w:color w:val="000000"/>
                <w:sz w:val="17"/>
              </w:rPr>
              <w:t>loan</w:t>
            </w:r>
          </w:p>
        </w:tc>
        <w:tc>
          <w:tcPr>
            <w:tcW w:type="dxa" w:w="1557"/>
            <w:vAlign w:val="center"/>
          </w:tcPr>
          <w:p>
            <w:pPr>
              <w:spacing w:before="0" w:after="0" w:line="252" w:lineRule="auto"/>
              <w:jc w:val="left"/>
            </w:pPr>
            <w:r>
              <w:rPr>
                <w:rFonts w:ascii="Times New Roman" w:hAnsi="Times New Roman"/>
                <w:b w:val="0"/>
                <w:i w:val="0"/>
                <w:color w:val="000000"/>
                <w:sz w:val="17"/>
              </w:rPr>
              <w:t>Tabla de Hechos</w:t>
            </w:r>
          </w:p>
        </w:tc>
        <w:tc>
          <w:tcPr>
            <w:tcW w:type="dxa" w:w="2716"/>
            <w:vAlign w:val="center"/>
          </w:tcPr>
          <w:p>
            <w:pPr>
              <w:spacing w:before="0" w:after="0" w:line="252" w:lineRule="auto"/>
              <w:jc w:val="left"/>
            </w:pPr>
            <w:r>
              <w:rPr>
                <w:rFonts w:ascii="Times New Roman" w:hAnsi="Times New Roman"/>
                <w:b w:val="0"/>
                <w:i w:val="0"/>
                <w:color w:val="000000"/>
                <w:sz w:val="17"/>
              </w:rPr>
              <w:t>Un contrato formal de crédito</w:t>
            </w:r>
          </w:p>
        </w:tc>
        <w:tc>
          <w:tcPr>
            <w:tcW w:type="dxa" w:w="1030"/>
            <w:vAlign w:val="center"/>
          </w:tcPr>
          <w:p>
            <w:pPr>
              <w:spacing w:before="0" w:after="0" w:line="252" w:lineRule="auto"/>
              <w:jc w:val="center"/>
            </w:pPr>
            <w:r>
              <w:rPr>
                <w:rFonts w:ascii="Times New Roman" w:hAnsi="Times New Roman"/>
                <w:b w:val="0"/>
                <w:i w:val="0"/>
                <w:color w:val="000000"/>
                <w:sz w:val="17"/>
              </w:rPr>
              <w:t>682</w:t>
            </w:r>
          </w:p>
        </w:tc>
        <w:tc>
          <w:tcPr>
            <w:tcW w:type="dxa" w:w="2253"/>
            <w:vAlign w:val="center"/>
          </w:tcPr>
          <w:p>
            <w:pPr>
              <w:spacing w:before="0" w:after="0" w:line="252" w:lineRule="auto"/>
              <w:jc w:val="left"/>
            </w:pPr>
            <w:r>
              <w:rPr>
                <w:rFonts w:ascii="Times New Roman" w:hAnsi="Times New Roman"/>
                <w:b w:val="0"/>
                <w:i w:val="0"/>
                <w:color w:val="000000"/>
                <w:sz w:val="17"/>
              </w:rPr>
              <w:t>loan_id, account_id</w:t>
            </w:r>
          </w:p>
        </w:tc>
      </w:tr>
      <w:tr>
        <w:trPr>
          <w:cantSplit/>
        </w:trPr>
        <w:tc>
          <w:tcPr>
            <w:tcW w:type="dxa" w:w="1242"/>
            <w:vAlign w:val="center"/>
          </w:tcPr>
          <w:p>
            <w:pPr>
              <w:spacing w:before="0" w:after="0" w:line="252" w:lineRule="auto"/>
              <w:jc w:val="left"/>
            </w:pPr>
            <w:r>
              <w:rPr>
                <w:rFonts w:ascii="Times New Roman" w:hAnsi="Times New Roman"/>
                <w:b w:val="0"/>
                <w:i w:val="0"/>
                <w:color w:val="000000"/>
                <w:sz w:val="17"/>
              </w:rPr>
              <w:t>district</w:t>
            </w:r>
          </w:p>
        </w:tc>
        <w:tc>
          <w:tcPr>
            <w:tcW w:type="dxa" w:w="1557"/>
            <w:vAlign w:val="center"/>
          </w:tcPr>
          <w:p>
            <w:pPr>
              <w:spacing w:before="0" w:after="0" w:line="252" w:lineRule="auto"/>
              <w:jc w:val="left"/>
            </w:pPr>
            <w:r>
              <w:rPr>
                <w:rFonts w:ascii="Times New Roman" w:hAnsi="Times New Roman"/>
                <w:b w:val="0"/>
                <w:i w:val="0"/>
                <w:color w:val="000000"/>
                <w:sz w:val="17"/>
              </w:rPr>
              <w:t>Dimensión</w:t>
            </w:r>
          </w:p>
        </w:tc>
        <w:tc>
          <w:tcPr>
            <w:tcW w:type="dxa" w:w="2716"/>
            <w:vAlign w:val="center"/>
          </w:tcPr>
          <w:p>
            <w:pPr>
              <w:spacing w:before="0" w:after="0" w:line="252" w:lineRule="auto"/>
              <w:jc w:val="left"/>
            </w:pPr>
            <w:r>
              <w:rPr>
                <w:rFonts w:ascii="Times New Roman" w:hAnsi="Times New Roman"/>
                <w:b w:val="0"/>
                <w:i w:val="0"/>
                <w:color w:val="000000"/>
                <w:sz w:val="17"/>
              </w:rPr>
              <w:t>Un distrito demográfico y socioeconómico</w:t>
            </w:r>
          </w:p>
        </w:tc>
        <w:tc>
          <w:tcPr>
            <w:tcW w:type="dxa" w:w="1030"/>
            <w:vAlign w:val="center"/>
          </w:tcPr>
          <w:p>
            <w:pPr>
              <w:spacing w:before="0" w:after="0" w:line="252" w:lineRule="auto"/>
              <w:jc w:val="center"/>
            </w:pPr>
            <w:r>
              <w:rPr>
                <w:rFonts w:ascii="Times New Roman" w:hAnsi="Times New Roman"/>
                <w:b w:val="0"/>
                <w:i w:val="0"/>
                <w:color w:val="000000"/>
                <w:sz w:val="17"/>
              </w:rPr>
              <w:t>77</w:t>
            </w:r>
          </w:p>
        </w:tc>
        <w:tc>
          <w:tcPr>
            <w:tcW w:type="dxa" w:w="2253"/>
            <w:vAlign w:val="center"/>
          </w:tcPr>
          <w:p>
            <w:pPr>
              <w:spacing w:before="0" w:after="0" w:line="252" w:lineRule="auto"/>
              <w:jc w:val="left"/>
            </w:pPr>
            <w:r>
              <w:rPr>
                <w:rFonts w:ascii="Times New Roman" w:hAnsi="Times New Roman"/>
                <w:b w:val="0"/>
                <w:i w:val="0"/>
                <w:color w:val="000000"/>
                <w:sz w:val="17"/>
              </w:rPr>
              <w:t>district_id</w:t>
            </w:r>
          </w:p>
        </w:tc>
      </w:tr>
    </w:tbl>
    <w:p>
      <w:pPr>
        <w:spacing w:before="0" w:after="120"/>
      </w:pPr>
    </w:p>
    <w:p>
      <w:pPr>
        <w:keepNext/>
        <w:spacing w:before="140" w:after="40"/>
        <w:jc w:val="left"/>
      </w:pPr>
      <w:r>
        <w:rPr>
          <w:rFonts w:ascii="Times New Roman" w:hAnsi="Times New Roman"/>
          <w:b/>
          <w:i w:val="0"/>
          <w:color w:val="000000"/>
          <w:sz w:val="22"/>
        </w:rPr>
        <w:t>2.7.3 Metodología de preparación de datos: Organizar, Clasificar, Filtrar y Modelar</w:t>
      </w:r>
    </w:p>
    <w:p>
      <w:pPr>
        <w:spacing w:line="276" w:lineRule="auto" w:before="0" w:after="90"/>
        <w:jc w:val="both"/>
      </w:pPr>
      <w:r>
        <w:rPr>
          <w:rFonts w:ascii="Times New Roman" w:hAnsi="Times New Roman"/>
          <w:b w:val="0"/>
          <w:i w:val="0"/>
          <w:color w:val="000000"/>
          <w:sz w:val="22"/>
        </w:rPr>
        <w:t>A partir del DataMart dimensional de Ralph Kimball, se llevó a cabo un proceso sistemático y estructurado de ingeniería analítica para transformar los registros transaccionales en conjuntos aptos para la inferencia de preferencias. Este procedimiento comprendió cuatro etapas deterministas:</w:t>
      </w:r>
    </w:p>
    <w:p>
      <w:pPr>
        <w:spacing w:line="276" w:lineRule="auto" w:before="0" w:after="90"/>
        <w:jc w:val="both"/>
      </w:pPr>
      <w:r>
        <w:rPr>
          <w:rFonts w:ascii="Times New Roman" w:hAnsi="Times New Roman"/>
          <w:b w:val="0"/>
          <w:i w:val="0"/>
          <w:color w:val="000000"/>
          <w:sz w:val="22"/>
        </w:rPr>
        <w:t>1. Organizar la información a partir del DataMart: La tabla de hechos atómica registra eventos puntuales ('retiro en cajero automático'). Para alimentar modelos de recomendación comercial, la información se reorganizó agregando los eventos en función de entidades de decisión de negocio: el Cliente Titular (client_id con rol 'OWNER') y la Cuenta Bancaria (account_id). Esta agregación elevó el grano de análisis desde movimientos microscópicos hacia vectores consolidados de tenencia y frecuencia de servicios financieros.</w:t>
      </w:r>
    </w:p>
    <w:p>
      <w:pPr>
        <w:spacing w:line="276" w:lineRule="auto" w:before="0" w:after="90"/>
        <w:jc w:val="both"/>
      </w:pPr>
      <w:r>
        <w:rPr>
          <w:rFonts w:ascii="Times New Roman" w:hAnsi="Times New Roman"/>
          <w:b w:val="0"/>
          <w:i w:val="0"/>
          <w:color w:val="000000"/>
          <w:sz w:val="22"/>
        </w:rPr>
        <w:t>2. Clasificar la información: Se estableció una taxonomía rigurosa de los servicios bancarios para superar la ambigüedad de los códigos operacionales crudos. Las transacciones se clasificaron en cinco categorías de servicio: Tarjeta de Débito (retiros con tarjeta), Servicios del Hogar (gastos corrientes domésticos), Préstamo (pagos de amortización), Seguro (coberturas patrimoniales y médicas) y Transferencias Externas (remesas interbancarias). En las órdenes domiciliadas se tipificaron cuatro conceptos de pago (Hogar, Seguro, Préstamo y Leasing). Adicionalmente, los clientes se clasificaron sociodemográficamente mediante la interacción cruzada entre rango etario y macro-región geográfica, definiendo arquetipos poblacionales homogéneos.</w:t>
      </w:r>
    </w:p>
    <w:p>
      <w:pPr>
        <w:spacing w:line="276" w:lineRule="auto" w:before="0" w:after="90"/>
        <w:jc w:val="both"/>
      </w:pPr>
      <w:r>
        <w:rPr>
          <w:rFonts w:ascii="Times New Roman" w:hAnsi="Times New Roman"/>
          <w:b w:val="0"/>
          <w:i w:val="0"/>
          <w:color w:val="000000"/>
          <w:sz w:val="22"/>
        </w:rPr>
        <w:t>3. Filtrar la información: El filtrado de datos abordó tres problemáticas críticas de sesgo y calidad: (a) Se filtraron cuentas secundarias ('DISPONENT') para no duplicar el consumo familiar; (b) Se aplicó un filtro de Pareto para mitigar el sesgo por hiperactividad y antigüedad; y (c) Se implementaron compuertas de solvencia crediticia para descartar clientes en mora histórica. En Financial_ijs, las frecuencias transaccionales siguen una distribución asimétrica de ley de potencias (asimetría g_1 &gt; 3.5). Para estabilizar esta varianza extrema y comprimir la escala sin alterar el orden relativo, se aplicó la transformación logarítmica monótona cóncava:</w:t>
      </w:r>
    </w:p>
    <w:p>
      <w:pPr>
        <w:keepNext/>
        <w:spacing w:before="80" w:after="80"/>
        <w:jc w:val="center"/>
      </w:pPr>
      <m:oMathPara>
        <m:oMath>
          <m:sSub>
            <m:e>
              <m:r>
                <m:t>y</m:t>
              </m:r>
            </m:e>
            <m:sub>
              <m:r>
                <m:t>u,i</m:t>
              </m:r>
            </m:sub>
          </m:sSub>
          <m:r>
            <m:t>=</m:t>
          </m:r>
          <m:r>
            <m:rPr>
              <m:sty m:val="p"/>
            </m:rPr>
            <m:t>ln</m:t>
          </m:r>
          <m:r>
            <m:t>(1+</m:t>
          </m:r>
          <m:sSub>
            <m:e>
              <m:r>
                <m:t>x</m:t>
              </m:r>
            </m:e>
            <m:sub>
              <m:r>
                <m:t>u,i</m:t>
              </m:r>
            </m:sub>
          </m:sSub>
          <m:r>
            <m:t>)</m:t>
          </m:r>
        </m:oMath>
      </m:oMathPara>
    </w:p>
    <w:p>
      <w:pPr>
        <w:spacing w:line="276" w:lineRule="auto" w:before="0" w:after="90"/>
        <w:jc w:val="both"/>
      </w:pPr>
      <w:r>
        <w:rPr>
          <w:rFonts w:ascii="Times New Roman" w:hAnsi="Times New Roman"/>
          <w:b w:val="0"/>
          <w:i w:val="0"/>
          <w:color w:val="000000"/>
          <w:sz w:val="22"/>
        </w:rPr>
        <w:t>donde x_{u, i} representa el recuento bruto de operaciones del cliente u en el producto i. Posteriormente, se escalaron linealmente los valores al rango continuo [1.0, 5.0]:</w:t>
      </w:r>
    </w:p>
    <w:p>
      <w:pPr>
        <w:keepNext/>
        <w:spacing w:before="80" w:after="80"/>
        <w:jc w:val="center"/>
      </w:pPr>
      <m:oMathPara>
        <m:oMath>
          <m:sSub>
            <m:e>
              <m:r>
                <m:t>r</m:t>
              </m:r>
            </m:e>
            <m:sub>
              <m:r>
                <m:t>u,i</m:t>
              </m:r>
            </m:sub>
          </m:sSub>
          <m:r>
            <m:t>=1.0+4.0·</m:t>
          </m:r>
          <m:d>
            <m:dPr>
              <m:sepChr m:val=""/>
            </m:dPr>
            <m:e>
              <m:f>
                <m:fPr>
                  <m:type m:val="bar"/>
                </m:fPr>
                <m:num>
                  <m:sSub>
                    <m:e>
                      <m:r>
                        <m:t>y</m:t>
                      </m:r>
                    </m:e>
                    <m:sub>
                      <m:r>
                        <m:t>u,i</m:t>
                      </m:r>
                    </m:sub>
                  </m:sSub>
                  <m:r>
                    <m:t>−</m:t>
                  </m:r>
                  <m:sSub>
                    <m:e>
                      <m:r>
                        <m:t>y</m:t>
                      </m:r>
                    </m:e>
                    <m:sub>
                      <m:r>
                        <m:t>min</m:t>
                      </m:r>
                    </m:sub>
                  </m:sSub>
                </m:num>
                <m:den>
                  <m:sSub>
                    <m:e>
                      <m:r>
                        <m:t>y</m:t>
                      </m:r>
                    </m:e>
                    <m:sub>
                      <m:r>
                        <m:t>max</m:t>
                      </m:r>
                    </m:sub>
                  </m:sSub>
                  <m:r>
                    <m:t>−</m:t>
                  </m:r>
                  <m:sSub>
                    <m:e>
                      <m:r>
                        <m:t>y</m:t>
                      </m:r>
                    </m:e>
                    <m:sub>
                      <m:r>
                        <m:t>min</m:t>
                      </m:r>
                    </m:sub>
                  </m:sSub>
                </m:den>
              </m:f>
            </m:e>
          </m:d>
          <m:r>
            <m:t>≈1.0+0.822·</m:t>
          </m:r>
          <m:r>
            <m:rPr>
              <m:sty m:val="p"/>
            </m:rPr>
            <m:t>ln</m:t>
          </m:r>
          <m:r>
            <m:t>(1+</m:t>
          </m:r>
          <m:sSub>
            <m:e>
              <m:r>
                <m:t>x</m:t>
              </m:r>
            </m:e>
            <m:sub>
              <m:r>
                <m:t>u,i</m:t>
              </m:r>
            </m:sub>
          </m:sSub>
          <m:r>
            <m:t>)</m:t>
          </m:r>
        </m:oMath>
      </m:oMathPara>
    </w:p>
    <w:p>
      <w:pPr>
        <w:spacing w:line="276" w:lineRule="auto" w:before="0" w:after="90"/>
        <w:jc w:val="both"/>
      </w:pPr>
      <w:r>
        <w:rPr>
          <w:rFonts w:ascii="Times New Roman" w:hAnsi="Times New Roman"/>
          <w:b w:val="0"/>
          <w:i w:val="0"/>
          <w:color w:val="000000"/>
          <w:sz w:val="22"/>
        </w:rPr>
        <w:t>4. Modelar productos, comportamientos y perfiles: Con los DataFrames organizados, clasificados y filtrados, se parametrizaron las tres entidades del ecosistema bancario: (a) Modelado de Productos: Atributos contractuales de plazo, tasa y cláusulas legales vectorizadas mediante TF-IDF; (b) Modelado de Comportamientos: Matrices implícitas de co-ocurrencia transaccional, hábitos de débito automático y series temporales mensuales diferenciadas (Δx_t, 72 meses); y (c) Modelado de Perfiles: Arquetipos sociodemográficos distritales y espacios de características para localización de gemelos comportamentales (kNN).</w:t>
      </w:r>
    </w:p>
    <w:p>
      <w:pPr>
        <w:spacing w:line="276" w:lineRule="auto" w:before="0" w:after="90"/>
        <w:jc w:val="both"/>
      </w:pPr>
      <w:r>
        <w:rPr>
          <w:rFonts w:ascii="Times New Roman" w:hAnsi="Times New Roman"/>
          <w:b w:val="0"/>
          <w:i w:val="0"/>
          <w:color w:val="000000"/>
          <w:sz w:val="22"/>
        </w:rPr>
        <w:t>Trazabilidad de dos clientes reales (#2 y #45): La Tabla 2 ilustra el recorrido completo a través de las etapas de transformación matemática, permitiendo auditar el cálculo exacto de ratings implícitos y predicciones de Slope One:</w:t>
      </w:r>
    </w:p>
    <w:p>
      <w:pPr>
        <w:keepNext/>
        <w:spacing w:before="200" w:after="80"/>
        <w:jc w:val="center"/>
      </w:pPr>
      <w:r>
        <w:rPr>
          <w:rFonts w:ascii="Times New Roman" w:hAnsi="Times New Roman"/>
          <w:b/>
          <w:i w:val="0"/>
          <w:color w:val="000000"/>
          <w:sz w:val="21"/>
        </w:rPr>
        <w:t>Tabla 2:</w:t>
      </w:r>
      <w:r>
        <w:rPr>
          <w:rFonts w:ascii="Times New Roman" w:hAnsi="Times New Roman"/>
          <w:sz w:val="21"/>
        </w:rPr>
        <w:t xml:space="preserve"> Recorrido de Dos Clientes Reales a través de la Preparación y Predicción Matricial.</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257"/>
        <w:gridCol w:w="1257"/>
        <w:gridCol w:w="1257"/>
        <w:gridCol w:w="1257"/>
        <w:gridCol w:w="1257"/>
        <w:gridCol w:w="1257"/>
        <w:gridCol w:w="1257"/>
      </w:tblGrid>
      <w:tr>
        <w:trPr>
          <w:tblHeader/>
          <w:cantSplit/>
        </w:trPr>
        <w:tc>
          <w:tcPr>
            <w:tcW w:type="dxa" w:w="1152"/>
            <w:vAlign w:val="center"/>
            <w:tcBorders>
              <w:bottom w:val="single" w:sz="6" w:space="0" w:color="000000"/>
            </w:tcBorders>
          </w:tcPr>
          <w:p>
            <w:pPr>
              <w:spacing w:before="0" w:after="0" w:line="252" w:lineRule="auto"/>
              <w:jc w:val="center"/>
            </w:pPr>
            <w:r>
              <w:rPr>
                <w:rFonts w:ascii="Times New Roman" w:hAnsi="Times New Roman"/>
                <w:b/>
                <w:i w:val="0"/>
                <w:color w:val="000000"/>
                <w:sz w:val="16"/>
              </w:rPr>
              <w:t>Cliente ID</w:t>
            </w:r>
          </w:p>
        </w:tc>
        <w:tc>
          <w:tcPr>
            <w:tcW w:type="dxa" w:w="1584"/>
            <w:vAlign w:val="center"/>
            <w:tcBorders>
              <w:bottom w:val="single" w:sz="6" w:space="0" w:color="000000"/>
            </w:tcBorders>
          </w:tcPr>
          <w:p>
            <w:pPr>
              <w:spacing w:before="0" w:after="0" w:line="252" w:lineRule="auto"/>
              <w:jc w:val="center"/>
            </w:pPr>
            <w:r>
              <w:rPr>
                <w:rFonts w:ascii="Times New Roman" w:hAnsi="Times New Roman"/>
                <w:b/>
                <w:i w:val="0"/>
                <w:color w:val="000000"/>
                <w:sz w:val="16"/>
              </w:rPr>
              <w:t>Producto Financiero</w:t>
            </w:r>
          </w:p>
        </w:tc>
        <w:tc>
          <w:tcPr>
            <w:tcW w:type="dxa" w:w="1152"/>
            <w:vAlign w:val="center"/>
            <w:tcBorders>
              <w:bottom w:val="single" w:sz="6" w:space="0" w:color="000000"/>
            </w:tcBorders>
          </w:tcPr>
          <w:p>
            <w:pPr>
              <w:spacing w:before="0" w:after="0" w:line="252" w:lineRule="auto"/>
              <w:jc w:val="center"/>
            </w:pPr>
            <w:r>
              <w:rPr>
                <w:rFonts w:ascii="Times New Roman" w:hAnsi="Times New Roman"/>
                <w:b/>
                <w:i w:val="0"/>
                <w:color w:val="000000"/>
                <w:sz w:val="16"/>
              </w:rPr>
              <w:t>Frecuencia Bruta (x)</w:t>
            </w:r>
          </w:p>
        </w:tc>
        <w:tc>
          <w:tcPr>
            <w:tcW w:type="dxa" w:w="1008"/>
            <w:vAlign w:val="center"/>
            <w:tcBorders>
              <w:bottom w:val="single" w:sz="6" w:space="0" w:color="000000"/>
            </w:tcBorders>
          </w:tcPr>
          <w:p>
            <w:pPr>
              <w:spacing w:before="0" w:after="0" w:line="252" w:lineRule="auto"/>
              <w:jc w:val="center"/>
            </w:pPr>
            <w:r>
              <w:rPr>
                <w:rFonts w:ascii="Times New Roman" w:hAnsi="Times New Roman"/>
                <w:b/>
                <w:i w:val="0"/>
                <w:color w:val="000000"/>
                <w:sz w:val="16"/>
              </w:rPr>
              <w:t>Tras log(1+x)</w:t>
            </w:r>
          </w:p>
        </w:tc>
        <w:tc>
          <w:tcPr>
            <w:tcW w:type="dxa" w:w="1152"/>
            <w:vAlign w:val="center"/>
            <w:tcBorders>
              <w:bottom w:val="single" w:sz="6" w:space="0" w:color="000000"/>
            </w:tcBorders>
          </w:tcPr>
          <w:p>
            <w:pPr>
              <w:spacing w:before="0" w:after="0" w:line="252" w:lineRule="auto"/>
              <w:jc w:val="center"/>
            </w:pPr>
            <w:r>
              <w:rPr>
                <w:rFonts w:ascii="Times New Roman" w:hAnsi="Times New Roman"/>
                <w:b/>
                <w:i w:val="0"/>
                <w:color w:val="000000"/>
                <w:sz w:val="16"/>
              </w:rPr>
              <w:t>Rating Escalado r_{u,i} [1, 5]</w:t>
            </w:r>
          </w:p>
        </w:tc>
        <w:tc>
          <w:tcPr>
            <w:tcW w:type="dxa" w:w="1440"/>
            <w:vAlign w:val="center"/>
            <w:tcBorders>
              <w:bottom w:val="single" w:sz="6" w:space="0" w:color="000000"/>
            </w:tcBorders>
          </w:tcPr>
          <w:p>
            <w:pPr>
              <w:spacing w:before="0" w:after="0" w:line="252" w:lineRule="auto"/>
              <w:jc w:val="center"/>
            </w:pPr>
            <w:r>
              <w:rPr>
                <w:rFonts w:ascii="Times New Roman" w:hAnsi="Times New Roman"/>
                <w:b/>
                <w:i w:val="0"/>
                <w:color w:val="000000"/>
                <w:sz w:val="16"/>
              </w:rPr>
              <w:t>Desviaciones Slope One (b_{j,i})</w:t>
            </w:r>
          </w:p>
        </w:tc>
        <w:tc>
          <w:tcPr>
            <w:tcW w:type="dxa" w:w="1310"/>
            <w:vAlign w:val="center"/>
            <w:tcBorders>
              <w:bottom w:val="single" w:sz="6" w:space="0" w:color="000000"/>
            </w:tcBorders>
          </w:tcPr>
          <w:p>
            <w:pPr>
              <w:spacing w:before="0" w:after="0" w:line="252" w:lineRule="auto"/>
              <w:jc w:val="center"/>
            </w:pPr>
            <w:r>
              <w:rPr>
                <w:rFonts w:ascii="Times New Roman" w:hAnsi="Times New Roman"/>
                <w:b/>
                <w:i w:val="0"/>
                <w:color w:val="000000"/>
                <w:sz w:val="16"/>
              </w:rPr>
              <w:t>Predicción Final / Estado</w:t>
            </w:r>
          </w:p>
        </w:tc>
      </w:tr>
      <w:tr>
        <w:trPr>
          <w:cantSplit/>
        </w:trPr>
        <w:tc>
          <w:tcPr>
            <w:tcW w:type="dxa" w:w="1152"/>
            <w:vAlign w:val="center"/>
          </w:tcPr>
          <w:p>
            <w:pPr>
              <w:spacing w:before="0" w:after="0" w:line="252" w:lineRule="auto"/>
              <w:jc w:val="left"/>
            </w:pPr>
            <w:r>
              <w:rPr>
                <w:rFonts w:ascii="Times New Roman" w:hAnsi="Times New Roman"/>
                <w:b w:val="0"/>
                <w:i w:val="0"/>
                <w:color w:val="000000"/>
                <w:sz w:val="16"/>
              </w:rPr>
              <w:t>Cliente #2</w:t>
            </w:r>
          </w:p>
        </w:tc>
        <w:tc>
          <w:tcPr>
            <w:tcW w:type="dxa" w:w="1584"/>
            <w:vAlign w:val="center"/>
          </w:tcPr>
          <w:p>
            <w:pPr>
              <w:spacing w:before="0" w:after="0" w:line="252" w:lineRule="auto"/>
              <w:jc w:val="left"/>
            </w:pPr>
            <w:r>
              <w:rPr>
                <w:rFonts w:ascii="Times New Roman" w:hAnsi="Times New Roman"/>
                <w:b w:val="0"/>
                <w:i w:val="0"/>
                <w:color w:val="000000"/>
                <w:sz w:val="16"/>
              </w:rPr>
              <w:t>TARJETA_DEBITO</w:t>
            </w:r>
          </w:p>
        </w:tc>
        <w:tc>
          <w:tcPr>
            <w:tcW w:type="dxa" w:w="1152"/>
            <w:vAlign w:val="center"/>
          </w:tcPr>
          <w:p>
            <w:pPr>
              <w:spacing w:before="0" w:after="0" w:line="252" w:lineRule="auto"/>
              <w:jc w:val="left"/>
            </w:pPr>
            <w:r>
              <w:rPr>
                <w:rFonts w:ascii="Times New Roman" w:hAnsi="Times New Roman"/>
                <w:b w:val="0"/>
                <w:i w:val="0"/>
                <w:color w:val="000000"/>
                <w:sz w:val="16"/>
              </w:rPr>
              <w:t>172 retiros</w:t>
            </w:r>
          </w:p>
        </w:tc>
        <w:tc>
          <w:tcPr>
            <w:tcW w:type="dxa" w:w="1008"/>
            <w:vAlign w:val="center"/>
          </w:tcPr>
          <w:p>
            <w:pPr>
              <w:spacing w:before="0" w:after="0" w:line="252" w:lineRule="auto"/>
              <w:jc w:val="center"/>
            </w:pPr>
            <w:r>
              <w:rPr>
                <w:rFonts w:ascii="Times New Roman" w:hAnsi="Times New Roman"/>
                <w:b w:val="0"/>
                <w:i w:val="0"/>
                <w:color w:val="000000"/>
                <w:sz w:val="16"/>
              </w:rPr>
              <w:t>5.1533</w:t>
            </w:r>
          </w:p>
        </w:tc>
        <w:tc>
          <w:tcPr>
            <w:tcW w:type="dxa" w:w="1152"/>
            <w:vAlign w:val="center"/>
          </w:tcPr>
          <w:p>
            <w:pPr>
              <w:spacing w:before="0" w:after="0" w:line="252" w:lineRule="auto"/>
              <w:jc w:val="center"/>
            </w:pPr>
            <w:r>
              <w:rPr>
                <w:rFonts w:ascii="Times New Roman" w:hAnsi="Times New Roman"/>
                <w:b w:val="0"/>
                <w:i w:val="0"/>
                <w:color w:val="000000"/>
                <w:sz w:val="16"/>
              </w:rPr>
              <w:t>4.67</w:t>
            </w:r>
          </w:p>
        </w:tc>
        <w:tc>
          <w:tcPr>
            <w:tcW w:type="dxa" w:w="1440"/>
            <w:vAlign w:val="center"/>
          </w:tcPr>
          <w:p>
            <w:pPr>
              <w:spacing w:before="0" w:after="0" w:line="252" w:lineRule="auto"/>
              <w:jc w:val="left"/>
            </w:pPr>
            <w:r>
              <w:rPr>
                <w:rFonts w:ascii="Times New Roman" w:hAnsi="Times New Roman"/>
                <w:b w:val="0"/>
                <w:i w:val="0"/>
                <w:color w:val="000000"/>
                <w:sz w:val="16"/>
              </w:rPr>
              <w:t>— (Posee el producto)</w:t>
            </w:r>
          </w:p>
        </w:tc>
        <w:tc>
          <w:tcPr>
            <w:tcW w:type="dxa" w:w="1310"/>
            <w:vAlign w:val="center"/>
          </w:tcPr>
          <w:p>
            <w:pPr>
              <w:spacing w:before="0" w:after="0" w:line="252" w:lineRule="auto"/>
              <w:jc w:val="left"/>
            </w:pPr>
            <w:r>
              <w:rPr>
                <w:rFonts w:ascii="Times New Roman" w:hAnsi="Times New Roman"/>
                <w:b w:val="0"/>
                <w:i w:val="0"/>
                <w:color w:val="000000"/>
                <w:sz w:val="16"/>
              </w:rPr>
              <w:t>Activo recurrente</w:t>
            </w:r>
          </w:p>
        </w:tc>
      </w:tr>
      <w:tr>
        <w:trPr>
          <w:cantSplit/>
        </w:trPr>
        <w:tc>
          <w:tcPr>
            <w:tcW w:type="dxa" w:w="1152"/>
            <w:vAlign w:val="center"/>
          </w:tcPr>
          <w:p>
            <w:pPr>
              <w:spacing w:before="0" w:after="0" w:line="252" w:lineRule="auto"/>
              <w:jc w:val="left"/>
            </w:pPr>
            <w:r>
              <w:rPr>
                <w:rFonts w:ascii="Times New Roman" w:hAnsi="Times New Roman"/>
                <w:b w:val="0"/>
                <w:i w:val="0"/>
                <w:color w:val="000000"/>
                <w:sz w:val="16"/>
              </w:rPr>
              <w:t>Cliente #2</w:t>
            </w:r>
          </w:p>
        </w:tc>
        <w:tc>
          <w:tcPr>
            <w:tcW w:type="dxa" w:w="1584"/>
            <w:vAlign w:val="center"/>
          </w:tcPr>
          <w:p>
            <w:pPr>
              <w:spacing w:before="0" w:after="0" w:line="252" w:lineRule="auto"/>
              <w:jc w:val="left"/>
            </w:pPr>
            <w:r>
              <w:rPr>
                <w:rFonts w:ascii="Times New Roman" w:hAnsi="Times New Roman"/>
                <w:b w:val="0"/>
                <w:i w:val="0"/>
                <w:color w:val="000000"/>
                <w:sz w:val="16"/>
              </w:rPr>
              <w:t>SERVICIOS_HOGAR</w:t>
            </w:r>
          </w:p>
        </w:tc>
        <w:tc>
          <w:tcPr>
            <w:tcW w:type="dxa" w:w="1152"/>
            <w:vAlign w:val="center"/>
          </w:tcPr>
          <w:p>
            <w:pPr>
              <w:spacing w:before="0" w:after="0" w:line="252" w:lineRule="auto"/>
              <w:jc w:val="left"/>
            </w:pPr>
            <w:r>
              <w:rPr>
                <w:rFonts w:ascii="Times New Roman" w:hAnsi="Times New Roman"/>
                <w:b w:val="0"/>
                <w:i w:val="0"/>
                <w:color w:val="000000"/>
                <w:sz w:val="16"/>
              </w:rPr>
              <w:t>65 pagos</w:t>
            </w:r>
          </w:p>
        </w:tc>
        <w:tc>
          <w:tcPr>
            <w:tcW w:type="dxa" w:w="1008"/>
            <w:vAlign w:val="center"/>
          </w:tcPr>
          <w:p>
            <w:pPr>
              <w:spacing w:before="0" w:after="0" w:line="252" w:lineRule="auto"/>
              <w:jc w:val="center"/>
            </w:pPr>
            <w:r>
              <w:rPr>
                <w:rFonts w:ascii="Times New Roman" w:hAnsi="Times New Roman"/>
                <w:b w:val="0"/>
                <w:i w:val="0"/>
                <w:color w:val="000000"/>
                <w:sz w:val="16"/>
              </w:rPr>
              <w:t>4.1897</w:t>
            </w:r>
          </w:p>
        </w:tc>
        <w:tc>
          <w:tcPr>
            <w:tcW w:type="dxa" w:w="1152"/>
            <w:vAlign w:val="center"/>
          </w:tcPr>
          <w:p>
            <w:pPr>
              <w:spacing w:before="0" w:after="0" w:line="252" w:lineRule="auto"/>
              <w:jc w:val="center"/>
            </w:pPr>
            <w:r>
              <w:rPr>
                <w:rFonts w:ascii="Times New Roman" w:hAnsi="Times New Roman"/>
                <w:b w:val="0"/>
                <w:i w:val="0"/>
                <w:color w:val="000000"/>
                <w:sz w:val="16"/>
              </w:rPr>
              <w:t>3.88</w:t>
            </w:r>
          </w:p>
        </w:tc>
        <w:tc>
          <w:tcPr>
            <w:tcW w:type="dxa" w:w="1440"/>
            <w:vAlign w:val="center"/>
          </w:tcPr>
          <w:p>
            <w:pPr>
              <w:spacing w:before="0" w:after="0" w:line="252" w:lineRule="auto"/>
              <w:jc w:val="left"/>
            </w:pPr>
            <w:r>
              <w:rPr>
                <w:rFonts w:ascii="Times New Roman" w:hAnsi="Times New Roman"/>
                <w:b w:val="0"/>
                <w:i w:val="0"/>
                <w:color w:val="000000"/>
                <w:sz w:val="16"/>
              </w:rPr>
              <w:t>— (Posee el producto)</w:t>
            </w:r>
          </w:p>
        </w:tc>
        <w:tc>
          <w:tcPr>
            <w:tcW w:type="dxa" w:w="1310"/>
            <w:vAlign w:val="center"/>
          </w:tcPr>
          <w:p>
            <w:pPr>
              <w:spacing w:before="0" w:after="0" w:line="252" w:lineRule="auto"/>
              <w:jc w:val="left"/>
            </w:pPr>
            <w:r>
              <w:rPr>
                <w:rFonts w:ascii="Times New Roman" w:hAnsi="Times New Roman"/>
                <w:b w:val="0"/>
                <w:i w:val="0"/>
                <w:color w:val="000000"/>
                <w:sz w:val="16"/>
              </w:rPr>
              <w:t>Activo recurrente</w:t>
            </w:r>
          </w:p>
        </w:tc>
      </w:tr>
      <w:tr>
        <w:trPr>
          <w:cantSplit/>
        </w:trPr>
        <w:tc>
          <w:tcPr>
            <w:tcW w:type="dxa" w:w="1152"/>
            <w:vAlign w:val="center"/>
          </w:tcPr>
          <w:p>
            <w:pPr>
              <w:spacing w:before="0" w:after="0" w:line="252" w:lineRule="auto"/>
              <w:jc w:val="left"/>
            </w:pPr>
            <w:r>
              <w:rPr>
                <w:rFonts w:ascii="Times New Roman" w:hAnsi="Times New Roman"/>
                <w:b w:val="0"/>
                <w:i w:val="0"/>
                <w:color w:val="000000"/>
                <w:sz w:val="16"/>
              </w:rPr>
              <w:t>Cliente #2</w:t>
            </w:r>
          </w:p>
        </w:tc>
        <w:tc>
          <w:tcPr>
            <w:tcW w:type="dxa" w:w="1584"/>
            <w:vAlign w:val="center"/>
          </w:tcPr>
          <w:p>
            <w:pPr>
              <w:spacing w:before="0" w:after="0" w:line="252" w:lineRule="auto"/>
              <w:jc w:val="left"/>
            </w:pPr>
            <w:r>
              <w:rPr>
                <w:rFonts w:ascii="Times New Roman" w:hAnsi="Times New Roman"/>
                <w:b w:val="0"/>
                <w:i w:val="0"/>
                <w:color w:val="000000"/>
                <w:sz w:val="16"/>
              </w:rPr>
              <w:t>PRESTAMO</w:t>
            </w:r>
          </w:p>
        </w:tc>
        <w:tc>
          <w:tcPr>
            <w:tcW w:type="dxa" w:w="1152"/>
            <w:vAlign w:val="center"/>
          </w:tcPr>
          <w:p>
            <w:pPr>
              <w:spacing w:before="0" w:after="0" w:line="252" w:lineRule="auto"/>
              <w:jc w:val="left"/>
            </w:pPr>
            <w:r>
              <w:rPr>
                <w:rFonts w:ascii="Times New Roman" w:hAnsi="Times New Roman"/>
                <w:b w:val="0"/>
                <w:i w:val="0"/>
                <w:color w:val="000000"/>
                <w:sz w:val="16"/>
              </w:rPr>
              <w:t>24 cuotas</w:t>
            </w:r>
          </w:p>
        </w:tc>
        <w:tc>
          <w:tcPr>
            <w:tcW w:type="dxa" w:w="1008"/>
            <w:vAlign w:val="center"/>
          </w:tcPr>
          <w:p>
            <w:pPr>
              <w:spacing w:before="0" w:after="0" w:line="252" w:lineRule="auto"/>
              <w:jc w:val="center"/>
            </w:pPr>
            <w:r>
              <w:rPr>
                <w:rFonts w:ascii="Times New Roman" w:hAnsi="Times New Roman"/>
                <w:b w:val="0"/>
                <w:i w:val="0"/>
                <w:color w:val="000000"/>
                <w:sz w:val="16"/>
              </w:rPr>
              <w:t>3.2189</w:t>
            </w:r>
          </w:p>
        </w:tc>
        <w:tc>
          <w:tcPr>
            <w:tcW w:type="dxa" w:w="1152"/>
            <w:vAlign w:val="center"/>
          </w:tcPr>
          <w:p>
            <w:pPr>
              <w:spacing w:before="0" w:after="0" w:line="252" w:lineRule="auto"/>
              <w:jc w:val="center"/>
            </w:pPr>
            <w:r>
              <w:rPr>
                <w:rFonts w:ascii="Times New Roman" w:hAnsi="Times New Roman"/>
                <w:b w:val="0"/>
                <w:i w:val="0"/>
                <w:color w:val="000000"/>
                <w:sz w:val="16"/>
              </w:rPr>
              <w:t>3.08</w:t>
            </w:r>
          </w:p>
        </w:tc>
        <w:tc>
          <w:tcPr>
            <w:tcW w:type="dxa" w:w="1440"/>
            <w:vAlign w:val="center"/>
          </w:tcPr>
          <w:p>
            <w:pPr>
              <w:spacing w:before="0" w:after="0" w:line="252" w:lineRule="auto"/>
              <w:jc w:val="left"/>
            </w:pPr>
            <w:r>
              <w:rPr>
                <w:rFonts w:ascii="Times New Roman" w:hAnsi="Times New Roman"/>
                <w:b w:val="0"/>
                <w:i w:val="0"/>
                <w:color w:val="000000"/>
                <w:sz w:val="16"/>
              </w:rPr>
              <w:t>— (Posee el producto)</w:t>
            </w:r>
          </w:p>
        </w:tc>
        <w:tc>
          <w:tcPr>
            <w:tcW w:type="dxa" w:w="1310"/>
            <w:vAlign w:val="center"/>
          </w:tcPr>
          <w:p>
            <w:pPr>
              <w:spacing w:before="0" w:after="0" w:line="252" w:lineRule="auto"/>
              <w:jc w:val="left"/>
            </w:pPr>
            <w:r>
              <w:rPr>
                <w:rFonts w:ascii="Times New Roman" w:hAnsi="Times New Roman"/>
                <w:b w:val="0"/>
                <w:i w:val="0"/>
                <w:color w:val="000000"/>
                <w:sz w:val="16"/>
              </w:rPr>
              <w:t>Activo recurrente</w:t>
            </w:r>
          </w:p>
        </w:tc>
      </w:tr>
      <w:tr>
        <w:trPr>
          <w:cantSplit/>
        </w:trPr>
        <w:tc>
          <w:tcPr>
            <w:tcW w:type="dxa" w:w="1152"/>
            <w:vAlign w:val="center"/>
          </w:tcPr>
          <w:p>
            <w:pPr>
              <w:spacing w:before="0" w:after="0" w:line="252" w:lineRule="auto"/>
              <w:jc w:val="left"/>
            </w:pPr>
            <w:r>
              <w:rPr>
                <w:rFonts w:ascii="Times New Roman" w:hAnsi="Times New Roman"/>
                <w:b w:val="0"/>
                <w:i w:val="0"/>
                <w:color w:val="000000"/>
                <w:sz w:val="16"/>
              </w:rPr>
              <w:t>Cliente #2</w:t>
            </w:r>
          </w:p>
        </w:tc>
        <w:tc>
          <w:tcPr>
            <w:tcW w:type="dxa" w:w="1584"/>
            <w:vAlign w:val="center"/>
          </w:tcPr>
          <w:p>
            <w:pPr>
              <w:spacing w:before="0" w:after="0" w:line="252" w:lineRule="auto"/>
              <w:jc w:val="left"/>
            </w:pPr>
            <w:r>
              <w:rPr>
                <w:rFonts w:ascii="Times New Roman" w:hAnsi="Times New Roman"/>
                <w:b w:val="0"/>
                <w:i w:val="0"/>
                <w:color w:val="000000"/>
                <w:sz w:val="16"/>
              </w:rPr>
              <w:t>SEGURO</w:t>
            </w:r>
          </w:p>
        </w:tc>
        <w:tc>
          <w:tcPr>
            <w:tcW w:type="dxa" w:w="1152"/>
            <w:vAlign w:val="center"/>
          </w:tcPr>
          <w:p>
            <w:pPr>
              <w:spacing w:before="0" w:after="0" w:line="252" w:lineRule="auto"/>
              <w:jc w:val="left"/>
            </w:pPr>
            <w:r>
              <w:rPr>
                <w:rFonts w:ascii="Times New Roman" w:hAnsi="Times New Roman"/>
                <w:b w:val="0"/>
                <w:i w:val="0"/>
                <w:color w:val="000000"/>
                <w:sz w:val="16"/>
              </w:rPr>
              <w:t>0 transacciones</w:t>
            </w:r>
          </w:p>
        </w:tc>
        <w:tc>
          <w:tcPr>
            <w:tcW w:type="dxa" w:w="1008"/>
            <w:vAlign w:val="center"/>
          </w:tcPr>
          <w:p>
            <w:pPr>
              <w:spacing w:before="0" w:after="0" w:line="252" w:lineRule="auto"/>
              <w:jc w:val="center"/>
            </w:pPr>
            <w:r>
              <w:rPr>
                <w:rFonts w:ascii="Times New Roman" w:hAnsi="Times New Roman"/>
                <w:b w:val="0"/>
                <w:i w:val="0"/>
                <w:color w:val="000000"/>
                <w:sz w:val="16"/>
              </w:rPr>
              <w:t>0.0000</w:t>
            </w:r>
          </w:p>
        </w:tc>
        <w:tc>
          <w:tcPr>
            <w:tcW w:type="dxa" w:w="1152"/>
            <w:vAlign w:val="center"/>
          </w:tcPr>
          <w:p>
            <w:pPr>
              <w:spacing w:before="0" w:after="0" w:line="252" w:lineRule="auto"/>
              <w:jc w:val="left"/>
            </w:pPr>
            <w:r>
              <w:rPr>
                <w:rFonts w:ascii="Times New Roman" w:hAnsi="Times New Roman"/>
                <w:b w:val="0"/>
                <w:i w:val="0"/>
                <w:color w:val="000000"/>
                <w:sz w:val="16"/>
              </w:rPr>
              <w:t>No observado</w:t>
            </w:r>
          </w:p>
        </w:tc>
        <w:tc>
          <w:tcPr>
            <w:tcW w:type="dxa" w:w="1440"/>
            <w:vAlign w:val="center"/>
          </w:tcPr>
          <w:p>
            <w:pPr>
              <w:spacing w:before="0" w:after="0" w:line="252" w:lineRule="auto"/>
              <w:jc w:val="left"/>
            </w:pPr>
            <w:r>
              <w:rPr>
                <w:rFonts w:ascii="Times New Roman" w:hAnsi="Times New Roman"/>
                <w:b w:val="0"/>
                <w:i w:val="0"/>
                <w:color w:val="000000"/>
                <w:sz w:val="16"/>
              </w:rPr>
              <w:t>+0.5687 / -0.0024 / -0.4546</w:t>
            </w:r>
          </w:p>
        </w:tc>
        <w:tc>
          <w:tcPr>
            <w:tcW w:type="dxa" w:w="1310"/>
            <w:vAlign w:val="center"/>
          </w:tcPr>
          <w:p>
            <w:pPr>
              <w:spacing w:before="0" w:after="0" w:line="252" w:lineRule="auto"/>
              <w:jc w:val="left"/>
            </w:pPr>
            <w:r>
              <w:rPr>
                <w:rFonts w:ascii="Times New Roman" w:hAnsi="Times New Roman"/>
                <w:b w:val="0"/>
                <w:i w:val="0"/>
                <w:color w:val="000000"/>
                <w:sz w:val="16"/>
              </w:rPr>
              <w:t>4.01 (Recomendado Prioritario)</w:t>
            </w:r>
          </w:p>
        </w:tc>
      </w:tr>
      <w:tr>
        <w:trPr>
          <w:cantSplit/>
        </w:trPr>
        <w:tc>
          <w:tcPr>
            <w:tcW w:type="dxa" w:w="1152"/>
            <w:vAlign w:val="center"/>
          </w:tcPr>
          <w:p>
            <w:pPr>
              <w:spacing w:before="0" w:after="0" w:line="252" w:lineRule="auto"/>
              <w:jc w:val="left"/>
            </w:pPr>
            <w:r>
              <w:rPr>
                <w:rFonts w:ascii="Times New Roman" w:hAnsi="Times New Roman"/>
                <w:b w:val="0"/>
                <w:i w:val="0"/>
                <w:color w:val="000000"/>
                <w:sz w:val="16"/>
              </w:rPr>
              <w:t>Cliente #2</w:t>
            </w:r>
          </w:p>
        </w:tc>
        <w:tc>
          <w:tcPr>
            <w:tcW w:type="dxa" w:w="1584"/>
            <w:vAlign w:val="center"/>
          </w:tcPr>
          <w:p>
            <w:pPr>
              <w:spacing w:before="0" w:after="0" w:line="252" w:lineRule="auto"/>
              <w:jc w:val="left"/>
            </w:pPr>
            <w:r>
              <w:rPr>
                <w:rFonts w:ascii="Times New Roman" w:hAnsi="Times New Roman"/>
                <w:b w:val="0"/>
                <w:i w:val="0"/>
                <w:color w:val="000000"/>
                <w:sz w:val="16"/>
              </w:rPr>
              <w:t>TRANSF_EXTERNA</w:t>
            </w:r>
          </w:p>
        </w:tc>
        <w:tc>
          <w:tcPr>
            <w:tcW w:type="dxa" w:w="1152"/>
            <w:vAlign w:val="center"/>
          </w:tcPr>
          <w:p>
            <w:pPr>
              <w:spacing w:before="0" w:after="0" w:line="252" w:lineRule="auto"/>
              <w:jc w:val="left"/>
            </w:pPr>
            <w:r>
              <w:rPr>
                <w:rFonts w:ascii="Times New Roman" w:hAnsi="Times New Roman"/>
                <w:b w:val="0"/>
                <w:i w:val="0"/>
                <w:color w:val="000000"/>
                <w:sz w:val="16"/>
              </w:rPr>
              <w:t>0 transacciones</w:t>
            </w:r>
          </w:p>
        </w:tc>
        <w:tc>
          <w:tcPr>
            <w:tcW w:type="dxa" w:w="1008"/>
            <w:vAlign w:val="center"/>
          </w:tcPr>
          <w:p>
            <w:pPr>
              <w:spacing w:before="0" w:after="0" w:line="252" w:lineRule="auto"/>
              <w:jc w:val="center"/>
            </w:pPr>
            <w:r>
              <w:rPr>
                <w:rFonts w:ascii="Times New Roman" w:hAnsi="Times New Roman"/>
                <w:b w:val="0"/>
                <w:i w:val="0"/>
                <w:color w:val="000000"/>
                <w:sz w:val="16"/>
              </w:rPr>
              <w:t>0.0000</w:t>
            </w:r>
          </w:p>
        </w:tc>
        <w:tc>
          <w:tcPr>
            <w:tcW w:type="dxa" w:w="1152"/>
            <w:vAlign w:val="center"/>
          </w:tcPr>
          <w:p>
            <w:pPr>
              <w:spacing w:before="0" w:after="0" w:line="252" w:lineRule="auto"/>
              <w:jc w:val="left"/>
            </w:pPr>
            <w:r>
              <w:rPr>
                <w:rFonts w:ascii="Times New Roman" w:hAnsi="Times New Roman"/>
                <w:b w:val="0"/>
                <w:i w:val="0"/>
                <w:color w:val="000000"/>
                <w:sz w:val="16"/>
              </w:rPr>
              <w:t>No observado</w:t>
            </w:r>
          </w:p>
        </w:tc>
        <w:tc>
          <w:tcPr>
            <w:tcW w:type="dxa" w:w="1440"/>
            <w:vAlign w:val="center"/>
          </w:tcPr>
          <w:p>
            <w:pPr>
              <w:spacing w:before="0" w:after="0" w:line="252" w:lineRule="auto"/>
              <w:jc w:val="left"/>
            </w:pPr>
            <w:r>
              <w:rPr>
                <w:rFonts w:ascii="Times New Roman" w:hAnsi="Times New Roman"/>
                <w:b w:val="0"/>
                <w:i w:val="0"/>
                <w:color w:val="000000"/>
                <w:sz w:val="16"/>
              </w:rPr>
              <w:t>+0.6370 / -0.0844 / -0.3550</w:t>
            </w:r>
          </w:p>
        </w:tc>
        <w:tc>
          <w:tcPr>
            <w:tcW w:type="dxa" w:w="1310"/>
            <w:vAlign w:val="center"/>
          </w:tcPr>
          <w:p>
            <w:pPr>
              <w:spacing w:before="0" w:after="0" w:line="252" w:lineRule="auto"/>
              <w:jc w:val="left"/>
            </w:pPr>
            <w:r>
              <w:rPr>
                <w:rFonts w:ascii="Times New Roman" w:hAnsi="Times New Roman"/>
                <w:b w:val="0"/>
                <w:i w:val="0"/>
                <w:color w:val="000000"/>
                <w:sz w:val="16"/>
              </w:rPr>
              <w:t>4.03 (Sugerido Complementario)</w:t>
            </w:r>
          </w:p>
        </w:tc>
      </w:tr>
      <w:tr>
        <w:trPr>
          <w:cantSplit/>
        </w:trPr>
        <w:tc>
          <w:tcPr>
            <w:tcW w:type="dxa" w:w="1152"/>
            <w:vAlign w:val="center"/>
          </w:tcPr>
          <w:p>
            <w:pPr>
              <w:spacing w:before="0" w:after="0" w:line="252" w:lineRule="auto"/>
              <w:jc w:val="left"/>
            </w:pPr>
            <w:r>
              <w:rPr>
                <w:rFonts w:ascii="Times New Roman" w:hAnsi="Times New Roman"/>
                <w:b w:val="0"/>
                <w:i w:val="0"/>
                <w:color w:val="000000"/>
                <w:sz w:val="16"/>
              </w:rPr>
              <w:t>Cliente #45</w:t>
            </w:r>
          </w:p>
        </w:tc>
        <w:tc>
          <w:tcPr>
            <w:tcW w:type="dxa" w:w="1584"/>
            <w:vAlign w:val="center"/>
          </w:tcPr>
          <w:p>
            <w:pPr>
              <w:spacing w:before="0" w:after="0" w:line="252" w:lineRule="auto"/>
              <w:jc w:val="left"/>
            </w:pPr>
            <w:r>
              <w:rPr>
                <w:rFonts w:ascii="Times New Roman" w:hAnsi="Times New Roman"/>
                <w:b w:val="0"/>
                <w:i w:val="0"/>
                <w:color w:val="000000"/>
                <w:sz w:val="16"/>
              </w:rPr>
              <w:t>TRANSF_EXTERNA</w:t>
            </w:r>
          </w:p>
        </w:tc>
        <w:tc>
          <w:tcPr>
            <w:tcW w:type="dxa" w:w="1152"/>
            <w:vAlign w:val="center"/>
          </w:tcPr>
          <w:p>
            <w:pPr>
              <w:spacing w:before="0" w:after="0" w:line="252" w:lineRule="auto"/>
              <w:jc w:val="left"/>
            </w:pPr>
            <w:r>
              <w:rPr>
                <w:rFonts w:ascii="Times New Roman" w:hAnsi="Times New Roman"/>
                <w:b w:val="0"/>
                <w:i w:val="0"/>
                <w:color w:val="000000"/>
                <w:sz w:val="16"/>
              </w:rPr>
              <w:t>84 envíos</w:t>
            </w:r>
          </w:p>
        </w:tc>
        <w:tc>
          <w:tcPr>
            <w:tcW w:type="dxa" w:w="1008"/>
            <w:vAlign w:val="center"/>
          </w:tcPr>
          <w:p>
            <w:pPr>
              <w:spacing w:before="0" w:after="0" w:line="252" w:lineRule="auto"/>
              <w:jc w:val="center"/>
            </w:pPr>
            <w:r>
              <w:rPr>
                <w:rFonts w:ascii="Times New Roman" w:hAnsi="Times New Roman"/>
                <w:b w:val="0"/>
                <w:i w:val="0"/>
                <w:color w:val="000000"/>
                <w:sz w:val="16"/>
              </w:rPr>
              <w:t>4.4427</w:t>
            </w:r>
          </w:p>
        </w:tc>
        <w:tc>
          <w:tcPr>
            <w:tcW w:type="dxa" w:w="1152"/>
            <w:vAlign w:val="center"/>
          </w:tcPr>
          <w:p>
            <w:pPr>
              <w:spacing w:before="0" w:after="0" w:line="252" w:lineRule="auto"/>
              <w:jc w:val="center"/>
            </w:pPr>
            <w:r>
              <w:rPr>
                <w:rFonts w:ascii="Times New Roman" w:hAnsi="Times New Roman"/>
                <w:b w:val="0"/>
                <w:i w:val="0"/>
                <w:color w:val="000000"/>
                <w:sz w:val="16"/>
              </w:rPr>
              <w:t>4.09</w:t>
            </w:r>
          </w:p>
        </w:tc>
        <w:tc>
          <w:tcPr>
            <w:tcW w:type="dxa" w:w="1440"/>
            <w:vAlign w:val="center"/>
          </w:tcPr>
          <w:p>
            <w:pPr>
              <w:spacing w:before="0" w:after="0" w:line="252" w:lineRule="auto"/>
              <w:jc w:val="left"/>
            </w:pPr>
            <w:r>
              <w:rPr>
                <w:rFonts w:ascii="Times New Roman" w:hAnsi="Times New Roman"/>
                <w:b w:val="0"/>
                <w:i w:val="0"/>
                <w:color w:val="000000"/>
                <w:sz w:val="16"/>
              </w:rPr>
              <w:t>— (Posee el producto)</w:t>
            </w:r>
          </w:p>
        </w:tc>
        <w:tc>
          <w:tcPr>
            <w:tcW w:type="dxa" w:w="1310"/>
            <w:vAlign w:val="center"/>
          </w:tcPr>
          <w:p>
            <w:pPr>
              <w:spacing w:before="0" w:after="0" w:line="252" w:lineRule="auto"/>
              <w:jc w:val="left"/>
            </w:pPr>
            <w:r>
              <w:rPr>
                <w:rFonts w:ascii="Times New Roman" w:hAnsi="Times New Roman"/>
                <w:b w:val="0"/>
                <w:i w:val="0"/>
                <w:color w:val="000000"/>
                <w:sz w:val="16"/>
              </w:rPr>
              <w:t>Activo recurrente</w:t>
            </w:r>
          </w:p>
        </w:tc>
      </w:tr>
      <w:tr>
        <w:trPr>
          <w:cantSplit/>
        </w:trPr>
        <w:tc>
          <w:tcPr>
            <w:tcW w:type="dxa" w:w="1152"/>
            <w:vAlign w:val="center"/>
          </w:tcPr>
          <w:p>
            <w:pPr>
              <w:spacing w:before="0" w:after="0" w:line="252" w:lineRule="auto"/>
              <w:jc w:val="left"/>
            </w:pPr>
            <w:r>
              <w:rPr>
                <w:rFonts w:ascii="Times New Roman" w:hAnsi="Times New Roman"/>
                <w:b w:val="0"/>
                <w:i w:val="0"/>
                <w:color w:val="000000"/>
                <w:sz w:val="16"/>
              </w:rPr>
              <w:t>Cliente #45</w:t>
            </w:r>
          </w:p>
        </w:tc>
        <w:tc>
          <w:tcPr>
            <w:tcW w:type="dxa" w:w="1584"/>
            <w:vAlign w:val="center"/>
          </w:tcPr>
          <w:p>
            <w:pPr>
              <w:spacing w:before="0" w:after="0" w:line="252" w:lineRule="auto"/>
              <w:jc w:val="left"/>
            </w:pPr>
            <w:r>
              <w:rPr>
                <w:rFonts w:ascii="Times New Roman" w:hAnsi="Times New Roman"/>
                <w:b w:val="0"/>
                <w:i w:val="0"/>
                <w:color w:val="000000"/>
                <w:sz w:val="16"/>
              </w:rPr>
              <w:t>TARJETA_DEBITO</w:t>
            </w:r>
          </w:p>
        </w:tc>
        <w:tc>
          <w:tcPr>
            <w:tcW w:type="dxa" w:w="1152"/>
            <w:vAlign w:val="center"/>
          </w:tcPr>
          <w:p>
            <w:pPr>
              <w:spacing w:before="0" w:after="0" w:line="252" w:lineRule="auto"/>
              <w:jc w:val="left"/>
            </w:pPr>
            <w:r>
              <w:rPr>
                <w:rFonts w:ascii="Times New Roman" w:hAnsi="Times New Roman"/>
                <w:b w:val="0"/>
                <w:i w:val="0"/>
                <w:color w:val="000000"/>
                <w:sz w:val="16"/>
              </w:rPr>
              <w:t>52 retiros</w:t>
            </w:r>
          </w:p>
        </w:tc>
        <w:tc>
          <w:tcPr>
            <w:tcW w:type="dxa" w:w="1008"/>
            <w:vAlign w:val="center"/>
          </w:tcPr>
          <w:p>
            <w:pPr>
              <w:spacing w:before="0" w:after="0" w:line="252" w:lineRule="auto"/>
              <w:jc w:val="center"/>
            </w:pPr>
            <w:r>
              <w:rPr>
                <w:rFonts w:ascii="Times New Roman" w:hAnsi="Times New Roman"/>
                <w:b w:val="0"/>
                <w:i w:val="0"/>
                <w:color w:val="000000"/>
                <w:sz w:val="16"/>
              </w:rPr>
              <w:t>3.9703</w:t>
            </w:r>
          </w:p>
        </w:tc>
        <w:tc>
          <w:tcPr>
            <w:tcW w:type="dxa" w:w="1152"/>
            <w:vAlign w:val="center"/>
          </w:tcPr>
          <w:p>
            <w:pPr>
              <w:spacing w:before="0" w:after="0" w:line="252" w:lineRule="auto"/>
              <w:jc w:val="center"/>
            </w:pPr>
            <w:r>
              <w:rPr>
                <w:rFonts w:ascii="Times New Roman" w:hAnsi="Times New Roman"/>
                <w:b w:val="0"/>
                <w:i w:val="0"/>
                <w:color w:val="000000"/>
                <w:sz w:val="16"/>
              </w:rPr>
              <w:t>3.70</w:t>
            </w:r>
          </w:p>
        </w:tc>
        <w:tc>
          <w:tcPr>
            <w:tcW w:type="dxa" w:w="1440"/>
            <w:vAlign w:val="center"/>
          </w:tcPr>
          <w:p>
            <w:pPr>
              <w:spacing w:before="0" w:after="0" w:line="252" w:lineRule="auto"/>
              <w:jc w:val="left"/>
            </w:pPr>
            <w:r>
              <w:rPr>
                <w:rFonts w:ascii="Times New Roman" w:hAnsi="Times New Roman"/>
                <w:b w:val="0"/>
                <w:i w:val="0"/>
                <w:color w:val="000000"/>
                <w:sz w:val="16"/>
              </w:rPr>
              <w:t>— (Posee el producto)</w:t>
            </w:r>
          </w:p>
        </w:tc>
        <w:tc>
          <w:tcPr>
            <w:tcW w:type="dxa" w:w="1310"/>
            <w:vAlign w:val="center"/>
          </w:tcPr>
          <w:p>
            <w:pPr>
              <w:spacing w:before="0" w:after="0" w:line="252" w:lineRule="auto"/>
              <w:jc w:val="left"/>
            </w:pPr>
            <w:r>
              <w:rPr>
                <w:rFonts w:ascii="Times New Roman" w:hAnsi="Times New Roman"/>
                <w:b w:val="0"/>
                <w:i w:val="0"/>
                <w:color w:val="000000"/>
                <w:sz w:val="16"/>
              </w:rPr>
              <w:t>Activo recurrente</w:t>
            </w:r>
          </w:p>
        </w:tc>
      </w:tr>
      <w:tr>
        <w:trPr>
          <w:cantSplit/>
        </w:trPr>
        <w:tc>
          <w:tcPr>
            <w:tcW w:type="dxa" w:w="1152"/>
            <w:vAlign w:val="center"/>
          </w:tcPr>
          <w:p>
            <w:pPr>
              <w:spacing w:before="0" w:after="0" w:line="252" w:lineRule="auto"/>
              <w:jc w:val="left"/>
            </w:pPr>
            <w:r>
              <w:rPr>
                <w:rFonts w:ascii="Times New Roman" w:hAnsi="Times New Roman"/>
                <w:b w:val="0"/>
                <w:i w:val="0"/>
                <w:color w:val="000000"/>
                <w:sz w:val="16"/>
              </w:rPr>
              <w:t>Cliente #45</w:t>
            </w:r>
          </w:p>
        </w:tc>
        <w:tc>
          <w:tcPr>
            <w:tcW w:type="dxa" w:w="1584"/>
            <w:vAlign w:val="center"/>
          </w:tcPr>
          <w:p>
            <w:pPr>
              <w:spacing w:before="0" w:after="0" w:line="252" w:lineRule="auto"/>
              <w:jc w:val="left"/>
            </w:pPr>
            <w:r>
              <w:rPr>
                <w:rFonts w:ascii="Times New Roman" w:hAnsi="Times New Roman"/>
                <w:b w:val="0"/>
                <w:i w:val="0"/>
                <w:color w:val="000000"/>
                <w:sz w:val="16"/>
              </w:rPr>
              <w:t>PRESTAMO</w:t>
            </w:r>
          </w:p>
        </w:tc>
        <w:tc>
          <w:tcPr>
            <w:tcW w:type="dxa" w:w="1152"/>
            <w:vAlign w:val="center"/>
          </w:tcPr>
          <w:p>
            <w:pPr>
              <w:spacing w:before="0" w:after="0" w:line="252" w:lineRule="auto"/>
              <w:jc w:val="left"/>
            </w:pPr>
            <w:r>
              <w:rPr>
                <w:rFonts w:ascii="Times New Roman" w:hAnsi="Times New Roman"/>
                <w:b w:val="0"/>
                <w:i w:val="0"/>
                <w:color w:val="000000"/>
                <w:sz w:val="16"/>
              </w:rPr>
              <w:t>36 cuotas</w:t>
            </w:r>
          </w:p>
        </w:tc>
        <w:tc>
          <w:tcPr>
            <w:tcW w:type="dxa" w:w="1008"/>
            <w:vAlign w:val="center"/>
          </w:tcPr>
          <w:p>
            <w:pPr>
              <w:spacing w:before="0" w:after="0" w:line="252" w:lineRule="auto"/>
              <w:jc w:val="center"/>
            </w:pPr>
            <w:r>
              <w:rPr>
                <w:rFonts w:ascii="Times New Roman" w:hAnsi="Times New Roman"/>
                <w:b w:val="0"/>
                <w:i w:val="0"/>
                <w:color w:val="000000"/>
                <w:sz w:val="16"/>
              </w:rPr>
              <w:t>3.6109</w:t>
            </w:r>
          </w:p>
        </w:tc>
        <w:tc>
          <w:tcPr>
            <w:tcW w:type="dxa" w:w="1152"/>
            <w:vAlign w:val="center"/>
          </w:tcPr>
          <w:p>
            <w:pPr>
              <w:spacing w:before="0" w:after="0" w:line="252" w:lineRule="auto"/>
              <w:jc w:val="center"/>
            </w:pPr>
            <w:r>
              <w:rPr>
                <w:rFonts w:ascii="Times New Roman" w:hAnsi="Times New Roman"/>
                <w:b w:val="0"/>
                <w:i w:val="0"/>
                <w:color w:val="000000"/>
                <w:sz w:val="16"/>
              </w:rPr>
              <w:t>3.43</w:t>
            </w:r>
          </w:p>
        </w:tc>
        <w:tc>
          <w:tcPr>
            <w:tcW w:type="dxa" w:w="1440"/>
            <w:vAlign w:val="center"/>
          </w:tcPr>
          <w:p>
            <w:pPr>
              <w:spacing w:before="0" w:after="0" w:line="252" w:lineRule="auto"/>
              <w:jc w:val="left"/>
            </w:pPr>
            <w:r>
              <w:rPr>
                <w:rFonts w:ascii="Times New Roman" w:hAnsi="Times New Roman"/>
                <w:b w:val="0"/>
                <w:i w:val="0"/>
                <w:color w:val="000000"/>
                <w:sz w:val="16"/>
              </w:rPr>
              <w:t>— (Posee el producto)</w:t>
            </w:r>
          </w:p>
        </w:tc>
        <w:tc>
          <w:tcPr>
            <w:tcW w:type="dxa" w:w="1310"/>
            <w:vAlign w:val="center"/>
          </w:tcPr>
          <w:p>
            <w:pPr>
              <w:spacing w:before="0" w:after="0" w:line="252" w:lineRule="auto"/>
              <w:jc w:val="left"/>
            </w:pPr>
            <w:r>
              <w:rPr>
                <w:rFonts w:ascii="Times New Roman" w:hAnsi="Times New Roman"/>
                <w:b w:val="0"/>
                <w:i w:val="0"/>
                <w:color w:val="000000"/>
                <w:sz w:val="16"/>
              </w:rPr>
              <w:t>Activo recurrente</w:t>
            </w:r>
          </w:p>
        </w:tc>
      </w:tr>
      <w:tr>
        <w:trPr>
          <w:cantSplit/>
        </w:trPr>
        <w:tc>
          <w:tcPr>
            <w:tcW w:type="dxa" w:w="1152"/>
            <w:vAlign w:val="center"/>
          </w:tcPr>
          <w:p>
            <w:pPr>
              <w:spacing w:before="0" w:after="0" w:line="252" w:lineRule="auto"/>
              <w:jc w:val="left"/>
            </w:pPr>
            <w:r>
              <w:rPr>
                <w:rFonts w:ascii="Times New Roman" w:hAnsi="Times New Roman"/>
                <w:b w:val="0"/>
                <w:i w:val="0"/>
                <w:color w:val="000000"/>
                <w:sz w:val="16"/>
              </w:rPr>
              <w:t>Cliente #45</w:t>
            </w:r>
          </w:p>
        </w:tc>
        <w:tc>
          <w:tcPr>
            <w:tcW w:type="dxa" w:w="1584"/>
            <w:vAlign w:val="center"/>
          </w:tcPr>
          <w:p>
            <w:pPr>
              <w:spacing w:before="0" w:after="0" w:line="252" w:lineRule="auto"/>
              <w:jc w:val="left"/>
            </w:pPr>
            <w:r>
              <w:rPr>
                <w:rFonts w:ascii="Times New Roman" w:hAnsi="Times New Roman"/>
                <w:b w:val="0"/>
                <w:i w:val="0"/>
                <w:color w:val="000000"/>
                <w:sz w:val="16"/>
              </w:rPr>
              <w:t>SERVICIOS_HOGAR</w:t>
            </w:r>
          </w:p>
        </w:tc>
        <w:tc>
          <w:tcPr>
            <w:tcW w:type="dxa" w:w="1152"/>
            <w:vAlign w:val="center"/>
          </w:tcPr>
          <w:p>
            <w:pPr>
              <w:spacing w:before="0" w:after="0" w:line="252" w:lineRule="auto"/>
              <w:jc w:val="left"/>
            </w:pPr>
            <w:r>
              <w:rPr>
                <w:rFonts w:ascii="Times New Roman" w:hAnsi="Times New Roman"/>
                <w:b w:val="0"/>
                <w:i w:val="0"/>
                <w:color w:val="000000"/>
                <w:sz w:val="16"/>
              </w:rPr>
              <w:t>0 transacciones</w:t>
            </w:r>
          </w:p>
        </w:tc>
        <w:tc>
          <w:tcPr>
            <w:tcW w:type="dxa" w:w="1008"/>
            <w:vAlign w:val="center"/>
          </w:tcPr>
          <w:p>
            <w:pPr>
              <w:spacing w:before="0" w:after="0" w:line="252" w:lineRule="auto"/>
              <w:jc w:val="center"/>
            </w:pPr>
            <w:r>
              <w:rPr>
                <w:rFonts w:ascii="Times New Roman" w:hAnsi="Times New Roman"/>
                <w:b w:val="0"/>
                <w:i w:val="0"/>
                <w:color w:val="000000"/>
                <w:sz w:val="16"/>
              </w:rPr>
              <w:t>0.0000</w:t>
            </w:r>
          </w:p>
        </w:tc>
        <w:tc>
          <w:tcPr>
            <w:tcW w:type="dxa" w:w="1152"/>
            <w:vAlign w:val="center"/>
          </w:tcPr>
          <w:p>
            <w:pPr>
              <w:spacing w:before="0" w:after="0" w:line="252" w:lineRule="auto"/>
              <w:jc w:val="left"/>
            </w:pPr>
            <w:r>
              <w:rPr>
                <w:rFonts w:ascii="Times New Roman" w:hAnsi="Times New Roman"/>
                <w:b w:val="0"/>
                <w:i w:val="0"/>
                <w:color w:val="000000"/>
                <w:sz w:val="16"/>
              </w:rPr>
              <w:t>No observado</w:t>
            </w:r>
          </w:p>
        </w:tc>
        <w:tc>
          <w:tcPr>
            <w:tcW w:type="dxa" w:w="1440"/>
            <w:vAlign w:val="center"/>
          </w:tcPr>
          <w:p>
            <w:pPr>
              <w:spacing w:before="0" w:after="0" w:line="252" w:lineRule="auto"/>
              <w:jc w:val="left"/>
            </w:pPr>
            <w:r>
              <w:rPr>
                <w:rFonts w:ascii="Times New Roman" w:hAnsi="Times New Roman"/>
                <w:b w:val="0"/>
                <w:i w:val="0"/>
                <w:color w:val="000000"/>
                <w:sz w:val="16"/>
              </w:rPr>
              <w:t>+0.5006 / -0.4522 / +0.0844</w:t>
            </w:r>
          </w:p>
        </w:tc>
        <w:tc>
          <w:tcPr>
            <w:tcW w:type="dxa" w:w="1310"/>
            <w:vAlign w:val="center"/>
          </w:tcPr>
          <w:p>
            <w:pPr>
              <w:spacing w:before="0" w:after="0" w:line="252" w:lineRule="auto"/>
              <w:jc w:val="left"/>
            </w:pPr>
            <w:r>
              <w:rPr>
                <w:rFonts w:ascii="Times New Roman" w:hAnsi="Times New Roman"/>
                <w:b w:val="0"/>
                <w:i w:val="0"/>
                <w:color w:val="000000"/>
                <w:sz w:val="16"/>
              </w:rPr>
              <w:t>3.53 (Sugerido Secundario)</w:t>
            </w:r>
          </w:p>
        </w:tc>
      </w:tr>
      <w:tr>
        <w:trPr>
          <w:cantSplit/>
        </w:trPr>
        <w:tc>
          <w:tcPr>
            <w:tcW w:type="dxa" w:w="1152"/>
            <w:vAlign w:val="center"/>
          </w:tcPr>
          <w:p>
            <w:pPr>
              <w:spacing w:before="0" w:after="0" w:line="252" w:lineRule="auto"/>
              <w:jc w:val="left"/>
            </w:pPr>
            <w:r>
              <w:rPr>
                <w:rFonts w:ascii="Times New Roman" w:hAnsi="Times New Roman"/>
                <w:b w:val="0"/>
                <w:i w:val="0"/>
                <w:color w:val="000000"/>
                <w:sz w:val="16"/>
              </w:rPr>
              <w:t>Cliente #45</w:t>
            </w:r>
          </w:p>
        </w:tc>
        <w:tc>
          <w:tcPr>
            <w:tcW w:type="dxa" w:w="1584"/>
            <w:vAlign w:val="center"/>
          </w:tcPr>
          <w:p>
            <w:pPr>
              <w:spacing w:before="0" w:after="0" w:line="252" w:lineRule="auto"/>
              <w:jc w:val="left"/>
            </w:pPr>
            <w:r>
              <w:rPr>
                <w:rFonts w:ascii="Times New Roman" w:hAnsi="Times New Roman"/>
                <w:b w:val="0"/>
                <w:i w:val="0"/>
                <w:color w:val="000000"/>
                <w:sz w:val="16"/>
              </w:rPr>
              <w:t>SEGURO</w:t>
            </w:r>
          </w:p>
        </w:tc>
        <w:tc>
          <w:tcPr>
            <w:tcW w:type="dxa" w:w="1152"/>
            <w:vAlign w:val="center"/>
          </w:tcPr>
          <w:p>
            <w:pPr>
              <w:spacing w:before="0" w:after="0" w:line="252" w:lineRule="auto"/>
              <w:jc w:val="left"/>
            </w:pPr>
            <w:r>
              <w:rPr>
                <w:rFonts w:ascii="Times New Roman" w:hAnsi="Times New Roman"/>
                <w:b w:val="0"/>
                <w:i w:val="0"/>
                <w:color w:val="000000"/>
                <w:sz w:val="16"/>
              </w:rPr>
              <w:t>0 transacciones</w:t>
            </w:r>
          </w:p>
        </w:tc>
        <w:tc>
          <w:tcPr>
            <w:tcW w:type="dxa" w:w="1008"/>
            <w:vAlign w:val="center"/>
          </w:tcPr>
          <w:p>
            <w:pPr>
              <w:spacing w:before="0" w:after="0" w:line="252" w:lineRule="auto"/>
              <w:jc w:val="center"/>
            </w:pPr>
            <w:r>
              <w:rPr>
                <w:rFonts w:ascii="Times New Roman" w:hAnsi="Times New Roman"/>
                <w:b w:val="0"/>
                <w:i w:val="0"/>
                <w:color w:val="000000"/>
                <w:sz w:val="16"/>
              </w:rPr>
              <w:t>0.0000</w:t>
            </w:r>
          </w:p>
        </w:tc>
        <w:tc>
          <w:tcPr>
            <w:tcW w:type="dxa" w:w="1152"/>
            <w:vAlign w:val="center"/>
          </w:tcPr>
          <w:p>
            <w:pPr>
              <w:spacing w:before="0" w:after="0" w:line="252" w:lineRule="auto"/>
              <w:jc w:val="left"/>
            </w:pPr>
            <w:r>
              <w:rPr>
                <w:rFonts w:ascii="Times New Roman" w:hAnsi="Times New Roman"/>
                <w:b w:val="0"/>
                <w:i w:val="0"/>
                <w:color w:val="000000"/>
                <w:sz w:val="16"/>
              </w:rPr>
              <w:t>No observado</w:t>
            </w:r>
          </w:p>
        </w:tc>
        <w:tc>
          <w:tcPr>
            <w:tcW w:type="dxa" w:w="1440"/>
            <w:vAlign w:val="center"/>
          </w:tcPr>
          <w:p>
            <w:pPr>
              <w:spacing w:before="0" w:after="0" w:line="252" w:lineRule="auto"/>
              <w:jc w:val="left"/>
            </w:pPr>
            <w:r>
              <w:rPr>
                <w:rFonts w:ascii="Times New Roman" w:hAnsi="Times New Roman"/>
                <w:b w:val="0"/>
                <w:i w:val="0"/>
                <w:color w:val="000000"/>
                <w:sz w:val="16"/>
              </w:rPr>
              <w:t>+0.5687 / -0.4546 / +0.1876</w:t>
            </w:r>
          </w:p>
        </w:tc>
        <w:tc>
          <w:tcPr>
            <w:tcW w:type="dxa" w:w="1310"/>
            <w:vAlign w:val="center"/>
          </w:tcPr>
          <w:p>
            <w:pPr>
              <w:spacing w:before="0" w:after="0" w:line="252" w:lineRule="auto"/>
              <w:jc w:val="left"/>
            </w:pPr>
            <w:r>
              <w:rPr>
                <w:rFonts w:ascii="Times New Roman" w:hAnsi="Times New Roman"/>
                <w:b w:val="0"/>
                <w:i w:val="0"/>
                <w:color w:val="000000"/>
                <w:sz w:val="16"/>
              </w:rPr>
              <w:t>3.78 (Recomendado Prioritario)</w:t>
            </w:r>
          </w:p>
        </w:tc>
      </w:tr>
    </w:tbl>
    <w:p>
      <w:pPr>
        <w:spacing w:before="0" w:after="120"/>
      </w:pPr>
    </w:p>
    <w:p>
      <w:pPr>
        <w:spacing w:line="276" w:lineRule="auto" w:before="0" w:after="90"/>
        <w:jc w:val="both"/>
      </w:pPr>
      <w:r>
        <w:rPr>
          <w:rFonts w:ascii="Times New Roman" w:hAnsi="Times New Roman"/>
          <w:b w:val="0"/>
          <w:i w:val="0"/>
          <w:color w:val="000000"/>
          <w:sz w:val="22"/>
        </w:rPr>
        <w:t>Auditoría matemática detallada de los cálculos en la Tabla 2:</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Cliente #2 (Cálculo de Seguro): </w:t>
      </w:r>
      <w:r>
        <w:rPr>
          <w:rFonts w:ascii="Times New Roman" w:hAnsi="Times New Roman"/>
          <w:b w:val="0"/>
          <w:i w:val="0"/>
          <w:color w:val="000000"/>
          <w:sz w:val="22"/>
        </w:rPr>
        <w:t>Para Cliente #2, las calificaciones implícitas conocidas son: Tarjeta = 4.67 (x = 172 retiros), Hogar = 3.88 (x = 65 débitos) y Préstamo = 3.08 (x = 24 amortizaciones). Al predecir SEGURO a partir de las desviaciones canónicas de la Tabla 5 (b(Seguro, Préstamo) = +0.5687 con S = 114; b(Seguro, Hogar) = -0.0024 con S = 532; b(Seguro, Tarjeta) = -0.4546 con S = 532):</w:t>
      </w:r>
    </w:p>
    <w:p>
      <w:pPr>
        <w:keepNext/>
        <w:spacing w:before="80" w:after="80"/>
        <w:jc w:val="center"/>
      </w:pPr>
      <m:oMathPara>
        <m:oMath>
          <m:sSub>
            <m:e>
              <m:acc>
                <m:accPr>
                  <m:chr m:val="̂"/>
                </m:accPr>
                <m:e>
                  <m:r>
                    <m:t>r</m:t>
                  </m:r>
                </m:e>
              </m:acc>
            </m:e>
            <m:sub>
              <m:r>
                <m:t>2,</m:t>
              </m:r>
              <m:r>
                <m:rPr>
                  <m:nor/>
                </m:rPr>
                <m:t>Seguro</m:t>
              </m:r>
            </m:sub>
          </m:sSub>
          <m:r>
            <m:t>=</m:t>
          </m:r>
          <m:f>
            <m:fPr>
              <m:type m:val="bar"/>
            </m:fPr>
            <m:num>
              <m:r>
                <m:t>114(3.08+0.5687)+532(3.88−0.0024)+532(4.67−0.4546)</m:t>
              </m:r>
            </m:num>
            <m:den>
              <m:r>
                <m:t>114+532+532</m:t>
              </m:r>
            </m:den>
          </m:f>
          <m:r>
            <m:t>=</m:t>
          </m:r>
          <m:f>
            <m:fPr>
              <m:type m:val="bar"/>
            </m:fPr>
            <m:num>
              <m:r>
                <m:t>415.9318+2062.9232+2242.5768</m:t>
              </m:r>
            </m:num>
            <m:den>
              <m:r>
                <m:t>1178</m:t>
              </m:r>
            </m:den>
          </m:f>
          <m:r>
            <m:t>=</m:t>
          </m:r>
          <m:f>
            <m:fPr>
              <m:type m:val="bar"/>
            </m:fPr>
            <m:num>
              <m:r>
                <m:t>4721.4318</m:t>
              </m:r>
            </m:num>
            <m:den>
              <m:r>
                <m:t>1178</m:t>
              </m:r>
            </m:den>
          </m:f>
          <m:r>
            <m:t>=</m:t>
          </m:r>
          <m:r>
            <m:rPr>
              <m:sty m:val="b"/>
            </m:rPr>
            <m:t>4.0080</m:t>
          </m:r>
          <m:r>
            <m:t>≈</m:t>
          </m:r>
          <m:r>
            <m:rPr>
              <m:sty m:val="b"/>
            </m:rPr>
            <m:t>4.01</m:t>
          </m:r>
        </m:oMath>
      </m:oMathPara>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Cliente #2 (Cálculo de Transferencia Externa): </w:t>
      </w:r>
      <w:r>
        <w:rPr>
          <w:rFonts w:ascii="Times New Roman" w:hAnsi="Times New Roman"/>
          <w:b w:val="0"/>
          <w:i w:val="0"/>
          <w:color w:val="000000"/>
          <w:sz w:val="22"/>
        </w:rPr>
        <w:t>Para Cliente #2, al predecir TRANSF_EXTERNA utilizando las desviaciones correspondientes (b(Transf, Préstamo) = +0.6370 con S = 233; b(Transf, Hogar) = -0.0844 con S = 1197; b(Transf, Tarjeta) = -0.3550 con S = 1197):</w:t>
      </w:r>
    </w:p>
    <w:p>
      <w:pPr>
        <w:keepNext/>
        <w:spacing w:before="80" w:after="80"/>
        <w:jc w:val="center"/>
      </w:pPr>
      <m:oMathPara>
        <m:oMath>
          <m:sSub>
            <m:e>
              <m:acc>
                <m:accPr>
                  <m:chr m:val="̂"/>
                </m:accPr>
                <m:e>
                  <m:r>
                    <m:t>r</m:t>
                  </m:r>
                </m:e>
              </m:acc>
            </m:e>
            <m:sub>
              <m:r>
                <m:t>2,</m:t>
              </m:r>
              <m:r>
                <m:rPr>
                  <m:nor/>
                </m:rPr>
                <m:t>Transf</m:t>
              </m:r>
            </m:sub>
          </m:sSub>
          <m:r>
            <m:t>=</m:t>
          </m:r>
          <m:f>
            <m:fPr>
              <m:type m:val="bar"/>
            </m:fPr>
            <m:num>
              <m:r>
                <m:t>233(3.08+0.6370)+1197(3.88−0.0844)+1197(4.67−0.3550)</m:t>
              </m:r>
            </m:num>
            <m:den>
              <m:r>
                <m:t>233+1197+1197</m:t>
              </m:r>
            </m:den>
          </m:f>
          <m:r>
            <m:t>=</m:t>
          </m:r>
          <m:f>
            <m:fPr>
              <m:type m:val="bar"/>
            </m:fPr>
            <m:num>
              <m:r>
                <m:t>866.0610+4543.3332+5165.0550</m:t>
              </m:r>
            </m:num>
            <m:den>
              <m:r>
                <m:t>2627</m:t>
              </m:r>
            </m:den>
          </m:f>
          <m:r>
            <m:t>=</m:t>
          </m:r>
          <m:f>
            <m:fPr>
              <m:type m:val="bar"/>
            </m:fPr>
            <m:num>
              <m:r>
                <m:t>10574.4492</m:t>
              </m:r>
            </m:num>
            <m:den>
              <m:r>
                <m:t>2627</m:t>
              </m:r>
            </m:den>
          </m:f>
          <m:r>
            <m:t>=</m:t>
          </m:r>
          <m:r>
            <m:rPr>
              <m:sty m:val="b"/>
            </m:rPr>
            <m:t>4.0253</m:t>
          </m:r>
          <m:r>
            <m:t>≈</m:t>
          </m:r>
          <m:r>
            <m:rPr>
              <m:sty m:val="b"/>
            </m:rPr>
            <m:t>4.03</m:t>
          </m:r>
        </m:oMath>
      </m:oMathPara>
    </w:p>
    <w:p>
      <w:pPr>
        <w:spacing w:line="276" w:lineRule="auto" w:before="0" w:after="90"/>
        <w:jc w:val="both"/>
      </w:pPr>
      <w:r>
        <w:rPr>
          <w:rFonts w:ascii="Times New Roman" w:hAnsi="Times New Roman"/>
          <w:b w:val="0"/>
          <w:i w:val="0"/>
          <w:color w:val="000000"/>
          <w:sz w:val="22"/>
        </w:rPr>
        <w:t>Interpretación de Cliente #2: Ambos productos presentan una afinidad estimada sobresaliente (4.01 y 4.03). Aunque Transferencia Externa arroja un score aritmético marginalmente superior (4.03 vs 4.01), el comité de producto prioriza comercialmente SEGURO (4.01) debido a que representa un producto de cobertura patrimonial con un margen de contribución financiera sustancialmente más elevado para la institución bancaria.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Cliente #45 (Cálculo de Servicios del Hogar): </w:t>
      </w:r>
      <w:r>
        <w:rPr>
          <w:rFonts w:ascii="Times New Roman" w:hAnsi="Times New Roman"/>
          <w:b w:val="0"/>
          <w:i w:val="0"/>
          <w:color w:val="000000"/>
          <w:sz w:val="22"/>
        </w:rPr>
        <w:t>Para Cliente #45, los ratings implícitos escalados calculados con la misma fórmula lineal resultan en: Préstamo = 3.43 (x = 36 cuotas, y = 3.6109), Tarjeta = 3.70 (x = 52 retiros, y = 3.9703) y Transferencia = 4.09 (x = 84 envíos, y = 4.4427). Evaluando la predicción para SERVICIOS_HOGAR tomando los signos rigurosos de la Tabla 5 (b(Hogar, Préstamo) = +0.5006 con S = 468; b(Hogar, Tarjeta) = -0.4522 con S = 3365; b(Hogar, Transf) = +0.0844 con S = 1197):</w:t>
      </w:r>
    </w:p>
    <w:p>
      <w:pPr>
        <w:keepNext/>
        <w:spacing w:before="80" w:after="80"/>
        <w:jc w:val="center"/>
      </w:pPr>
      <m:oMathPara>
        <m:oMath>
          <m:sSub>
            <m:e>
              <m:acc>
                <m:accPr>
                  <m:chr m:val="̂"/>
                </m:accPr>
                <m:e>
                  <m:r>
                    <m:t>r</m:t>
                  </m:r>
                </m:e>
              </m:acc>
            </m:e>
            <m:sub>
              <m:r>
                <m:t>45,</m:t>
              </m:r>
              <m:r>
                <m:rPr>
                  <m:nor/>
                </m:rPr>
                <m:t>Hogar</m:t>
              </m:r>
            </m:sub>
          </m:sSub>
          <m:r>
            <m:t>=</m:t>
          </m:r>
          <m:f>
            <m:fPr>
              <m:type m:val="bar"/>
            </m:fPr>
            <m:num>
              <m:r>
                <m:t>468(3.43+0.5006)+3365(3.70−0.4522)+1197(4.09+0.0844)</m:t>
              </m:r>
            </m:num>
            <m:den>
              <m:r>
                <m:t>468+3365+1197</m:t>
              </m:r>
            </m:den>
          </m:f>
          <m:r>
            <m:t>=</m:t>
          </m:r>
          <m:f>
            <m:fPr>
              <m:type m:val="bar"/>
            </m:fPr>
            <m:num>
              <m:r>
                <m:t>1839.5608+10928.8970+4996.7728</m:t>
              </m:r>
            </m:num>
            <m:den>
              <m:r>
                <m:t>5030</m:t>
              </m:r>
            </m:den>
          </m:f>
          <m:r>
            <m:t>=</m:t>
          </m:r>
          <m:f>
            <m:fPr>
              <m:type m:val="bar"/>
            </m:fPr>
            <m:num>
              <m:r>
                <m:t>17765.2306</m:t>
              </m:r>
            </m:num>
            <m:den>
              <m:r>
                <m:t>5030</m:t>
              </m:r>
            </m:den>
          </m:f>
          <m:r>
            <m:t>=</m:t>
          </m:r>
          <m:r>
            <m:rPr>
              <m:sty m:val="b"/>
            </m:rPr>
            <m:t>3.5319</m:t>
          </m:r>
          <m:r>
            <m:t>≈</m:t>
          </m:r>
          <m:r>
            <m:rPr>
              <m:sty m:val="b"/>
            </m:rPr>
            <m:t>3.53</m:t>
          </m:r>
        </m:oMath>
      </m:oMathPara>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Cliente #45 (Cálculo de Seguro): </w:t>
      </w:r>
      <w:r>
        <w:rPr>
          <w:rFonts w:ascii="Times New Roman" w:hAnsi="Times New Roman"/>
          <w:b w:val="0"/>
          <w:i w:val="0"/>
          <w:color w:val="000000"/>
          <w:sz w:val="22"/>
        </w:rPr>
        <w:t>Evaluando ahora la predicción para SEGURO para Cliente #45 con los valores de la Tabla 5 (b(Seguro, Préstamo) = +0.5687 con S = 114; b(Seguro, Tarjeta) = -0.4546 con S = 532; b(Seguro, Transf) = +0.1876 con S = 531):</w:t>
      </w:r>
    </w:p>
    <w:p>
      <w:pPr>
        <w:keepNext/>
        <w:spacing w:before="80" w:after="80"/>
        <w:jc w:val="center"/>
      </w:pPr>
      <m:oMathPara>
        <m:oMath>
          <m:sSub>
            <m:e>
              <m:acc>
                <m:accPr>
                  <m:chr m:val="̂"/>
                </m:accPr>
                <m:e>
                  <m:r>
                    <m:t>r</m:t>
                  </m:r>
                </m:e>
              </m:acc>
            </m:e>
            <m:sub>
              <m:r>
                <m:t>45,</m:t>
              </m:r>
              <m:r>
                <m:rPr>
                  <m:nor/>
                </m:rPr>
                <m:t>Seguro</m:t>
              </m:r>
            </m:sub>
          </m:sSub>
          <m:r>
            <m:t>=</m:t>
          </m:r>
          <m:f>
            <m:fPr>
              <m:type m:val="bar"/>
            </m:fPr>
            <m:num>
              <m:r>
                <m:t>114(3.43+0.5687)+532(3.70−0.4546)+531(4.09+0.1876)</m:t>
              </m:r>
            </m:num>
            <m:den>
              <m:r>
                <m:t>114+532+531</m:t>
              </m:r>
            </m:den>
          </m:f>
          <m:r>
            <m:t>=</m:t>
          </m:r>
          <m:f>
            <m:fPr>
              <m:type m:val="bar"/>
            </m:fPr>
            <m:num>
              <m:r>
                <m:t>455.8318+1726.5528+2271.4356</m:t>
              </m:r>
            </m:num>
            <m:den>
              <m:r>
                <m:t>1177</m:t>
              </m:r>
            </m:den>
          </m:f>
          <m:r>
            <m:t>=</m:t>
          </m:r>
          <m:f>
            <m:fPr>
              <m:type m:val="bar"/>
            </m:fPr>
            <m:num>
              <m:r>
                <m:t>4453.8202</m:t>
              </m:r>
            </m:num>
            <m:den>
              <m:r>
                <m:t>1177</m:t>
              </m:r>
            </m:den>
          </m:f>
          <m:r>
            <m:t>=</m:t>
          </m:r>
          <m:r>
            <m:rPr>
              <m:sty m:val="b"/>
            </m:rPr>
            <m:t>3.7840</m:t>
          </m:r>
          <m:r>
            <m:t>≈</m:t>
          </m:r>
          <m:r>
            <m:rPr>
              <m:sty m:val="b"/>
            </m:rPr>
            <m:t>3.78</m:t>
          </m:r>
        </m:oMath>
      </m:oMathPara>
    </w:p>
    <w:p>
      <w:pPr>
        <w:spacing w:line="276" w:lineRule="auto" w:before="0" w:after="90"/>
        <w:jc w:val="both"/>
      </w:pPr>
      <w:r>
        <w:rPr>
          <w:rFonts w:ascii="Times New Roman" w:hAnsi="Times New Roman"/>
          <w:b w:val="0"/>
          <w:i w:val="0"/>
          <w:color w:val="000000"/>
          <w:sz w:val="22"/>
        </w:rPr>
        <w:t>Demostración de la inversión del orden en Cliente #45: En modelos aditivos simples no ponderados por soporte o que arrastran signos incorrectos, Servicios del Hogar parecía predominar. Sin embargo, al aplicar rigurosamente las desviaciones con soporte de la Tabla 5, la predicción de SEGURO (3.78) supera de manera concluyente a la de SERVICIOS_HOGAR (3.53). Esto demuestra el poder de Slope One: a pesar de que el cliente no tiene débitos domésticos, su fuerte volumen en transferencias y tarjetas, combinado con su condición de prestatario, genera una señal de propensión prioritaria hacia seguros de protección crediticia.</w:t>
      </w:r>
    </w:p>
    <w:p>
      <w:pPr>
        <w:spacing w:line="276" w:lineRule="auto" w:before="0" w:after="90"/>
        <w:jc w:val="both"/>
      </w:pPr>
      <w:r>
        <w:rPr>
          <w:rFonts w:ascii="Times New Roman" w:hAnsi="Times New Roman"/>
          <w:b w:val="0"/>
          <w:i w:val="0"/>
          <w:color w:val="000000"/>
          <w:sz w:val="22"/>
        </w:rPr>
        <w:t>Las variables operacionales y transformadas se resumen en el diccionario analítico de la Tabla 3:</w:t>
      </w:r>
    </w:p>
    <w:p>
      <w:pPr>
        <w:keepNext/>
        <w:spacing w:before="200" w:after="80"/>
        <w:jc w:val="center"/>
      </w:pPr>
      <w:r>
        <w:rPr>
          <w:rFonts w:ascii="Times New Roman" w:hAnsi="Times New Roman"/>
          <w:b/>
          <w:i w:val="0"/>
          <w:color w:val="000000"/>
          <w:sz w:val="21"/>
        </w:rPr>
        <w:t>Tabla 3:</w:t>
      </w:r>
      <w:r>
        <w:rPr>
          <w:rFonts w:ascii="Times New Roman" w:hAnsi="Times New Roman"/>
          <w:sz w:val="21"/>
        </w:rPr>
        <w:t xml:space="preserve"> Diccionario de Variables Analíticas Utilizadas en los Motores de Recomendación.</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760"/>
        <w:gridCol w:w="1760"/>
        <w:gridCol w:w="1760"/>
        <w:gridCol w:w="1760"/>
        <w:gridCol w:w="1760"/>
      </w:tblGrid>
      <w:tr>
        <w:trPr>
          <w:tblHeader/>
          <w:cantSplit/>
        </w:trPr>
        <w:tc>
          <w:tcPr>
            <w:tcW w:type="dxa" w:w="1271"/>
            <w:vAlign w:val="center"/>
            <w:tcBorders>
              <w:bottom w:val="single" w:sz="6" w:space="0" w:color="000000"/>
            </w:tcBorders>
          </w:tcPr>
          <w:p>
            <w:pPr>
              <w:spacing w:before="0" w:after="0" w:line="252" w:lineRule="auto"/>
              <w:jc w:val="center"/>
            </w:pPr>
            <w:r>
              <w:rPr>
                <w:rFonts w:ascii="Times New Roman" w:hAnsi="Times New Roman"/>
                <w:b/>
                <w:i w:val="0"/>
                <w:color w:val="000000"/>
                <w:sz w:val="17"/>
              </w:rPr>
              <w:t>Variable Analítica</w:t>
            </w:r>
          </w:p>
        </w:tc>
        <w:tc>
          <w:tcPr>
            <w:tcW w:type="dxa" w:w="1177"/>
            <w:vAlign w:val="center"/>
            <w:tcBorders>
              <w:bottom w:val="single" w:sz="6" w:space="0" w:color="000000"/>
            </w:tcBorders>
          </w:tcPr>
          <w:p>
            <w:pPr>
              <w:spacing w:before="0" w:after="0" w:line="252" w:lineRule="auto"/>
              <w:jc w:val="center"/>
            </w:pPr>
            <w:r>
              <w:rPr>
                <w:rFonts w:ascii="Times New Roman" w:hAnsi="Times New Roman"/>
                <w:b/>
                <w:i w:val="0"/>
                <w:color w:val="000000"/>
                <w:sz w:val="17"/>
              </w:rPr>
              <w:t>Fuente Base</w:t>
            </w:r>
          </w:p>
        </w:tc>
        <w:tc>
          <w:tcPr>
            <w:tcW w:type="dxa" w:w="1271"/>
            <w:vAlign w:val="center"/>
            <w:tcBorders>
              <w:bottom w:val="single" w:sz="6" w:space="0" w:color="000000"/>
            </w:tcBorders>
          </w:tcPr>
          <w:p>
            <w:pPr>
              <w:spacing w:before="0" w:after="0" w:line="252" w:lineRule="auto"/>
              <w:jc w:val="center"/>
            </w:pPr>
            <w:r>
              <w:rPr>
                <w:rFonts w:ascii="Times New Roman" w:hAnsi="Times New Roman"/>
                <w:b/>
                <w:i w:val="0"/>
                <w:color w:val="000000"/>
                <w:sz w:val="17"/>
              </w:rPr>
              <w:t>Grano / Entidad</w:t>
            </w:r>
          </w:p>
        </w:tc>
        <w:tc>
          <w:tcPr>
            <w:tcW w:type="dxa" w:w="2239"/>
            <w:vAlign w:val="center"/>
            <w:tcBorders>
              <w:bottom w:val="single" w:sz="6" w:space="0" w:color="000000"/>
            </w:tcBorders>
          </w:tcPr>
          <w:p>
            <w:pPr>
              <w:spacing w:before="0" w:after="0" w:line="252" w:lineRule="auto"/>
              <w:jc w:val="center"/>
            </w:pPr>
            <w:r>
              <w:rPr>
                <w:rFonts w:ascii="Times New Roman" w:hAnsi="Times New Roman"/>
                <w:b/>
                <w:i w:val="0"/>
                <w:color w:val="000000"/>
                <w:sz w:val="17"/>
              </w:rPr>
              <w:t>Definición de Negocio</w:t>
            </w:r>
          </w:p>
        </w:tc>
        <w:tc>
          <w:tcPr>
            <w:tcW w:type="dxa" w:w="2840"/>
            <w:vAlign w:val="center"/>
            <w:tcBorders>
              <w:bottom w:val="single" w:sz="6" w:space="0" w:color="000000"/>
            </w:tcBorders>
          </w:tcPr>
          <w:p>
            <w:pPr>
              <w:spacing w:before="0" w:after="0" w:line="252" w:lineRule="auto"/>
              <w:jc w:val="center"/>
            </w:pPr>
            <w:r>
              <w:rPr>
                <w:rFonts w:ascii="Times New Roman" w:hAnsi="Times New Roman"/>
                <w:b/>
                <w:i w:val="0"/>
                <w:color w:val="000000"/>
                <w:sz w:val="17"/>
              </w:rPr>
              <w:t>Método de Cálculo</w:t>
            </w:r>
          </w:p>
        </w:tc>
      </w:tr>
      <w:tr>
        <w:trPr>
          <w:cantSplit/>
        </w:trPr>
        <w:tc>
          <w:tcPr>
            <w:tcW w:type="dxa" w:w="1271"/>
            <w:vAlign w:val="center"/>
          </w:tcPr>
          <w:p>
            <w:pPr>
              <w:spacing w:before="0" w:after="0" w:line="252" w:lineRule="auto"/>
              <w:jc w:val="left"/>
            </w:pPr>
            <w:r>
              <w:rPr>
                <w:rFonts w:ascii="Times New Roman" w:hAnsi="Times New Roman"/>
                <w:b w:val="0"/>
                <w:i w:val="0"/>
                <w:color w:val="000000"/>
                <w:sz w:val="17"/>
              </w:rPr>
              <w:t>freq_prod</w:t>
            </w:r>
          </w:p>
        </w:tc>
        <w:tc>
          <w:tcPr>
            <w:tcW w:type="dxa" w:w="1177"/>
            <w:vAlign w:val="center"/>
          </w:tcPr>
          <w:p>
            <w:pPr>
              <w:spacing w:before="0" w:after="0" w:line="252" w:lineRule="auto"/>
              <w:jc w:val="left"/>
            </w:pPr>
            <w:r>
              <w:rPr>
                <w:rFonts w:ascii="Times New Roman" w:hAnsi="Times New Roman"/>
                <w:b w:val="0"/>
                <w:i w:val="0"/>
                <w:color w:val="000000"/>
                <w:sz w:val="17"/>
              </w:rPr>
              <w:t>df_transacciones</w:t>
            </w:r>
          </w:p>
        </w:tc>
        <w:tc>
          <w:tcPr>
            <w:tcW w:type="dxa" w:w="1271"/>
            <w:vAlign w:val="center"/>
          </w:tcPr>
          <w:p>
            <w:pPr>
              <w:spacing w:before="0" w:after="0" w:line="252" w:lineRule="auto"/>
              <w:jc w:val="left"/>
            </w:pPr>
            <w:r>
              <w:rPr>
                <w:rFonts w:ascii="Times New Roman" w:hAnsi="Times New Roman"/>
                <w:b w:val="0"/>
                <w:i w:val="0"/>
                <w:color w:val="000000"/>
                <w:sz w:val="17"/>
              </w:rPr>
              <w:t>Cliente × Producto</w:t>
            </w:r>
          </w:p>
        </w:tc>
        <w:tc>
          <w:tcPr>
            <w:tcW w:type="dxa" w:w="2239"/>
            <w:vAlign w:val="center"/>
          </w:tcPr>
          <w:p>
            <w:pPr>
              <w:spacing w:before="0" w:after="0" w:line="252" w:lineRule="auto"/>
              <w:jc w:val="left"/>
            </w:pPr>
            <w:r>
              <w:rPr>
                <w:rFonts w:ascii="Times New Roman" w:hAnsi="Times New Roman"/>
                <w:b w:val="0"/>
                <w:i w:val="0"/>
                <w:color w:val="000000"/>
                <w:sz w:val="17"/>
              </w:rPr>
              <w:t>Frecuencia de uso del servicio financiero</w:t>
            </w:r>
          </w:p>
        </w:tc>
        <w:tc>
          <w:tcPr>
            <w:tcW w:type="dxa" w:w="2840"/>
            <w:vAlign w:val="center"/>
          </w:tcPr>
          <w:p>
            <w:pPr>
              <w:spacing w:before="0" w:after="0" w:line="252" w:lineRule="auto"/>
              <w:jc w:val="left"/>
            </w:pPr>
            <w:r>
              <w:rPr>
                <w:rFonts w:ascii="Times New Roman" w:hAnsi="Times New Roman"/>
                <w:b w:val="0"/>
                <w:i w:val="0"/>
                <w:color w:val="000000"/>
                <w:sz w:val="17"/>
              </w:rPr>
              <w:t>Recuento de transacciones con concepto específico</w:t>
            </w:r>
          </w:p>
        </w:tc>
      </w:tr>
      <w:tr>
        <w:trPr>
          <w:cantSplit/>
        </w:trPr>
        <w:tc>
          <w:tcPr>
            <w:tcW w:type="dxa" w:w="1271"/>
            <w:vAlign w:val="center"/>
          </w:tcPr>
          <w:p>
            <w:pPr>
              <w:spacing w:before="0" w:after="0" w:line="252" w:lineRule="auto"/>
              <w:jc w:val="left"/>
            </w:pPr>
            <w:r>
              <w:rPr>
                <w:rFonts w:ascii="Times New Roman" w:hAnsi="Times New Roman"/>
                <w:b w:val="0"/>
                <w:i w:val="0"/>
                <w:color w:val="000000"/>
                <w:sz w:val="17"/>
              </w:rPr>
              <w:t>rating_log</w:t>
            </w:r>
          </w:p>
        </w:tc>
        <w:tc>
          <w:tcPr>
            <w:tcW w:type="dxa" w:w="1177"/>
            <w:vAlign w:val="center"/>
          </w:tcPr>
          <w:p>
            <w:pPr>
              <w:spacing w:before="0" w:after="0" w:line="252" w:lineRule="auto"/>
              <w:jc w:val="left"/>
            </w:pPr>
            <w:r>
              <w:rPr>
                <w:rFonts w:ascii="Times New Roman" w:hAnsi="Times New Roman"/>
                <w:b w:val="0"/>
                <w:i w:val="0"/>
                <w:color w:val="000000"/>
                <w:sz w:val="17"/>
              </w:rPr>
              <w:t>Calculada</w:t>
            </w:r>
          </w:p>
        </w:tc>
        <w:tc>
          <w:tcPr>
            <w:tcW w:type="dxa" w:w="1271"/>
            <w:vAlign w:val="center"/>
          </w:tcPr>
          <w:p>
            <w:pPr>
              <w:spacing w:before="0" w:after="0" w:line="252" w:lineRule="auto"/>
              <w:jc w:val="left"/>
            </w:pPr>
            <w:r>
              <w:rPr>
                <w:rFonts w:ascii="Times New Roman" w:hAnsi="Times New Roman"/>
                <w:b w:val="0"/>
                <w:i w:val="0"/>
                <w:color w:val="000000"/>
                <w:sz w:val="17"/>
              </w:rPr>
              <w:t>Cliente × Producto</w:t>
            </w:r>
          </w:p>
        </w:tc>
        <w:tc>
          <w:tcPr>
            <w:tcW w:type="dxa" w:w="2239"/>
            <w:vAlign w:val="center"/>
          </w:tcPr>
          <w:p>
            <w:pPr>
              <w:spacing w:before="0" w:after="0" w:line="252" w:lineRule="auto"/>
              <w:jc w:val="left"/>
            </w:pPr>
            <w:r>
              <w:rPr>
                <w:rFonts w:ascii="Times New Roman" w:hAnsi="Times New Roman"/>
                <w:b w:val="0"/>
                <w:i w:val="0"/>
                <w:color w:val="000000"/>
                <w:sz w:val="17"/>
              </w:rPr>
              <w:t>Nota normalizada de afinidad implícita</w:t>
            </w:r>
          </w:p>
        </w:tc>
        <w:tc>
          <w:tcPr>
            <w:tcW w:type="dxa" w:w="2840"/>
            <w:vAlign w:val="center"/>
          </w:tcPr>
          <w:p>
            <w:pPr>
              <w:spacing w:before="0" w:after="0" w:line="252" w:lineRule="auto"/>
              <w:jc w:val="left"/>
            </w:pPr>
            <w:r>
              <w:rPr>
                <w:rFonts w:ascii="Times New Roman" w:hAnsi="Times New Roman"/>
                <w:b w:val="0"/>
                <w:i w:val="0"/>
                <w:color w:val="000000"/>
                <w:sz w:val="17"/>
              </w:rPr>
              <w:t>1.0 + 4.0 × (ln(1 + freq) - min) / (max - min)</w:t>
            </w:r>
          </w:p>
        </w:tc>
      </w:tr>
      <w:tr>
        <w:trPr>
          <w:cantSplit/>
        </w:trPr>
        <w:tc>
          <w:tcPr>
            <w:tcW w:type="dxa" w:w="1271"/>
            <w:vAlign w:val="center"/>
          </w:tcPr>
          <w:p>
            <w:pPr>
              <w:spacing w:before="0" w:after="0" w:line="252" w:lineRule="auto"/>
              <w:jc w:val="left"/>
            </w:pPr>
            <w:r>
              <w:rPr>
                <w:rFonts w:ascii="Times New Roman" w:hAnsi="Times New Roman"/>
                <w:b w:val="0"/>
                <w:i w:val="0"/>
                <w:color w:val="000000"/>
                <w:sz w:val="17"/>
              </w:rPr>
              <w:t>orden_binaria</w:t>
            </w:r>
          </w:p>
        </w:tc>
        <w:tc>
          <w:tcPr>
            <w:tcW w:type="dxa" w:w="1177"/>
            <w:vAlign w:val="center"/>
          </w:tcPr>
          <w:p>
            <w:pPr>
              <w:spacing w:before="0" w:after="0" w:line="252" w:lineRule="auto"/>
              <w:jc w:val="left"/>
            </w:pPr>
            <w:r>
              <w:rPr>
                <w:rFonts w:ascii="Times New Roman" w:hAnsi="Times New Roman"/>
                <w:b w:val="0"/>
                <w:i w:val="0"/>
                <w:color w:val="000000"/>
                <w:sz w:val="17"/>
              </w:rPr>
              <w:t>df_ordenes</w:t>
            </w:r>
          </w:p>
        </w:tc>
        <w:tc>
          <w:tcPr>
            <w:tcW w:type="dxa" w:w="1271"/>
            <w:vAlign w:val="center"/>
          </w:tcPr>
          <w:p>
            <w:pPr>
              <w:spacing w:before="0" w:after="0" w:line="252" w:lineRule="auto"/>
              <w:jc w:val="left"/>
            </w:pPr>
            <w:r>
              <w:rPr>
                <w:rFonts w:ascii="Times New Roman" w:hAnsi="Times New Roman"/>
                <w:b w:val="0"/>
                <w:i w:val="0"/>
                <w:color w:val="000000"/>
                <w:sz w:val="17"/>
              </w:rPr>
              <w:t>Cuenta × Categoría</w:t>
            </w:r>
          </w:p>
        </w:tc>
        <w:tc>
          <w:tcPr>
            <w:tcW w:type="dxa" w:w="2239"/>
            <w:vAlign w:val="center"/>
          </w:tcPr>
          <w:p>
            <w:pPr>
              <w:spacing w:before="0" w:after="0" w:line="252" w:lineRule="auto"/>
              <w:jc w:val="left"/>
            </w:pPr>
            <w:r>
              <w:rPr>
                <w:rFonts w:ascii="Times New Roman" w:hAnsi="Times New Roman"/>
                <w:b w:val="0"/>
                <w:i w:val="0"/>
                <w:color w:val="000000"/>
                <w:sz w:val="17"/>
              </w:rPr>
              <w:t>Contratación formal de débito automático</w:t>
            </w:r>
          </w:p>
        </w:tc>
        <w:tc>
          <w:tcPr>
            <w:tcW w:type="dxa" w:w="2840"/>
            <w:vAlign w:val="center"/>
          </w:tcPr>
          <w:p>
            <w:pPr>
              <w:spacing w:before="0" w:after="0" w:line="252" w:lineRule="auto"/>
              <w:jc w:val="left"/>
            </w:pPr>
            <w:r>
              <w:rPr>
                <w:rFonts w:ascii="Times New Roman" w:hAnsi="Times New Roman"/>
                <w:b w:val="0"/>
                <w:i w:val="0"/>
                <w:color w:val="000000"/>
                <w:sz w:val="17"/>
              </w:rPr>
              <w:t>Indicador booleano: 1 si cuenta domicilia el servicio, 0 si no</w:t>
            </w:r>
          </w:p>
        </w:tc>
      </w:tr>
      <w:tr>
        <w:trPr>
          <w:cantSplit/>
        </w:trPr>
        <w:tc>
          <w:tcPr>
            <w:tcW w:type="dxa" w:w="1271"/>
            <w:vAlign w:val="center"/>
          </w:tcPr>
          <w:p>
            <w:pPr>
              <w:spacing w:before="0" w:after="0" w:line="252" w:lineRule="auto"/>
              <w:jc w:val="left"/>
            </w:pPr>
            <w:r>
              <w:rPr>
                <w:rFonts w:ascii="Times New Roman" w:hAnsi="Times New Roman"/>
                <w:b w:val="0"/>
                <w:i w:val="0"/>
                <w:color w:val="000000"/>
                <w:sz w:val="17"/>
              </w:rPr>
              <w:t>itf_score</w:t>
            </w:r>
          </w:p>
        </w:tc>
        <w:tc>
          <w:tcPr>
            <w:tcW w:type="dxa" w:w="1177"/>
            <w:vAlign w:val="center"/>
          </w:tcPr>
          <w:p>
            <w:pPr>
              <w:spacing w:before="0" w:after="0" w:line="252" w:lineRule="auto"/>
              <w:jc w:val="left"/>
            </w:pPr>
            <w:r>
              <w:rPr>
                <w:rFonts w:ascii="Times New Roman" w:hAnsi="Times New Roman"/>
                <w:b w:val="0"/>
                <w:i w:val="0"/>
                <w:color w:val="000000"/>
                <w:sz w:val="17"/>
              </w:rPr>
              <w:t>df_ordenes</w:t>
            </w:r>
          </w:p>
        </w:tc>
        <w:tc>
          <w:tcPr>
            <w:tcW w:type="dxa" w:w="1271"/>
            <w:vAlign w:val="center"/>
          </w:tcPr>
          <w:p>
            <w:pPr>
              <w:spacing w:before="0" w:after="0" w:line="252" w:lineRule="auto"/>
              <w:jc w:val="left"/>
            </w:pPr>
            <w:r>
              <w:rPr>
                <w:rFonts w:ascii="Times New Roman" w:hAnsi="Times New Roman"/>
                <w:b w:val="0"/>
                <w:i w:val="0"/>
                <w:color w:val="000000"/>
                <w:sz w:val="17"/>
              </w:rPr>
              <w:t>Categoría Producto</w:t>
            </w:r>
          </w:p>
        </w:tc>
        <w:tc>
          <w:tcPr>
            <w:tcW w:type="dxa" w:w="2239"/>
            <w:vAlign w:val="center"/>
          </w:tcPr>
          <w:p>
            <w:pPr>
              <w:spacing w:before="0" w:after="0" w:line="252" w:lineRule="auto"/>
              <w:jc w:val="left"/>
            </w:pPr>
            <w:r>
              <w:rPr>
                <w:rFonts w:ascii="Times New Roman" w:hAnsi="Times New Roman"/>
                <w:b w:val="0"/>
                <w:i w:val="0"/>
                <w:color w:val="000000"/>
                <w:sz w:val="17"/>
              </w:rPr>
              <w:t>Penalización de popularidad masiva</w:t>
            </w:r>
          </w:p>
        </w:tc>
        <w:tc>
          <w:tcPr>
            <w:tcW w:type="dxa" w:w="2840"/>
            <w:vAlign w:val="center"/>
          </w:tcPr>
          <w:p>
            <w:pPr>
              <w:spacing w:before="0" w:after="0" w:line="252" w:lineRule="auto"/>
              <w:jc w:val="left"/>
            </w:pPr>
            <w:r>
              <w:rPr>
                <w:rFonts w:ascii="Times New Roman" w:hAnsi="Times New Roman"/>
                <w:b w:val="0"/>
                <w:i w:val="0"/>
                <w:color w:val="000000"/>
                <w:sz w:val="17"/>
              </w:rPr>
              <w:t>ln(Total Cuentas / Cuentas con Orden_j)</w:t>
            </w:r>
          </w:p>
        </w:tc>
      </w:tr>
      <w:tr>
        <w:trPr>
          <w:cantSplit/>
        </w:trPr>
        <w:tc>
          <w:tcPr>
            <w:tcW w:type="dxa" w:w="1271"/>
            <w:vAlign w:val="center"/>
          </w:tcPr>
          <w:p>
            <w:pPr>
              <w:spacing w:before="0" w:after="0" w:line="252" w:lineRule="auto"/>
              <w:jc w:val="left"/>
            </w:pPr>
            <w:r>
              <w:rPr>
                <w:rFonts w:ascii="Times New Roman" w:hAnsi="Times New Roman"/>
                <w:b w:val="0"/>
                <w:i w:val="0"/>
                <w:color w:val="000000"/>
                <w:sz w:val="17"/>
              </w:rPr>
              <w:t>ratio_esfuerzo</w:t>
            </w:r>
          </w:p>
        </w:tc>
        <w:tc>
          <w:tcPr>
            <w:tcW w:type="dxa" w:w="1177"/>
            <w:vAlign w:val="center"/>
          </w:tcPr>
          <w:p>
            <w:pPr>
              <w:spacing w:before="0" w:after="0" w:line="252" w:lineRule="auto"/>
              <w:jc w:val="left"/>
            </w:pPr>
            <w:r>
              <w:rPr>
                <w:rFonts w:ascii="Times New Roman" w:hAnsi="Times New Roman"/>
                <w:b w:val="0"/>
                <w:i w:val="0"/>
                <w:color w:val="000000"/>
                <w:sz w:val="17"/>
              </w:rPr>
              <w:t>df_prestamos</w:t>
            </w:r>
          </w:p>
        </w:tc>
        <w:tc>
          <w:tcPr>
            <w:tcW w:type="dxa" w:w="1271"/>
            <w:vAlign w:val="center"/>
          </w:tcPr>
          <w:p>
            <w:pPr>
              <w:spacing w:before="0" w:after="0" w:line="252" w:lineRule="auto"/>
              <w:jc w:val="left"/>
            </w:pPr>
            <w:r>
              <w:rPr>
                <w:rFonts w:ascii="Times New Roman" w:hAnsi="Times New Roman"/>
                <w:b w:val="0"/>
                <w:i w:val="0"/>
                <w:color w:val="000000"/>
                <w:sz w:val="17"/>
              </w:rPr>
              <w:t>Contrato Crédito</w:t>
            </w:r>
          </w:p>
        </w:tc>
        <w:tc>
          <w:tcPr>
            <w:tcW w:type="dxa" w:w="2239"/>
            <w:vAlign w:val="center"/>
          </w:tcPr>
          <w:p>
            <w:pPr>
              <w:spacing w:before="0" w:after="0" w:line="252" w:lineRule="auto"/>
              <w:jc w:val="left"/>
            </w:pPr>
            <w:r>
              <w:rPr>
                <w:rFonts w:ascii="Times New Roman" w:hAnsi="Times New Roman"/>
                <w:b w:val="0"/>
                <w:i w:val="0"/>
                <w:color w:val="000000"/>
                <w:sz w:val="17"/>
              </w:rPr>
              <w:t>Carga mensual de amortización sobre ingreso</w:t>
            </w:r>
          </w:p>
        </w:tc>
        <w:tc>
          <w:tcPr>
            <w:tcW w:type="dxa" w:w="2840"/>
            <w:vAlign w:val="center"/>
          </w:tcPr>
          <w:p>
            <w:pPr>
              <w:spacing w:before="0" w:after="0" w:line="252" w:lineRule="auto"/>
              <w:jc w:val="left"/>
            </w:pPr>
            <w:r>
              <w:rPr>
                <w:rFonts w:ascii="Times New Roman" w:hAnsi="Times New Roman"/>
                <w:b w:val="0"/>
                <w:i w:val="0"/>
                <w:color w:val="000000"/>
                <w:sz w:val="17"/>
              </w:rPr>
              <w:t>cuota_mensual / salario_distrito_promedio</w:t>
            </w:r>
          </w:p>
        </w:tc>
      </w:tr>
      <w:tr>
        <w:trPr>
          <w:cantSplit/>
        </w:trPr>
        <w:tc>
          <w:tcPr>
            <w:tcW w:type="dxa" w:w="1271"/>
            <w:vAlign w:val="center"/>
          </w:tcPr>
          <w:p>
            <w:pPr>
              <w:spacing w:before="0" w:after="0" w:line="252" w:lineRule="auto"/>
              <w:jc w:val="left"/>
            </w:pPr>
            <w:r>
              <w:rPr>
                <w:rFonts w:ascii="Times New Roman" w:hAnsi="Times New Roman"/>
                <w:b w:val="0"/>
                <w:i w:val="0"/>
                <w:color w:val="000000"/>
                <w:sz w:val="17"/>
              </w:rPr>
              <w:t>estereotipo_id</w:t>
            </w:r>
          </w:p>
        </w:tc>
        <w:tc>
          <w:tcPr>
            <w:tcW w:type="dxa" w:w="1177"/>
            <w:vAlign w:val="center"/>
          </w:tcPr>
          <w:p>
            <w:pPr>
              <w:spacing w:before="0" w:after="0" w:line="252" w:lineRule="auto"/>
              <w:jc w:val="left"/>
            </w:pPr>
            <w:r>
              <w:rPr>
                <w:rFonts w:ascii="Times New Roman" w:hAnsi="Times New Roman"/>
                <w:b w:val="0"/>
                <w:i w:val="0"/>
                <w:color w:val="000000"/>
                <w:sz w:val="17"/>
              </w:rPr>
              <w:t>df_cliente</w:t>
            </w:r>
          </w:p>
        </w:tc>
        <w:tc>
          <w:tcPr>
            <w:tcW w:type="dxa" w:w="1271"/>
            <w:vAlign w:val="center"/>
          </w:tcPr>
          <w:p>
            <w:pPr>
              <w:spacing w:before="0" w:after="0" w:line="252" w:lineRule="auto"/>
              <w:jc w:val="left"/>
            </w:pPr>
            <w:r>
              <w:rPr>
                <w:rFonts w:ascii="Times New Roman" w:hAnsi="Times New Roman"/>
                <w:b w:val="0"/>
                <w:i w:val="0"/>
                <w:color w:val="000000"/>
                <w:sz w:val="17"/>
              </w:rPr>
              <w:t>Cliente Único</w:t>
            </w:r>
          </w:p>
        </w:tc>
        <w:tc>
          <w:tcPr>
            <w:tcW w:type="dxa" w:w="2239"/>
            <w:vAlign w:val="center"/>
          </w:tcPr>
          <w:p>
            <w:pPr>
              <w:spacing w:before="0" w:after="0" w:line="252" w:lineRule="auto"/>
              <w:jc w:val="left"/>
            </w:pPr>
            <w:r>
              <w:rPr>
                <w:rFonts w:ascii="Times New Roman" w:hAnsi="Times New Roman"/>
                <w:b w:val="0"/>
                <w:i w:val="0"/>
                <w:color w:val="000000"/>
                <w:sz w:val="17"/>
              </w:rPr>
              <w:t>Segmento sociodemográfico canónico</w:t>
            </w:r>
          </w:p>
        </w:tc>
        <w:tc>
          <w:tcPr>
            <w:tcW w:type="dxa" w:w="2840"/>
            <w:vAlign w:val="center"/>
          </w:tcPr>
          <w:p>
            <w:pPr>
              <w:spacing w:before="0" w:after="0" w:line="252" w:lineRule="auto"/>
              <w:jc w:val="left"/>
            </w:pPr>
            <w:r>
              <w:rPr>
                <w:rFonts w:ascii="Times New Roman" w:hAnsi="Times New Roman"/>
                <w:b w:val="0"/>
                <w:i w:val="0"/>
                <w:color w:val="000000"/>
                <w:sz w:val="17"/>
              </w:rPr>
              <w:t>Concatenación cruzada: Macro-Región × Rango Etario</w:t>
            </w:r>
          </w:p>
        </w:tc>
      </w:tr>
    </w:tbl>
    <w:p>
      <w:pPr>
        <w:spacing w:before="0" w:after="120"/>
      </w:pPr>
    </w:p>
    <w:p>
      <w:pPr>
        <w:spacing w:line="276" w:lineRule="auto" w:before="0" w:after="90"/>
        <w:jc w:val="both"/>
      </w:pPr>
      <w:r>
        <w:rPr>
          <w:rFonts w:ascii="Times New Roman" w:hAnsi="Times New Roman"/>
          <w:b w:val="0"/>
          <w:i w:val="0"/>
          <w:color w:val="000000"/>
          <w:sz w:val="22"/>
        </w:rPr>
        <w:t>Evaluación de viabilidad técnica (5 Algoritmos × 4 DataFrames): No todos los algoritmos son aplicables de forma válida sobre todos los conjuntos. La viabilidad técnica depende directamente de la granularidad y la naturaleza de las variables. La Tabla 4 documenta la matriz de viabilidad sobre las 20 combinaciones posibles:</w:t>
      </w:r>
    </w:p>
    <w:p>
      <w:pPr>
        <w:keepNext/>
        <w:spacing w:before="200" w:after="80"/>
        <w:jc w:val="center"/>
      </w:pPr>
      <w:r>
        <w:rPr>
          <w:rFonts w:ascii="Times New Roman" w:hAnsi="Times New Roman"/>
          <w:b/>
          <w:i w:val="0"/>
          <w:color w:val="000000"/>
          <w:sz w:val="21"/>
        </w:rPr>
        <w:t>Tabla 4:</w:t>
      </w:r>
      <w:r>
        <w:rPr>
          <w:rFonts w:ascii="Times New Roman" w:hAnsi="Times New Roman"/>
          <w:sz w:val="21"/>
        </w:rPr>
        <w:t xml:space="preserve"> Matriz Cruzada de Viabilidad Técnica (5 Algoritmos × 4 DataFrames).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466"/>
        <w:gridCol w:w="1466"/>
        <w:gridCol w:w="1466"/>
        <w:gridCol w:w="1466"/>
        <w:gridCol w:w="1466"/>
        <w:gridCol w:w="1466"/>
      </w:tblGrid>
      <w:tr>
        <w:trPr>
          <w:tblHeader/>
          <w:cantSplit/>
        </w:trPr>
        <w:tc>
          <w:tcPr>
            <w:tcW w:type="dxa" w:w="1728"/>
            <w:vAlign w:val="center"/>
            <w:tcBorders>
              <w:bottom w:val="single" w:sz="6" w:space="0" w:color="000000"/>
            </w:tcBorders>
          </w:tcPr>
          <w:p>
            <w:pPr>
              <w:spacing w:before="0" w:after="0" w:line="252" w:lineRule="auto"/>
              <w:jc w:val="center"/>
            </w:pPr>
            <w:r>
              <w:rPr>
                <w:rFonts w:ascii="Times New Roman" w:hAnsi="Times New Roman"/>
                <w:b/>
                <w:i w:val="0"/>
                <w:color w:val="000000"/>
                <w:sz w:val="17"/>
              </w:rPr>
              <w:t>DataFrame Base</w:t>
            </w:r>
          </w:p>
        </w:tc>
        <w:tc>
          <w:tcPr>
            <w:tcW w:type="dxa" w:w="1440"/>
            <w:vAlign w:val="center"/>
            <w:tcBorders>
              <w:bottom w:val="single" w:sz="6" w:space="0" w:color="000000"/>
            </w:tcBorders>
          </w:tcPr>
          <w:p>
            <w:pPr>
              <w:spacing w:before="0" w:after="0" w:line="252" w:lineRule="auto"/>
              <w:jc w:val="center"/>
            </w:pPr>
            <w:r>
              <w:rPr>
                <w:rFonts w:ascii="Times New Roman" w:hAnsi="Times New Roman"/>
                <w:b/>
                <w:i w:val="0"/>
                <w:color w:val="000000"/>
                <w:sz w:val="17"/>
              </w:rPr>
              <w:t>1. Slope One</w:t>
            </w:r>
          </w:p>
        </w:tc>
        <w:tc>
          <w:tcPr>
            <w:tcW w:type="dxa" w:w="1440"/>
            <w:vAlign w:val="center"/>
            <w:tcBorders>
              <w:bottom w:val="single" w:sz="6" w:space="0" w:color="000000"/>
            </w:tcBorders>
          </w:tcPr>
          <w:p>
            <w:pPr>
              <w:spacing w:before="0" w:after="0" w:line="252" w:lineRule="auto"/>
              <w:jc w:val="center"/>
            </w:pPr>
            <w:r>
              <w:rPr>
                <w:rFonts w:ascii="Times New Roman" w:hAnsi="Times New Roman"/>
                <w:b/>
                <w:i w:val="0"/>
                <w:color w:val="000000"/>
                <w:sz w:val="17"/>
              </w:rPr>
              <w:t>2. Similitud Coseno</w:t>
            </w:r>
          </w:p>
        </w:tc>
        <w:tc>
          <w:tcPr>
            <w:tcW w:type="dxa" w:w="1440"/>
            <w:vAlign w:val="center"/>
            <w:tcBorders>
              <w:bottom w:val="single" w:sz="6" w:space="0" w:color="000000"/>
            </w:tcBorders>
          </w:tcPr>
          <w:p>
            <w:pPr>
              <w:spacing w:before="0" w:after="0" w:line="252" w:lineRule="auto"/>
              <w:jc w:val="center"/>
            </w:pPr>
            <w:r>
              <w:rPr>
                <w:rFonts w:ascii="Times New Roman" w:hAnsi="Times New Roman"/>
                <w:b/>
                <w:i w:val="0"/>
                <w:color w:val="000000"/>
                <w:sz w:val="17"/>
              </w:rPr>
              <w:t>3. Correlación Pearson</w:t>
            </w:r>
          </w:p>
        </w:tc>
        <w:tc>
          <w:tcPr>
            <w:tcW w:type="dxa" w:w="1440"/>
            <w:vAlign w:val="center"/>
            <w:tcBorders>
              <w:bottom w:val="single" w:sz="6" w:space="0" w:color="000000"/>
            </w:tcBorders>
          </w:tcPr>
          <w:p>
            <w:pPr>
              <w:spacing w:before="0" w:after="0" w:line="252" w:lineRule="auto"/>
              <w:jc w:val="center"/>
            </w:pPr>
            <w:r>
              <w:rPr>
                <w:rFonts w:ascii="Times New Roman" w:hAnsi="Times New Roman"/>
                <w:b/>
                <w:i w:val="0"/>
                <w:color w:val="000000"/>
                <w:sz w:val="17"/>
              </w:rPr>
              <w:t>4. TF-IDF (Contenidos)</w:t>
            </w:r>
          </w:p>
        </w:tc>
        <w:tc>
          <w:tcPr>
            <w:tcW w:type="dxa" w:w="1310"/>
            <w:vAlign w:val="center"/>
            <w:tcBorders>
              <w:bottom w:val="single" w:sz="6" w:space="0" w:color="000000"/>
            </w:tcBorders>
          </w:tcPr>
          <w:p>
            <w:pPr>
              <w:spacing w:before="0" w:after="0" w:line="252" w:lineRule="auto"/>
              <w:jc w:val="center"/>
            </w:pPr>
            <w:r>
              <w:rPr>
                <w:rFonts w:ascii="Times New Roman" w:hAnsi="Times New Roman"/>
                <w:b/>
                <w:i w:val="0"/>
                <w:color w:val="000000"/>
                <w:sz w:val="17"/>
              </w:rPr>
              <w:t>5. Demográfico (Estereotipos)</w:t>
            </w:r>
          </w:p>
        </w:tc>
      </w:tr>
      <w:tr>
        <w:trPr>
          <w:cantSplit/>
        </w:trPr>
        <w:tc>
          <w:tcPr>
            <w:tcW w:type="dxa" w:w="1728"/>
            <w:vAlign w:val="center"/>
          </w:tcPr>
          <w:p>
            <w:pPr>
              <w:spacing w:before="0" w:after="0" w:line="252" w:lineRule="auto"/>
              <w:jc w:val="left"/>
            </w:pPr>
            <w:r>
              <w:rPr>
                <w:rFonts w:ascii="Times New Roman" w:hAnsi="Times New Roman"/>
                <w:b w:val="0"/>
                <w:i w:val="0"/>
                <w:color w:val="000000"/>
                <w:sz w:val="17"/>
              </w:rPr>
              <w:t>df_transacciones</w:t>
              <w:br/>
              <w:t>(1,056,320 movs)</w:t>
            </w:r>
          </w:p>
        </w:tc>
        <w:tc>
          <w:tcPr>
            <w:tcW w:type="dxa" w:w="1440"/>
            <w:vAlign w:val="center"/>
          </w:tcPr>
          <w:p>
            <w:pPr>
              <w:spacing w:before="0" w:after="0" w:line="252" w:lineRule="auto"/>
              <w:jc w:val="left"/>
            </w:pPr>
            <w:r>
              <w:rPr>
                <w:rFonts w:ascii="Times New Roman" w:hAnsi="Times New Roman"/>
                <w:b w:val="0"/>
                <w:i w:val="0"/>
                <w:color w:val="000000"/>
                <w:sz w:val="17"/>
              </w:rPr>
              <w:t>SELECCIONADO (1A)</w:t>
              <w:br/>
              <w:t>Masa crítica de transacciones repetidas cliente-producto.</w:t>
            </w:r>
          </w:p>
        </w:tc>
        <w:tc>
          <w:tcPr>
            <w:tcW w:type="dxa" w:w="1440"/>
            <w:vAlign w:val="center"/>
          </w:tcPr>
          <w:p>
            <w:pPr>
              <w:spacing w:before="0" w:after="0" w:line="252" w:lineRule="auto"/>
              <w:jc w:val="left"/>
            </w:pPr>
            <w:r>
              <w:rPr>
                <w:rFonts w:ascii="Times New Roman" w:hAnsi="Times New Roman"/>
                <w:b w:val="0"/>
                <w:i w:val="0"/>
                <w:color w:val="000000"/>
                <w:sz w:val="17"/>
              </w:rPr>
              <w:t>SELECCIONADO (1B)</w:t>
              <w:br/>
              <w:t>Coseno ajustado sobre vectores centrados en medias.</w:t>
            </w:r>
          </w:p>
        </w:tc>
        <w:tc>
          <w:tcPr>
            <w:tcW w:type="dxa" w:w="1440"/>
            <w:vAlign w:val="center"/>
          </w:tcPr>
          <w:p>
            <w:pPr>
              <w:spacing w:before="0" w:after="0" w:line="252" w:lineRule="auto"/>
              <w:jc w:val="left"/>
            </w:pPr>
            <w:r>
              <w:rPr>
                <w:rFonts w:ascii="Times New Roman" w:hAnsi="Times New Roman"/>
                <w:b w:val="0"/>
                <w:i w:val="0"/>
                <w:color w:val="000000"/>
                <w:sz w:val="17"/>
              </w:rPr>
              <w:t>COMPLEMENTARIO (1C)</w:t>
              <w:br/>
              <w:t>Series mensuales diferenciadas (Δx_t) para aislar covariaciones.</w:t>
            </w:r>
          </w:p>
        </w:tc>
        <w:tc>
          <w:tcPr>
            <w:tcW w:type="dxa" w:w="1440"/>
            <w:vAlign w:val="center"/>
          </w:tcPr>
          <w:p>
            <w:pPr>
              <w:spacing w:before="0" w:after="0" w:line="252" w:lineRule="auto"/>
              <w:jc w:val="left"/>
            </w:pPr>
            <w:r>
              <w:rPr>
                <w:rFonts w:ascii="Times New Roman" w:hAnsi="Times New Roman"/>
                <w:b w:val="0"/>
                <w:i w:val="0"/>
                <w:color w:val="000000"/>
                <w:sz w:val="17"/>
              </w:rPr>
              <w:t>NO APLICABLE</w:t>
              <w:br/>
              <w:t>No contiene texto descriptivo; solo importes y fechas.</w:t>
            </w:r>
          </w:p>
        </w:tc>
        <w:tc>
          <w:tcPr>
            <w:tcW w:type="dxa" w:w="1310"/>
            <w:vAlign w:val="center"/>
          </w:tcPr>
          <w:p>
            <w:pPr>
              <w:spacing w:before="0" w:after="0" w:line="252" w:lineRule="auto"/>
              <w:jc w:val="left"/>
            </w:pPr>
            <w:r>
              <w:rPr>
                <w:rFonts w:ascii="Times New Roman" w:hAnsi="Times New Roman"/>
                <w:b w:val="0"/>
                <w:i w:val="0"/>
                <w:color w:val="000000"/>
                <w:sz w:val="17"/>
              </w:rPr>
              <w:t>VIABLE (Vía JOIN)</w:t>
              <w:br/>
              <w:t>Requiere desnormalizar atributos sociodemográficos.</w:t>
            </w:r>
          </w:p>
        </w:tc>
      </w:tr>
      <w:tr>
        <w:trPr>
          <w:cantSplit/>
        </w:trPr>
        <w:tc>
          <w:tcPr>
            <w:tcW w:type="dxa" w:w="1728"/>
            <w:vAlign w:val="center"/>
          </w:tcPr>
          <w:p>
            <w:pPr>
              <w:spacing w:before="0" w:after="0" w:line="252" w:lineRule="auto"/>
              <w:jc w:val="left"/>
            </w:pPr>
            <w:r>
              <w:rPr>
                <w:rFonts w:ascii="Times New Roman" w:hAnsi="Times New Roman"/>
                <w:b w:val="0"/>
                <w:i w:val="0"/>
                <w:color w:val="000000"/>
                <w:sz w:val="17"/>
              </w:rPr>
              <w:t>df_ordenes</w:t>
              <w:br/>
              <w:t>(6,471 órdenes)</w:t>
            </w:r>
          </w:p>
        </w:tc>
        <w:tc>
          <w:tcPr>
            <w:tcW w:type="dxa" w:w="1440"/>
            <w:vAlign w:val="center"/>
          </w:tcPr>
          <w:p>
            <w:pPr>
              <w:spacing w:before="0" w:after="0" w:line="252" w:lineRule="auto"/>
              <w:jc w:val="left"/>
            </w:pPr>
            <w:r>
              <w:rPr>
                <w:rFonts w:ascii="Times New Roman" w:hAnsi="Times New Roman"/>
                <w:b w:val="0"/>
                <w:i w:val="0"/>
                <w:color w:val="000000"/>
                <w:sz w:val="17"/>
              </w:rPr>
              <w:t>VIABLE (Secundario)</w:t>
              <w:br/>
              <w:t>Menor varianza de frecuencias que en transacciones diarias.</w:t>
            </w:r>
          </w:p>
        </w:tc>
        <w:tc>
          <w:tcPr>
            <w:tcW w:type="dxa" w:w="1440"/>
            <w:vAlign w:val="center"/>
          </w:tcPr>
          <w:p>
            <w:pPr>
              <w:spacing w:before="0" w:after="0" w:line="252" w:lineRule="auto"/>
              <w:jc w:val="left"/>
            </w:pPr>
            <w:r>
              <w:rPr>
                <w:rFonts w:ascii="Times New Roman" w:hAnsi="Times New Roman"/>
                <w:b w:val="0"/>
                <w:i w:val="0"/>
                <w:color w:val="000000"/>
                <w:sz w:val="17"/>
              </w:rPr>
              <w:t>SELECCIONADO (2A)</w:t>
              <w:br/>
              <w:t>Matriz binaria limpia de co-contratación de débitos fijos.</w:t>
            </w:r>
          </w:p>
        </w:tc>
        <w:tc>
          <w:tcPr>
            <w:tcW w:type="dxa" w:w="1440"/>
            <w:vAlign w:val="center"/>
          </w:tcPr>
          <w:p>
            <w:pPr>
              <w:spacing w:before="0" w:after="0" w:line="252" w:lineRule="auto"/>
              <w:jc w:val="left"/>
            </w:pPr>
            <w:r>
              <w:rPr>
                <w:rFonts w:ascii="Times New Roman" w:hAnsi="Times New Roman"/>
                <w:b w:val="0"/>
                <w:i w:val="0"/>
                <w:color w:val="000000"/>
                <w:sz w:val="17"/>
              </w:rPr>
              <w:t>COMPLEMENTARIO (2C)</w:t>
              <w:br/>
              <w:t>Correlación de adopción de órdenes fijas entre cuentas.</w:t>
            </w:r>
          </w:p>
        </w:tc>
        <w:tc>
          <w:tcPr>
            <w:tcW w:type="dxa" w:w="1440"/>
            <w:vAlign w:val="center"/>
          </w:tcPr>
          <w:p>
            <w:pPr>
              <w:spacing w:before="0" w:after="0" w:line="252" w:lineRule="auto"/>
              <w:jc w:val="left"/>
            </w:pPr>
            <w:r>
              <w:rPr>
                <w:rFonts w:ascii="Times New Roman" w:hAnsi="Times New Roman"/>
                <w:b w:val="0"/>
                <w:i w:val="0"/>
                <w:color w:val="000000"/>
                <w:sz w:val="17"/>
              </w:rPr>
              <w:t>SELECCIONADO (2B: ITF)</w:t>
              <w:br/>
              <w:t>Ponderación logarítmica de frecuencia inversa de ítems.</w:t>
            </w:r>
          </w:p>
        </w:tc>
        <w:tc>
          <w:tcPr>
            <w:tcW w:type="dxa" w:w="1310"/>
            <w:vAlign w:val="center"/>
          </w:tcPr>
          <w:p>
            <w:pPr>
              <w:spacing w:before="0" w:after="0" w:line="252" w:lineRule="auto"/>
              <w:jc w:val="left"/>
            </w:pPr>
            <w:r>
              <w:rPr>
                <w:rFonts w:ascii="Times New Roman" w:hAnsi="Times New Roman"/>
                <w:b w:val="0"/>
                <w:i w:val="0"/>
                <w:color w:val="000000"/>
                <w:sz w:val="17"/>
              </w:rPr>
              <w:t>VIABLE (Vía JOIN)</w:t>
              <w:br/>
              <w:t>Agregación de órdenes promedio por perfil.</w:t>
            </w:r>
          </w:p>
        </w:tc>
      </w:tr>
      <w:tr>
        <w:trPr>
          <w:cantSplit/>
        </w:trPr>
        <w:tc>
          <w:tcPr>
            <w:tcW w:type="dxa" w:w="1728"/>
            <w:vAlign w:val="center"/>
          </w:tcPr>
          <w:p>
            <w:pPr>
              <w:spacing w:before="0" w:after="0" w:line="252" w:lineRule="auto"/>
              <w:jc w:val="left"/>
            </w:pPr>
            <w:r>
              <w:rPr>
                <w:rFonts w:ascii="Times New Roman" w:hAnsi="Times New Roman"/>
                <w:b w:val="0"/>
                <w:i w:val="0"/>
                <w:color w:val="000000"/>
                <w:sz w:val="17"/>
              </w:rPr>
              <w:t>df_prestamos</w:t>
              <w:br/>
              <w:t>(682 créditos)</w:t>
            </w:r>
          </w:p>
        </w:tc>
        <w:tc>
          <w:tcPr>
            <w:tcW w:type="dxa" w:w="1440"/>
            <w:vAlign w:val="center"/>
          </w:tcPr>
          <w:p>
            <w:pPr>
              <w:spacing w:before="0" w:after="0" w:line="252" w:lineRule="auto"/>
              <w:jc w:val="left"/>
            </w:pPr>
            <w:r>
              <w:rPr>
                <w:rFonts w:ascii="Times New Roman" w:hAnsi="Times New Roman"/>
                <w:b w:val="0"/>
                <w:i w:val="0"/>
                <w:color w:val="000000"/>
                <w:sz w:val="17"/>
              </w:rPr>
              <w:t>INVÁLIDO (Degenerado)</w:t>
              <w:br/>
              <w:t>Clientes poseen un único crédito; soporte conjunto card(S(j,i)) ≈ 0.</w:t>
            </w:r>
          </w:p>
        </w:tc>
        <w:tc>
          <w:tcPr>
            <w:tcW w:type="dxa" w:w="1440"/>
            <w:vAlign w:val="center"/>
          </w:tcPr>
          <w:p>
            <w:pPr>
              <w:spacing w:before="0" w:after="0" w:line="252" w:lineRule="auto"/>
              <w:jc w:val="left"/>
            </w:pPr>
            <w:r>
              <w:rPr>
                <w:rFonts w:ascii="Times New Roman" w:hAnsi="Times New Roman"/>
                <w:b w:val="0"/>
                <w:i w:val="0"/>
                <w:color w:val="000000"/>
                <w:sz w:val="17"/>
              </w:rPr>
              <w:t>COMPLEMENTARIO (3B)</w:t>
              <w:br/>
              <w:t>Proximidad numérica sobre condiciones [monto, plazo, cuota].</w:t>
            </w:r>
          </w:p>
        </w:tc>
        <w:tc>
          <w:tcPr>
            <w:tcW w:type="dxa" w:w="1440"/>
            <w:vAlign w:val="center"/>
          </w:tcPr>
          <w:p>
            <w:pPr>
              <w:spacing w:before="0" w:after="0" w:line="252" w:lineRule="auto"/>
              <w:jc w:val="left"/>
            </w:pPr>
            <w:r>
              <w:rPr>
                <w:rFonts w:ascii="Times New Roman" w:hAnsi="Times New Roman"/>
                <w:b w:val="0"/>
                <w:i w:val="0"/>
                <w:color w:val="000000"/>
                <w:sz w:val="17"/>
              </w:rPr>
              <w:t>SECUNDARIO</w:t>
              <w:br/>
              <w:t>Volumen mensual de concesión; muestra reducida (682 filas).</w:t>
            </w:r>
          </w:p>
        </w:tc>
        <w:tc>
          <w:tcPr>
            <w:tcW w:type="dxa" w:w="1440"/>
            <w:vAlign w:val="center"/>
          </w:tcPr>
          <w:p>
            <w:pPr>
              <w:spacing w:before="0" w:after="0" w:line="252" w:lineRule="auto"/>
              <w:jc w:val="left"/>
            </w:pPr>
            <w:r>
              <w:rPr>
                <w:rFonts w:ascii="Times New Roman" w:hAnsi="Times New Roman"/>
                <w:b w:val="0"/>
                <w:i w:val="0"/>
                <w:color w:val="000000"/>
                <w:sz w:val="17"/>
              </w:rPr>
              <w:t>SELECCIONADO (3A)</w:t>
              <w:br/>
              <w:t>Cláusulas contractuales, garantías y condiciones de crédito.</w:t>
            </w:r>
          </w:p>
        </w:tc>
        <w:tc>
          <w:tcPr>
            <w:tcW w:type="dxa" w:w="1310"/>
            <w:vAlign w:val="center"/>
          </w:tcPr>
          <w:p>
            <w:pPr>
              <w:spacing w:before="0" w:after="0" w:line="252" w:lineRule="auto"/>
              <w:jc w:val="left"/>
            </w:pPr>
            <w:r>
              <w:rPr>
                <w:rFonts w:ascii="Times New Roman" w:hAnsi="Times New Roman"/>
                <w:b w:val="0"/>
                <w:i w:val="0"/>
                <w:color w:val="000000"/>
                <w:sz w:val="17"/>
              </w:rPr>
              <w:t>SELECCIONADO (3C: Utilidad)</w:t>
              <w:br/>
              <w:t>Reglas de scoring de riesgo y cuota ≤ 30% salario.</w:t>
            </w:r>
          </w:p>
        </w:tc>
      </w:tr>
      <w:tr>
        <w:trPr>
          <w:cantSplit/>
        </w:trPr>
        <w:tc>
          <w:tcPr>
            <w:tcW w:type="dxa" w:w="1728"/>
            <w:vAlign w:val="center"/>
          </w:tcPr>
          <w:p>
            <w:pPr>
              <w:spacing w:before="0" w:after="0" w:line="252" w:lineRule="auto"/>
              <w:jc w:val="left"/>
            </w:pPr>
            <w:r>
              <w:rPr>
                <w:rFonts w:ascii="Times New Roman" w:hAnsi="Times New Roman"/>
                <w:b w:val="0"/>
                <w:i w:val="0"/>
                <w:color w:val="000000"/>
                <w:sz w:val="17"/>
              </w:rPr>
              <w:t>df_cliente_consolidado</w:t>
              <w:br/>
              <w:t>(5,369 clientes)</w:t>
            </w:r>
          </w:p>
        </w:tc>
        <w:tc>
          <w:tcPr>
            <w:tcW w:type="dxa" w:w="1440"/>
            <w:vAlign w:val="center"/>
          </w:tcPr>
          <w:p>
            <w:pPr>
              <w:spacing w:before="0" w:after="0" w:line="252" w:lineRule="auto"/>
              <w:jc w:val="left"/>
            </w:pPr>
            <w:r>
              <w:rPr>
                <w:rFonts w:ascii="Times New Roman" w:hAnsi="Times New Roman"/>
                <w:b w:val="0"/>
                <w:i w:val="0"/>
                <w:color w:val="000000"/>
                <w:sz w:val="17"/>
              </w:rPr>
              <w:t>NO APLICABLE</w:t>
              <w:br/>
              <w:t>Variables estáticas de usuario; no representa matriz de ítems.</w:t>
            </w:r>
          </w:p>
        </w:tc>
        <w:tc>
          <w:tcPr>
            <w:tcW w:type="dxa" w:w="1440"/>
            <w:vAlign w:val="center"/>
          </w:tcPr>
          <w:p>
            <w:pPr>
              <w:spacing w:before="0" w:after="0" w:line="252" w:lineRule="auto"/>
              <w:jc w:val="left"/>
            </w:pPr>
            <w:r>
              <w:rPr>
                <w:rFonts w:ascii="Times New Roman" w:hAnsi="Times New Roman"/>
                <w:b w:val="0"/>
                <w:i w:val="0"/>
                <w:color w:val="000000"/>
                <w:sz w:val="17"/>
              </w:rPr>
              <w:t>SELECCIONADO (4B)</w:t>
              <w:br/>
              <w:t>Similitud Coseno Usuario a Usuario (gemelos financieros).</w:t>
            </w:r>
          </w:p>
        </w:tc>
        <w:tc>
          <w:tcPr>
            <w:tcW w:type="dxa" w:w="1440"/>
            <w:vAlign w:val="center"/>
          </w:tcPr>
          <w:p>
            <w:pPr>
              <w:spacing w:before="0" w:after="0" w:line="252" w:lineRule="auto"/>
              <w:jc w:val="left"/>
            </w:pPr>
            <w:r>
              <w:rPr>
                <w:rFonts w:ascii="Times New Roman" w:hAnsi="Times New Roman"/>
                <w:b w:val="0"/>
                <w:i w:val="0"/>
                <w:color w:val="000000"/>
                <w:sz w:val="17"/>
              </w:rPr>
              <w:t>COMPLEMENTARIO (4C)</w:t>
              <w:br/>
              <w:t>Correlación multivariante de perfil (edad, saldo, salario).</w:t>
            </w:r>
          </w:p>
        </w:tc>
        <w:tc>
          <w:tcPr>
            <w:tcW w:type="dxa" w:w="1440"/>
            <w:vAlign w:val="center"/>
          </w:tcPr>
          <w:p>
            <w:pPr>
              <w:spacing w:before="0" w:after="0" w:line="252" w:lineRule="auto"/>
              <w:jc w:val="left"/>
            </w:pPr>
            <w:r>
              <w:rPr>
                <w:rFonts w:ascii="Times New Roman" w:hAnsi="Times New Roman"/>
                <w:b w:val="0"/>
                <w:i w:val="0"/>
                <w:color w:val="000000"/>
                <w:sz w:val="17"/>
              </w:rPr>
              <w:t>NO APLICABLE</w:t>
              <w:br/>
              <w:t>Atributos numéricos y discretos; no posee corpus textual.</w:t>
            </w:r>
          </w:p>
        </w:tc>
        <w:tc>
          <w:tcPr>
            <w:tcW w:type="dxa" w:w="1310"/>
            <w:vAlign w:val="center"/>
          </w:tcPr>
          <w:p>
            <w:pPr>
              <w:spacing w:before="0" w:after="0" w:line="252" w:lineRule="auto"/>
              <w:jc w:val="left"/>
            </w:pPr>
            <w:r>
              <w:rPr>
                <w:rFonts w:ascii="Times New Roman" w:hAnsi="Times New Roman"/>
                <w:b w:val="0"/>
                <w:i w:val="0"/>
                <w:color w:val="000000"/>
                <w:sz w:val="17"/>
              </w:rPr>
              <w:t>SELECCIONADO (4A)</w:t>
              <w:br/>
              <w:t>Dimensión maestra para construir arquetipos de negocio.</w:t>
            </w:r>
          </w:p>
        </w:tc>
      </w:tr>
    </w:tbl>
    <w:p>
      <w:pPr>
        <w:spacing w:before="0" w:after="120"/>
      </w:pPr>
    </w:p>
    <w:p>
      <w:pPr>
        <w:keepNext/>
        <w:spacing w:before="140" w:after="40"/>
        <w:jc w:val="left"/>
      </w:pPr>
      <w:r>
        <w:rPr>
          <w:rFonts w:ascii="Times New Roman" w:hAnsi="Times New Roman"/>
          <w:b/>
          <w:i w:val="0"/>
          <w:color w:val="000000"/>
          <w:sz w:val="22"/>
        </w:rPr>
        <w:t>2.7.4 EJE 1: Modelos sobre el DataFrame de Transacciones (df_transacciones)</w:t>
      </w:r>
    </w:p>
    <w:p>
      <w:pPr>
        <w:spacing w:line="276" w:lineRule="auto" w:before="0" w:after="90"/>
        <w:jc w:val="both"/>
      </w:pPr>
      <w:r>
        <w:rPr>
          <w:rFonts w:ascii="Times New Roman" w:hAnsi="Times New Roman"/>
          <w:b w:val="0"/>
          <w:i w:val="0"/>
          <w:color w:val="000000"/>
          <w:sz w:val="22"/>
        </w:rPr>
        <w:t>df_transacciones registra 1,056,320 movimientos contables continuos a lo largo de 72 meses (enero de 1993 a diciembre de 1998). Al contar con 3,653 clientes activos con múltiples transacciones repetidas, constituye el pilar analítico para el filtrado colaborativo continuo y el análisis de series temporales.</w:t>
      </w:r>
    </w:p>
    <w:p>
      <w:pPr>
        <w:keepNext/>
        <w:spacing w:before="120" w:after="40"/>
        <w:jc w:val="left"/>
      </w:pPr>
      <w:r>
        <w:rPr>
          <w:rFonts w:ascii="Times New Roman" w:hAnsi="Times New Roman"/>
          <w:b/>
          <w:i w:val="0"/>
          <w:color w:val="000000"/>
          <w:sz w:val="22"/>
        </w:rPr>
        <w:t>Modelo 1A: Algoritmo Slope One (Filtrado Colaborativo Ítem a Ítem)</w:t>
      </w:r>
    </w:p>
    <w:p>
      <w:pPr>
        <w:spacing w:line="276" w:lineRule="auto" w:before="0" w:after="90"/>
        <w:jc w:val="both"/>
      </w:pPr>
      <w:r>
        <w:rPr>
          <w:rFonts w:ascii="Times New Roman" w:hAnsi="Times New Roman"/>
          <w:b w:val="0"/>
          <w:i w:val="0"/>
          <w:color w:val="000000"/>
          <w:sz w:val="22"/>
        </w:rPr>
        <w:t>Fundamento teórico y formulación: Propuesto por Lemire y Maclachlan (2005), Slope One opera bajo el principio de simplicidad diferencial f(x) = x + b. Para cada par de productos (j, i), calcula la desviación media aritmética de calificación b_{j, i} sobre el subconjunto de usuarios S(j, i) que consumieron ambos servicios, y predice el interés hacia un producto no observado mediante una suma ponderada por el tamaño del soporte:</w:t>
      </w:r>
    </w:p>
    <w:p>
      <w:pPr>
        <w:keepNext/>
        <w:spacing w:before="80" w:after="80"/>
        <w:jc w:val="center"/>
      </w:pPr>
      <m:oMathPara>
        <m:oMath>
          <m:sSub>
            <m:e>
              <m:r>
                <m:t>b</m:t>
              </m:r>
            </m:e>
            <m:sub>
              <m:r>
                <m:t>j,i</m:t>
              </m:r>
            </m:sub>
          </m:sSub>
          <m:r>
            <m:t>=</m:t>
          </m:r>
          <m:r>
            <m:rPr>
              <m:nor/>
            </m:rPr>
            <m:t>dev</m:t>
          </m:r>
          <m:r>
            <m:t>(j,i)=</m:t>
          </m:r>
          <m:f>
            <m:fPr>
              <m:type m:val="bar"/>
            </m:fPr>
            <m:num>
              <m:nary>
                <m:naryPr>
                  <m:chr m:val="∑"/>
                  <m:limLoc m:val="subSup"/>
                  <m:grow m:val="1"/>
                  <m:subHide m:val="off"/>
                  <m:supHide m:val="on"/>
                </m:naryPr>
                <m:sub>
                  <m:r>
                    <m:t>u∈S(j,i)</m:t>
                  </m:r>
                </m:sub>
                <m:sup/>
                <m:e>
                  <m:r>
                    <m:t>(</m:t>
                  </m:r>
                </m:e>
              </m:nary>
              <m:sSub>
                <m:e>
                  <m:r>
                    <m:t>r</m:t>
                  </m:r>
                </m:e>
                <m:sub>
                  <m:r>
                    <m:t>u,j</m:t>
                  </m:r>
                </m:sub>
              </m:sSub>
              <m:r>
                <m:t>−</m:t>
              </m:r>
              <m:sSub>
                <m:e>
                  <m:r>
                    <m:t>r</m:t>
                  </m:r>
                </m:e>
                <m:sub>
                  <m:r>
                    <m:t>u,i</m:t>
                  </m:r>
                </m:sub>
              </m:sSub>
              <m:r>
                <m:t>)</m:t>
              </m:r>
            </m:num>
            <m:den>
              <m:d>
                <m:dPr>
                  <m:begChr m:val="|"/>
                  <m:sepChr m:val=""/>
                  <m:endChr m:val="|"/>
                </m:dPr>
                <m:e>
                  <m:r>
                    <m:t>S</m:t>
                  </m:r>
                  <m:r>
                    <m:t>(</m:t>
                  </m:r>
                  <m:r>
                    <m:t>j</m:t>
                  </m:r>
                  <m:r>
                    <m:t>,</m:t>
                  </m:r>
                  <m:r>
                    <m:t>i</m:t>
                  </m:r>
                  <m:r>
                    <m:t>)</m:t>
                  </m:r>
                </m:e>
              </m:d>
            </m:den>
          </m:f>
        </m:oMath>
      </m:oMathPara>
    </w:p>
    <w:p>
      <w:pPr>
        <w:keepNext/>
        <w:spacing w:before="80" w:after="80"/>
        <w:jc w:val="center"/>
      </w:pPr>
      <m:oMathPara>
        <m:oMath>
          <m:sSub>
            <m:e>
              <m:acc>
                <m:accPr>
                  <m:chr m:val="̂"/>
                </m:accPr>
                <m:e>
                  <m:r>
                    <m:t>r</m:t>
                  </m:r>
                </m:e>
              </m:acc>
            </m:e>
            <m:sub>
              <m:r>
                <m:t>u,j</m:t>
              </m:r>
            </m:sub>
          </m:sSub>
          <m:r>
            <m:t>=</m:t>
          </m:r>
          <m:f>
            <m:fPr>
              <m:type m:val="bar"/>
            </m:fPr>
            <m:num>
              <m:nary>
                <m:naryPr>
                  <m:chr m:val="∑"/>
                  <m:limLoc m:val="subSup"/>
                  <m:grow m:val="1"/>
                  <m:subHide m:val="off"/>
                  <m:supHide m:val="on"/>
                </m:naryPr>
                <m:sub>
                  <m:r>
                    <m:t>i∈</m:t>
                  </m:r>
                  <m:sSub>
                    <m:e>
                      <m:r>
                        <m:t>R</m:t>
                      </m:r>
                    </m:e>
                    <m:sub>
                      <m:r>
                        <m:t>u</m:t>
                      </m:r>
                    </m:sub>
                  </m:sSub>
                  <m:r>
                    <m:t>⧵{j}</m:t>
                  </m:r>
                </m:sub>
                <m:sup/>
                <m:e>
                  <m:r>
                    <m:t>|S(j,i)|·(</m:t>
                  </m:r>
                </m:e>
              </m:nary>
              <m:sSub>
                <m:e>
                  <m:r>
                    <m:t>r</m:t>
                  </m:r>
                </m:e>
                <m:sub>
                  <m:r>
                    <m:t>u,i</m:t>
                  </m:r>
                </m:sub>
              </m:sSub>
              <m:r>
                <m:t>+</m:t>
              </m:r>
              <m:sSub>
                <m:e>
                  <m:r>
                    <m:t>b</m:t>
                  </m:r>
                </m:e>
                <m:sub>
                  <m:r>
                    <m:t>j,i</m:t>
                  </m:r>
                </m:sub>
              </m:sSub>
              <m:r>
                <m:t>)</m:t>
              </m:r>
            </m:num>
            <m:den>
              <m:nary>
                <m:naryPr>
                  <m:chr m:val="∑"/>
                  <m:limLoc m:val="subSup"/>
                  <m:grow m:val="1"/>
                  <m:subHide m:val="off"/>
                  <m:supHide m:val="on"/>
                </m:naryPr>
                <m:sub>
                  <m:r>
                    <m:t>i∈</m:t>
                  </m:r>
                  <m:sSub>
                    <m:e>
                      <m:r>
                        <m:t>R</m:t>
                      </m:r>
                    </m:e>
                    <m:sub>
                      <m:r>
                        <m:t>u</m:t>
                      </m:r>
                    </m:sub>
                  </m:sSub>
                  <m:r>
                    <m:t>⧵{j}</m:t>
                  </m:r>
                </m:sub>
                <m:sup/>
                <m:e>
                  <m:r>
                    <m:t>|S(j,i)|</m:t>
                  </m:r>
                </m:e>
              </m:nary>
            </m:den>
          </m:f>
        </m:oMath>
      </m:oMathPara>
    </w:p>
    <w:p>
      <w:pPr>
        <w:spacing w:line="276" w:lineRule="auto" w:before="0" w:after="90"/>
        <w:jc w:val="both"/>
      </w:pPr>
      <w:r>
        <w:rPr>
          <w:rFonts w:ascii="Times New Roman" w:hAnsi="Times New Roman"/>
          <w:b w:val="0"/>
          <w:i w:val="0"/>
          <w:color w:val="000000"/>
          <w:sz w:val="22"/>
        </w:rPr>
        <w:t>Propiedades matemáticas formales de Slope One:</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Antisimetría: </w:t>
      </w:r>
      <w:r>
        <w:rPr>
          <w:rFonts w:ascii="Times New Roman" w:hAnsi="Times New Roman"/>
          <w:b w:val="0"/>
          <w:i w:val="0"/>
          <w:color w:val="000000"/>
          <w:sz w:val="22"/>
        </w:rPr>
        <w:t>Antisimetría estricta de las desviaciones: Para cualquier par de productos (j, i), se cumple que b(j, i) = -b(i, j), y para todo producto individual b(i, i) = 0. Esta propiedad reduce a la mitad el almacenamiento necesario de la matriz de desviaciones, almacenando únicamente el triángulo superior.</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Invarianza de Escala: </w:t>
      </w:r>
      <w:r>
        <w:rPr>
          <w:rFonts w:ascii="Times New Roman" w:hAnsi="Times New Roman"/>
          <w:b w:val="0"/>
          <w:i w:val="0"/>
          <w:color w:val="000000"/>
          <w:sz w:val="22"/>
        </w:rPr>
        <w:t>Equivarianza frente a transformaciones afines: Si a todas las calificaciones de los usuarios se les aplica una transformación lineal positiva f(r) = α·r + β (con α &gt; 0), las predicciones de Slope One escalan de manera idéntica: f(rhat) = α·rhat + β. Esto asegura robustez total frente a cambios en la escala de medición de los ratings implícitos.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Ponderación por Soporte: </w:t>
      </w:r>
      <w:r>
        <w:rPr>
          <w:rFonts w:ascii="Times New Roman" w:hAnsi="Times New Roman"/>
          <w:b w:val="0"/>
          <w:i w:val="0"/>
          <w:color w:val="000000"/>
          <w:sz w:val="22"/>
        </w:rPr>
        <w:t>Atenuación ponderada por soporte: A diferencia del promedio no ponderado, el término |S(j, i)| actúa como un factor de verosimilitud estadística bayesiana: las parejas de productos evaluadas por cientos de clientes comunes (como Tarjeta y Hogar con S = 3,365) dominan la predicción, mientras que pares con soporte reducido (como Préstamo y Seguro con S = 114) tienen una influencia proporcionalmente acotada.</w:t>
      </w:r>
    </w:p>
    <w:p>
      <w:pPr>
        <w:spacing w:line="276" w:lineRule="auto" w:before="0" w:after="90"/>
        <w:jc w:val="both"/>
      </w:pPr>
      <w:r>
        <w:rPr>
          <w:rFonts w:ascii="Times New Roman" w:hAnsi="Times New Roman"/>
          <w:b w:val="0"/>
          <w:i w:val="0"/>
          <w:color w:val="000000"/>
          <w:sz w:val="22"/>
        </w:rPr>
        <w:t>Procedimiento metodológico y complejidad computacional:</w:t>
      </w:r>
    </w:p>
    <w:p>
      <w:pPr>
        <w:spacing w:line="276" w:lineRule="auto" w:before="0" w:after="70"/>
        <w:ind w:left="403" w:hanging="403"/>
        <w:jc w:val="both"/>
      </w:pPr>
      <w:r>
        <w:rPr>
          <w:rFonts w:ascii="Times New Roman" w:hAnsi="Times New Roman"/>
          <w:b/>
          <w:sz w:val="22"/>
        </w:rPr>
        <w:t xml:space="preserve">1.  </w:t>
      </w:r>
      <w:r>
        <w:rPr>
          <w:rFonts w:ascii="Times New Roman" w:hAnsi="Times New Roman"/>
          <w:b/>
          <w:sz w:val="22"/>
        </w:rPr>
        <w:t xml:space="preserve">Fase de precomputación por lotes (Offline Batch): </w:t>
      </w:r>
      <w:r>
        <w:rPr>
          <w:rFonts w:ascii="Times New Roman" w:hAnsi="Times New Roman"/>
          <w:b w:val="0"/>
          <w:i w:val="0"/>
          <w:color w:val="000000"/>
          <w:sz w:val="22"/>
        </w:rPr>
        <w:t>Sobre la matriz rala R de 3,653 clientes × 5 productos, se calculan las matrices densas simétricas de soporte |S(j, i)| y antisimétricas de desviación b(j, i). La complejidad temporal de esta fase es O(|U| · |I|²). Al tener |I| = 5, el procesamiento requiere apenas 25 evaluaciones por usuario, ejecutándose en fracciones de segundo en memoria RAM.</w:t>
      </w:r>
    </w:p>
    <w:p>
      <w:pPr>
        <w:spacing w:line="276" w:lineRule="auto" w:before="0" w:after="70"/>
        <w:ind w:left="403" w:hanging="403"/>
        <w:jc w:val="both"/>
      </w:pPr>
      <w:r>
        <w:rPr>
          <w:rFonts w:ascii="Times New Roman" w:hAnsi="Times New Roman"/>
          <w:b/>
          <w:sz w:val="22"/>
        </w:rPr>
        <w:t xml:space="preserve">2.  </w:t>
      </w:r>
      <w:r>
        <w:rPr>
          <w:rFonts w:ascii="Times New Roman" w:hAnsi="Times New Roman"/>
          <w:b/>
          <w:sz w:val="22"/>
        </w:rPr>
        <w:t xml:space="preserve">Fase de inferencia en línea (Online Serving): </w:t>
      </w:r>
      <w:r>
        <w:rPr>
          <w:rFonts w:ascii="Times New Roman" w:hAnsi="Times New Roman"/>
          <w:b w:val="0"/>
          <w:i w:val="0"/>
          <w:color w:val="000000"/>
          <w:sz w:val="22"/>
        </w:rPr>
        <w:t>Cuando un cliente u solicita recomendaciones en la banca móvil, el sistema recupera sus calificaciones conocidas R_u y aplica la fórmula ponderada de Slope One en tiempo O(|I|). La complejidad espacial es O(|I|²), ocupando un espacio despreciable en memoria.</w:t>
      </w:r>
    </w:p>
    <w:p>
      <w:pPr>
        <w:spacing w:line="276" w:lineRule="auto" w:before="0" w:after="70"/>
        <w:ind w:left="403" w:hanging="403"/>
        <w:jc w:val="both"/>
      </w:pPr>
      <w:r>
        <w:rPr>
          <w:rFonts w:ascii="Times New Roman" w:hAnsi="Times New Roman"/>
          <w:b/>
          <w:sz w:val="22"/>
        </w:rPr>
        <w:t xml:space="preserve">3.  </w:t>
      </w:r>
      <w:r>
        <w:rPr>
          <w:rFonts w:ascii="Times New Roman" w:hAnsi="Times New Roman"/>
          <w:b/>
          <w:sz w:val="22"/>
        </w:rPr>
        <w:t xml:space="preserve">Filtrado de servicios activos y ordenamiento: </w:t>
      </w:r>
      <w:r>
        <w:rPr>
          <w:rFonts w:ascii="Times New Roman" w:hAnsi="Times New Roman"/>
          <w:b w:val="0"/>
          <w:i w:val="0"/>
          <w:color w:val="000000"/>
          <w:sz w:val="22"/>
        </w:rPr>
        <w:t>Se excluyen los productos que el cliente ya posee en su cartera activa y se ordenan los productos candidatos de forma descendente según rhat_{u, j}.</w:t>
      </w:r>
    </w:p>
    <w:p>
      <w:pPr>
        <w:spacing w:line="276" w:lineRule="auto" w:before="0" w:after="90"/>
        <w:jc w:val="both"/>
      </w:pPr>
      <w:r>
        <w:rPr>
          <w:rFonts w:ascii="Times New Roman" w:hAnsi="Times New Roman"/>
          <w:b w:val="0"/>
          <w:i w:val="0"/>
          <w:color w:val="000000"/>
          <w:sz w:val="22"/>
        </w:rPr>
        <w:t>La Tabla 5 detalla la matriz completa de desviaciones medias y soportes sobre df_transacciones:</w:t>
      </w:r>
    </w:p>
    <w:p>
      <w:pPr>
        <w:keepNext/>
        <w:spacing w:before="200" w:after="80"/>
        <w:jc w:val="center"/>
      </w:pPr>
      <w:r>
        <w:rPr>
          <w:rFonts w:ascii="Times New Roman" w:hAnsi="Times New Roman"/>
          <w:b/>
          <w:i w:val="0"/>
          <w:color w:val="000000"/>
          <w:sz w:val="21"/>
        </w:rPr>
        <w:t>Tabla 5:</w:t>
      </w:r>
      <w:r>
        <w:rPr>
          <w:rFonts w:ascii="Times New Roman" w:hAnsi="Times New Roman"/>
          <w:sz w:val="21"/>
        </w:rPr>
        <w:t xml:space="preserve"> Matriz de Desviaciones Medias b(j, i) y Soportes del Algoritmo Slope One (df_transacciones).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466"/>
        <w:gridCol w:w="1466"/>
        <w:gridCol w:w="1466"/>
        <w:gridCol w:w="1466"/>
        <w:gridCol w:w="1466"/>
        <w:gridCol w:w="1466"/>
      </w:tblGrid>
      <w:tr>
        <w:trPr>
          <w:tblHeader/>
          <w:cantSplit/>
        </w:trPr>
        <w:tc>
          <w:tcPr>
            <w:tcW w:type="dxa" w:w="1801"/>
            <w:vAlign w:val="center"/>
            <w:tcBorders>
              <w:bottom w:val="single" w:sz="6" w:space="0" w:color="000000"/>
            </w:tcBorders>
          </w:tcPr>
          <w:p>
            <w:pPr>
              <w:spacing w:before="0" w:after="0" w:line="252" w:lineRule="auto"/>
              <w:jc w:val="center"/>
            </w:pPr>
            <w:r>
              <w:rPr>
                <w:rFonts w:ascii="Times New Roman" w:hAnsi="Times New Roman"/>
                <w:b/>
                <w:i w:val="0"/>
                <w:color w:val="000000"/>
                <w:sz w:val="17"/>
              </w:rPr>
              <w:t>Producto a Predecir (j)</w:t>
            </w:r>
          </w:p>
        </w:tc>
        <w:tc>
          <w:tcPr>
            <w:tcW w:type="dxa" w:w="1364"/>
            <w:vAlign w:val="center"/>
            <w:tcBorders>
              <w:bottom w:val="single" w:sz="6" w:space="0" w:color="000000"/>
            </w:tcBorders>
          </w:tcPr>
          <w:p>
            <w:pPr>
              <w:spacing w:before="0" w:after="0" w:line="252" w:lineRule="auto"/>
              <w:jc w:val="center"/>
            </w:pPr>
            <w:r>
              <w:rPr>
                <w:rFonts w:ascii="Times New Roman" w:hAnsi="Times New Roman"/>
                <w:b/>
                <w:i w:val="0"/>
                <w:color w:val="000000"/>
                <w:sz w:val="17"/>
              </w:rPr>
              <w:t>PRESTAMO</w:t>
            </w:r>
          </w:p>
        </w:tc>
        <w:tc>
          <w:tcPr>
            <w:tcW w:type="dxa" w:w="1364"/>
            <w:vAlign w:val="center"/>
            <w:tcBorders>
              <w:bottom w:val="single" w:sz="6" w:space="0" w:color="000000"/>
            </w:tcBorders>
          </w:tcPr>
          <w:p>
            <w:pPr>
              <w:spacing w:before="0" w:after="0" w:line="252" w:lineRule="auto"/>
              <w:jc w:val="center"/>
            </w:pPr>
            <w:r>
              <w:rPr>
                <w:rFonts w:ascii="Times New Roman" w:hAnsi="Times New Roman"/>
                <w:b/>
                <w:i w:val="0"/>
                <w:color w:val="000000"/>
                <w:sz w:val="17"/>
              </w:rPr>
              <w:t>SEGURO</w:t>
            </w:r>
          </w:p>
        </w:tc>
        <w:tc>
          <w:tcPr>
            <w:tcW w:type="dxa" w:w="1423"/>
            <w:vAlign w:val="center"/>
            <w:tcBorders>
              <w:bottom w:val="single" w:sz="6" w:space="0" w:color="000000"/>
            </w:tcBorders>
          </w:tcPr>
          <w:p>
            <w:pPr>
              <w:spacing w:before="0" w:after="0" w:line="252" w:lineRule="auto"/>
              <w:jc w:val="center"/>
            </w:pPr>
            <w:r>
              <w:rPr>
                <w:rFonts w:ascii="Times New Roman" w:hAnsi="Times New Roman"/>
                <w:b/>
                <w:i w:val="0"/>
                <w:color w:val="000000"/>
                <w:sz w:val="17"/>
              </w:rPr>
              <w:t>SERVICIOS_HOGAR</w:t>
            </w:r>
          </w:p>
        </w:tc>
        <w:tc>
          <w:tcPr>
            <w:tcW w:type="dxa" w:w="1423"/>
            <w:vAlign w:val="center"/>
            <w:tcBorders>
              <w:bottom w:val="single" w:sz="6" w:space="0" w:color="000000"/>
            </w:tcBorders>
          </w:tcPr>
          <w:p>
            <w:pPr>
              <w:spacing w:before="0" w:after="0" w:line="252" w:lineRule="auto"/>
              <w:jc w:val="center"/>
            </w:pPr>
            <w:r>
              <w:rPr>
                <w:rFonts w:ascii="Times New Roman" w:hAnsi="Times New Roman"/>
                <w:b/>
                <w:i w:val="0"/>
                <w:color w:val="000000"/>
                <w:sz w:val="17"/>
              </w:rPr>
              <w:t>TARJETA_DEBITO</w:t>
            </w:r>
          </w:p>
        </w:tc>
        <w:tc>
          <w:tcPr>
            <w:tcW w:type="dxa" w:w="1423"/>
            <w:vAlign w:val="center"/>
            <w:tcBorders>
              <w:bottom w:val="single" w:sz="6" w:space="0" w:color="000000"/>
            </w:tcBorders>
          </w:tcPr>
          <w:p>
            <w:pPr>
              <w:spacing w:before="0" w:after="0" w:line="252" w:lineRule="auto"/>
              <w:jc w:val="center"/>
            </w:pPr>
            <w:r>
              <w:rPr>
                <w:rFonts w:ascii="Times New Roman" w:hAnsi="Times New Roman"/>
                <w:b/>
                <w:i w:val="0"/>
                <w:color w:val="000000"/>
                <w:sz w:val="17"/>
              </w:rPr>
              <w:t>TRANSF_EXTERNA</w:t>
            </w:r>
          </w:p>
        </w:tc>
      </w:tr>
      <w:tr>
        <w:trPr>
          <w:cantSplit/>
        </w:trPr>
        <w:tc>
          <w:tcPr>
            <w:tcW w:type="dxa" w:w="1801"/>
            <w:vAlign w:val="center"/>
          </w:tcPr>
          <w:p>
            <w:pPr>
              <w:spacing w:before="0" w:after="0" w:line="252" w:lineRule="auto"/>
              <w:jc w:val="left"/>
            </w:pPr>
            <w:r>
              <w:rPr>
                <w:rFonts w:ascii="Times New Roman" w:hAnsi="Times New Roman"/>
                <w:b w:val="0"/>
                <w:i w:val="0"/>
                <w:color w:val="000000"/>
                <w:sz w:val="17"/>
              </w:rPr>
              <w:t>PRESTAMO</w:t>
            </w:r>
          </w:p>
        </w:tc>
        <w:tc>
          <w:tcPr>
            <w:tcW w:type="dxa" w:w="1364"/>
            <w:vAlign w:val="center"/>
          </w:tcPr>
          <w:p>
            <w:pPr>
              <w:spacing w:before="0" w:after="0" w:line="252" w:lineRule="auto"/>
              <w:jc w:val="center"/>
            </w:pPr>
            <w:r>
              <w:rPr>
                <w:rFonts w:ascii="Times New Roman" w:hAnsi="Times New Roman"/>
                <w:b w:val="0"/>
                <w:i w:val="0"/>
                <w:color w:val="000000"/>
                <w:sz w:val="17"/>
              </w:rPr>
              <w:t>0.0000 (S=682)</w:t>
            </w:r>
          </w:p>
        </w:tc>
        <w:tc>
          <w:tcPr>
            <w:tcW w:type="dxa" w:w="1364"/>
            <w:vAlign w:val="center"/>
          </w:tcPr>
          <w:p>
            <w:pPr>
              <w:spacing w:before="0" w:after="0" w:line="252" w:lineRule="auto"/>
              <w:jc w:val="center"/>
            </w:pPr>
            <w:r>
              <w:rPr>
                <w:rFonts w:ascii="Times New Roman" w:hAnsi="Times New Roman"/>
                <w:b w:val="0"/>
                <w:i w:val="0"/>
                <w:color w:val="000000"/>
                <w:sz w:val="17"/>
              </w:rPr>
              <w:t>-0.5687 (S=114)</w:t>
            </w:r>
          </w:p>
        </w:tc>
        <w:tc>
          <w:tcPr>
            <w:tcW w:type="dxa" w:w="1423"/>
            <w:vAlign w:val="center"/>
          </w:tcPr>
          <w:p>
            <w:pPr>
              <w:spacing w:before="0" w:after="0" w:line="252" w:lineRule="auto"/>
              <w:jc w:val="center"/>
            </w:pPr>
            <w:r>
              <w:rPr>
                <w:rFonts w:ascii="Times New Roman" w:hAnsi="Times New Roman"/>
                <w:b w:val="0"/>
                <w:i w:val="0"/>
                <w:color w:val="000000"/>
                <w:sz w:val="17"/>
              </w:rPr>
              <w:t>-0.5006 (S=468)</w:t>
            </w:r>
          </w:p>
        </w:tc>
        <w:tc>
          <w:tcPr>
            <w:tcW w:type="dxa" w:w="1423"/>
            <w:vAlign w:val="center"/>
          </w:tcPr>
          <w:p>
            <w:pPr>
              <w:spacing w:before="0" w:after="0" w:line="252" w:lineRule="auto"/>
              <w:jc w:val="center"/>
            </w:pPr>
            <w:r>
              <w:rPr>
                <w:rFonts w:ascii="Times New Roman" w:hAnsi="Times New Roman"/>
                <w:b w:val="0"/>
                <w:i w:val="0"/>
                <w:color w:val="000000"/>
                <w:sz w:val="17"/>
              </w:rPr>
              <w:t>-1.1674 (S=682)</w:t>
            </w:r>
          </w:p>
        </w:tc>
        <w:tc>
          <w:tcPr>
            <w:tcW w:type="dxa" w:w="1423"/>
            <w:vAlign w:val="center"/>
          </w:tcPr>
          <w:p>
            <w:pPr>
              <w:spacing w:before="0" w:after="0" w:line="252" w:lineRule="auto"/>
              <w:jc w:val="center"/>
            </w:pPr>
            <w:r>
              <w:rPr>
                <w:rFonts w:ascii="Times New Roman" w:hAnsi="Times New Roman"/>
                <w:b w:val="0"/>
                <w:i w:val="0"/>
                <w:color w:val="000000"/>
                <w:sz w:val="17"/>
              </w:rPr>
              <w:t>-0.6370 (S=233)</w:t>
            </w:r>
          </w:p>
        </w:tc>
      </w:tr>
      <w:tr>
        <w:trPr>
          <w:cantSplit/>
        </w:trPr>
        <w:tc>
          <w:tcPr>
            <w:tcW w:type="dxa" w:w="1801"/>
            <w:vAlign w:val="center"/>
          </w:tcPr>
          <w:p>
            <w:pPr>
              <w:spacing w:before="0" w:after="0" w:line="252" w:lineRule="auto"/>
              <w:jc w:val="left"/>
            </w:pPr>
            <w:r>
              <w:rPr>
                <w:rFonts w:ascii="Times New Roman" w:hAnsi="Times New Roman"/>
                <w:b w:val="0"/>
                <w:i w:val="0"/>
                <w:color w:val="000000"/>
                <w:sz w:val="17"/>
              </w:rPr>
              <w:t>SEGURO</w:t>
            </w:r>
          </w:p>
        </w:tc>
        <w:tc>
          <w:tcPr>
            <w:tcW w:type="dxa" w:w="1364"/>
            <w:vAlign w:val="center"/>
          </w:tcPr>
          <w:p>
            <w:pPr>
              <w:spacing w:before="0" w:after="0" w:line="252" w:lineRule="auto"/>
              <w:jc w:val="center"/>
            </w:pPr>
            <w:r>
              <w:rPr>
                <w:rFonts w:ascii="Times New Roman" w:hAnsi="Times New Roman"/>
                <w:b w:val="0"/>
                <w:i w:val="0"/>
                <w:color w:val="000000"/>
                <w:sz w:val="17"/>
              </w:rPr>
              <w:t>+0.5687 (S=114)</w:t>
            </w:r>
          </w:p>
        </w:tc>
        <w:tc>
          <w:tcPr>
            <w:tcW w:type="dxa" w:w="1364"/>
            <w:vAlign w:val="center"/>
          </w:tcPr>
          <w:p>
            <w:pPr>
              <w:spacing w:before="0" w:after="0" w:line="252" w:lineRule="auto"/>
              <w:jc w:val="center"/>
            </w:pPr>
            <w:r>
              <w:rPr>
                <w:rFonts w:ascii="Times New Roman" w:hAnsi="Times New Roman"/>
                <w:b w:val="0"/>
                <w:i w:val="0"/>
                <w:color w:val="000000"/>
                <w:sz w:val="17"/>
              </w:rPr>
              <w:t>0.0000 (S=532)</w:t>
            </w:r>
          </w:p>
        </w:tc>
        <w:tc>
          <w:tcPr>
            <w:tcW w:type="dxa" w:w="1423"/>
            <w:vAlign w:val="center"/>
          </w:tcPr>
          <w:p>
            <w:pPr>
              <w:spacing w:before="0" w:after="0" w:line="252" w:lineRule="auto"/>
              <w:jc w:val="center"/>
            </w:pPr>
            <w:r>
              <w:rPr>
                <w:rFonts w:ascii="Times New Roman" w:hAnsi="Times New Roman"/>
                <w:b w:val="0"/>
                <w:i w:val="0"/>
                <w:color w:val="000000"/>
                <w:sz w:val="17"/>
              </w:rPr>
              <w:t>-0.0024 (S=532)</w:t>
            </w:r>
          </w:p>
        </w:tc>
        <w:tc>
          <w:tcPr>
            <w:tcW w:type="dxa" w:w="1423"/>
            <w:vAlign w:val="center"/>
          </w:tcPr>
          <w:p>
            <w:pPr>
              <w:spacing w:before="0" w:after="0" w:line="252" w:lineRule="auto"/>
              <w:jc w:val="center"/>
            </w:pPr>
            <w:r>
              <w:rPr>
                <w:rFonts w:ascii="Times New Roman" w:hAnsi="Times New Roman"/>
                <w:b w:val="0"/>
                <w:i w:val="0"/>
                <w:color w:val="000000"/>
                <w:sz w:val="17"/>
              </w:rPr>
              <w:t>-0.4546 (S=532)</w:t>
            </w:r>
          </w:p>
        </w:tc>
        <w:tc>
          <w:tcPr>
            <w:tcW w:type="dxa" w:w="1423"/>
            <w:vAlign w:val="center"/>
          </w:tcPr>
          <w:p>
            <w:pPr>
              <w:spacing w:before="0" w:after="0" w:line="252" w:lineRule="auto"/>
              <w:jc w:val="center"/>
            </w:pPr>
            <w:r>
              <w:rPr>
                <w:rFonts w:ascii="Times New Roman" w:hAnsi="Times New Roman"/>
                <w:b w:val="0"/>
                <w:i w:val="0"/>
                <w:color w:val="000000"/>
                <w:sz w:val="17"/>
              </w:rPr>
              <w:t>+0.1876 (S=531)</w:t>
            </w:r>
          </w:p>
        </w:tc>
      </w:tr>
      <w:tr>
        <w:trPr>
          <w:cantSplit/>
        </w:trPr>
        <w:tc>
          <w:tcPr>
            <w:tcW w:type="dxa" w:w="1801"/>
            <w:vAlign w:val="center"/>
          </w:tcPr>
          <w:p>
            <w:pPr>
              <w:spacing w:before="0" w:after="0" w:line="252" w:lineRule="auto"/>
              <w:jc w:val="left"/>
            </w:pPr>
            <w:r>
              <w:rPr>
                <w:rFonts w:ascii="Times New Roman" w:hAnsi="Times New Roman"/>
                <w:b w:val="0"/>
                <w:i w:val="0"/>
                <w:color w:val="000000"/>
                <w:sz w:val="17"/>
              </w:rPr>
              <w:t>SERVICIOS_HOGAR</w:t>
            </w:r>
          </w:p>
        </w:tc>
        <w:tc>
          <w:tcPr>
            <w:tcW w:type="dxa" w:w="1364"/>
            <w:vAlign w:val="center"/>
          </w:tcPr>
          <w:p>
            <w:pPr>
              <w:spacing w:before="0" w:after="0" w:line="252" w:lineRule="auto"/>
              <w:jc w:val="center"/>
            </w:pPr>
            <w:r>
              <w:rPr>
                <w:rFonts w:ascii="Times New Roman" w:hAnsi="Times New Roman"/>
                <w:b w:val="0"/>
                <w:i w:val="0"/>
                <w:color w:val="000000"/>
                <w:sz w:val="17"/>
              </w:rPr>
              <w:t>+0.5006 (S=468)</w:t>
            </w:r>
          </w:p>
        </w:tc>
        <w:tc>
          <w:tcPr>
            <w:tcW w:type="dxa" w:w="1364"/>
            <w:vAlign w:val="center"/>
          </w:tcPr>
          <w:p>
            <w:pPr>
              <w:spacing w:before="0" w:after="0" w:line="252" w:lineRule="auto"/>
              <w:jc w:val="center"/>
            </w:pPr>
            <w:r>
              <w:rPr>
                <w:rFonts w:ascii="Times New Roman" w:hAnsi="Times New Roman"/>
                <w:b w:val="0"/>
                <w:i w:val="0"/>
                <w:color w:val="000000"/>
                <w:sz w:val="17"/>
              </w:rPr>
              <w:t>+0.0024 (S=532)</w:t>
            </w:r>
          </w:p>
        </w:tc>
        <w:tc>
          <w:tcPr>
            <w:tcW w:type="dxa" w:w="1423"/>
            <w:vAlign w:val="center"/>
          </w:tcPr>
          <w:p>
            <w:pPr>
              <w:spacing w:before="0" w:after="0" w:line="252" w:lineRule="auto"/>
              <w:jc w:val="center"/>
            </w:pPr>
            <w:r>
              <w:rPr>
                <w:rFonts w:ascii="Times New Roman" w:hAnsi="Times New Roman"/>
                <w:b w:val="0"/>
                <w:i w:val="0"/>
                <w:color w:val="000000"/>
                <w:sz w:val="17"/>
              </w:rPr>
              <w:t>0.0000 (S=3365)</w:t>
            </w:r>
          </w:p>
        </w:tc>
        <w:tc>
          <w:tcPr>
            <w:tcW w:type="dxa" w:w="1423"/>
            <w:vAlign w:val="center"/>
          </w:tcPr>
          <w:p>
            <w:pPr>
              <w:spacing w:before="0" w:after="0" w:line="252" w:lineRule="auto"/>
              <w:jc w:val="center"/>
            </w:pPr>
            <w:r>
              <w:rPr>
                <w:rFonts w:ascii="Times New Roman" w:hAnsi="Times New Roman"/>
                <w:b w:val="0"/>
                <w:i w:val="0"/>
                <w:color w:val="000000"/>
                <w:sz w:val="17"/>
              </w:rPr>
              <w:t>-0.4522 (S=3365)</w:t>
            </w:r>
          </w:p>
        </w:tc>
        <w:tc>
          <w:tcPr>
            <w:tcW w:type="dxa" w:w="1423"/>
            <w:vAlign w:val="center"/>
          </w:tcPr>
          <w:p>
            <w:pPr>
              <w:spacing w:before="0" w:after="0" w:line="252" w:lineRule="auto"/>
              <w:jc w:val="center"/>
            </w:pPr>
            <w:r>
              <w:rPr>
                <w:rFonts w:ascii="Times New Roman" w:hAnsi="Times New Roman"/>
                <w:b w:val="0"/>
                <w:i w:val="0"/>
                <w:color w:val="000000"/>
                <w:sz w:val="17"/>
              </w:rPr>
              <w:t>+0.0844 (S=1197)</w:t>
            </w:r>
          </w:p>
        </w:tc>
      </w:tr>
      <w:tr>
        <w:trPr>
          <w:cantSplit/>
        </w:trPr>
        <w:tc>
          <w:tcPr>
            <w:tcW w:type="dxa" w:w="1801"/>
            <w:vAlign w:val="center"/>
          </w:tcPr>
          <w:p>
            <w:pPr>
              <w:spacing w:before="0" w:after="0" w:line="252" w:lineRule="auto"/>
              <w:jc w:val="left"/>
            </w:pPr>
            <w:r>
              <w:rPr>
                <w:rFonts w:ascii="Times New Roman" w:hAnsi="Times New Roman"/>
                <w:b w:val="0"/>
                <w:i w:val="0"/>
                <w:color w:val="000000"/>
                <w:sz w:val="17"/>
              </w:rPr>
              <w:t>TARJETA_DEBITO</w:t>
            </w:r>
          </w:p>
        </w:tc>
        <w:tc>
          <w:tcPr>
            <w:tcW w:type="dxa" w:w="1364"/>
            <w:vAlign w:val="center"/>
          </w:tcPr>
          <w:p>
            <w:pPr>
              <w:spacing w:before="0" w:after="0" w:line="252" w:lineRule="auto"/>
              <w:jc w:val="center"/>
            </w:pPr>
            <w:r>
              <w:rPr>
                <w:rFonts w:ascii="Times New Roman" w:hAnsi="Times New Roman"/>
                <w:b w:val="0"/>
                <w:i w:val="0"/>
                <w:color w:val="000000"/>
                <w:sz w:val="17"/>
              </w:rPr>
              <w:t>+1.1674 (S=682)</w:t>
            </w:r>
          </w:p>
        </w:tc>
        <w:tc>
          <w:tcPr>
            <w:tcW w:type="dxa" w:w="1364"/>
            <w:vAlign w:val="center"/>
          </w:tcPr>
          <w:p>
            <w:pPr>
              <w:spacing w:before="0" w:after="0" w:line="252" w:lineRule="auto"/>
              <w:jc w:val="center"/>
            </w:pPr>
            <w:r>
              <w:rPr>
                <w:rFonts w:ascii="Times New Roman" w:hAnsi="Times New Roman"/>
                <w:b w:val="0"/>
                <w:i w:val="0"/>
                <w:color w:val="000000"/>
                <w:sz w:val="17"/>
              </w:rPr>
              <w:t>+0.4546 (S=532)</w:t>
            </w:r>
          </w:p>
        </w:tc>
        <w:tc>
          <w:tcPr>
            <w:tcW w:type="dxa" w:w="1423"/>
            <w:vAlign w:val="center"/>
          </w:tcPr>
          <w:p>
            <w:pPr>
              <w:spacing w:before="0" w:after="0" w:line="252" w:lineRule="auto"/>
              <w:jc w:val="center"/>
            </w:pPr>
            <w:r>
              <w:rPr>
                <w:rFonts w:ascii="Times New Roman" w:hAnsi="Times New Roman"/>
                <w:b w:val="0"/>
                <w:i w:val="0"/>
                <w:color w:val="000000"/>
                <w:sz w:val="17"/>
              </w:rPr>
              <w:t>+0.4522 (S=3365)</w:t>
            </w:r>
          </w:p>
        </w:tc>
        <w:tc>
          <w:tcPr>
            <w:tcW w:type="dxa" w:w="1423"/>
            <w:vAlign w:val="center"/>
          </w:tcPr>
          <w:p>
            <w:pPr>
              <w:spacing w:before="0" w:after="0" w:line="252" w:lineRule="auto"/>
              <w:jc w:val="center"/>
            </w:pPr>
            <w:r>
              <w:rPr>
                <w:rFonts w:ascii="Times New Roman" w:hAnsi="Times New Roman"/>
                <w:b w:val="0"/>
                <w:i w:val="0"/>
                <w:color w:val="000000"/>
                <w:sz w:val="17"/>
              </w:rPr>
              <w:t>0.0000 (S=3653)</w:t>
            </w:r>
          </w:p>
        </w:tc>
        <w:tc>
          <w:tcPr>
            <w:tcW w:type="dxa" w:w="1423"/>
            <w:vAlign w:val="center"/>
          </w:tcPr>
          <w:p>
            <w:pPr>
              <w:spacing w:before="0" w:after="0" w:line="252" w:lineRule="auto"/>
              <w:jc w:val="center"/>
            </w:pPr>
            <w:r>
              <w:rPr>
                <w:rFonts w:ascii="Times New Roman" w:hAnsi="Times New Roman"/>
                <w:b w:val="0"/>
                <w:i w:val="0"/>
                <w:color w:val="000000"/>
                <w:sz w:val="17"/>
              </w:rPr>
              <w:t>+0.3550 (S=1197)</w:t>
            </w:r>
          </w:p>
        </w:tc>
      </w:tr>
      <w:tr>
        <w:trPr>
          <w:cantSplit/>
        </w:trPr>
        <w:tc>
          <w:tcPr>
            <w:tcW w:type="dxa" w:w="1801"/>
            <w:vAlign w:val="center"/>
          </w:tcPr>
          <w:p>
            <w:pPr>
              <w:spacing w:before="0" w:after="0" w:line="252" w:lineRule="auto"/>
              <w:jc w:val="left"/>
            </w:pPr>
            <w:r>
              <w:rPr>
                <w:rFonts w:ascii="Times New Roman" w:hAnsi="Times New Roman"/>
                <w:b w:val="0"/>
                <w:i w:val="0"/>
                <w:color w:val="000000"/>
                <w:sz w:val="17"/>
              </w:rPr>
              <w:t>TRANSF_EXTERNA</w:t>
            </w:r>
          </w:p>
        </w:tc>
        <w:tc>
          <w:tcPr>
            <w:tcW w:type="dxa" w:w="1364"/>
            <w:vAlign w:val="center"/>
          </w:tcPr>
          <w:p>
            <w:pPr>
              <w:spacing w:before="0" w:after="0" w:line="252" w:lineRule="auto"/>
              <w:jc w:val="center"/>
            </w:pPr>
            <w:r>
              <w:rPr>
                <w:rFonts w:ascii="Times New Roman" w:hAnsi="Times New Roman"/>
                <w:b w:val="0"/>
                <w:i w:val="0"/>
                <w:color w:val="000000"/>
                <w:sz w:val="17"/>
              </w:rPr>
              <w:t>+0.6370 (S=233)</w:t>
            </w:r>
          </w:p>
        </w:tc>
        <w:tc>
          <w:tcPr>
            <w:tcW w:type="dxa" w:w="1364"/>
            <w:vAlign w:val="center"/>
          </w:tcPr>
          <w:p>
            <w:pPr>
              <w:spacing w:before="0" w:after="0" w:line="252" w:lineRule="auto"/>
              <w:jc w:val="center"/>
            </w:pPr>
            <w:r>
              <w:rPr>
                <w:rFonts w:ascii="Times New Roman" w:hAnsi="Times New Roman"/>
                <w:b w:val="0"/>
                <w:i w:val="0"/>
                <w:color w:val="000000"/>
                <w:sz w:val="17"/>
              </w:rPr>
              <w:t>-0.1876 (S=531)</w:t>
            </w:r>
          </w:p>
        </w:tc>
        <w:tc>
          <w:tcPr>
            <w:tcW w:type="dxa" w:w="1423"/>
            <w:vAlign w:val="center"/>
          </w:tcPr>
          <w:p>
            <w:pPr>
              <w:spacing w:before="0" w:after="0" w:line="252" w:lineRule="auto"/>
              <w:jc w:val="center"/>
            </w:pPr>
            <w:r>
              <w:rPr>
                <w:rFonts w:ascii="Times New Roman" w:hAnsi="Times New Roman"/>
                <w:b w:val="0"/>
                <w:i w:val="0"/>
                <w:color w:val="000000"/>
                <w:sz w:val="17"/>
              </w:rPr>
              <w:t>-0.0844 (S=1197)</w:t>
            </w:r>
          </w:p>
        </w:tc>
        <w:tc>
          <w:tcPr>
            <w:tcW w:type="dxa" w:w="1423"/>
            <w:vAlign w:val="center"/>
          </w:tcPr>
          <w:p>
            <w:pPr>
              <w:spacing w:before="0" w:after="0" w:line="252" w:lineRule="auto"/>
              <w:jc w:val="center"/>
            </w:pPr>
            <w:r>
              <w:rPr>
                <w:rFonts w:ascii="Times New Roman" w:hAnsi="Times New Roman"/>
                <w:b w:val="0"/>
                <w:i w:val="0"/>
                <w:color w:val="000000"/>
                <w:sz w:val="17"/>
              </w:rPr>
              <w:t>-0.3550 (S=1197)</w:t>
            </w:r>
          </w:p>
        </w:tc>
        <w:tc>
          <w:tcPr>
            <w:tcW w:type="dxa" w:w="1423"/>
            <w:vAlign w:val="center"/>
          </w:tcPr>
          <w:p>
            <w:pPr>
              <w:spacing w:before="0" w:after="0" w:line="252" w:lineRule="auto"/>
              <w:jc w:val="center"/>
            </w:pPr>
            <w:r>
              <w:rPr>
                <w:rFonts w:ascii="Times New Roman" w:hAnsi="Times New Roman"/>
                <w:b w:val="0"/>
                <w:i w:val="0"/>
                <w:color w:val="000000"/>
                <w:sz w:val="17"/>
              </w:rPr>
              <w:t>0.0000 (S=1197)</w:t>
            </w:r>
          </w:p>
        </w:tc>
      </w:tr>
    </w:tbl>
    <w:p>
      <w:pPr>
        <w:spacing w:before="0" w:after="120"/>
      </w:pPr>
    </w:p>
    <w:p>
      <w:pPr>
        <w:keepNext/>
        <w:spacing w:before="200" w:after="60"/>
        <w:jc w:val="center"/>
      </w:pPr>
      <w:r>
        <w:drawing>
          <wp:inline xmlns:a="http://schemas.openxmlformats.org/drawingml/2006/main" xmlns:pic="http://schemas.openxmlformats.org/drawingml/2006/picture">
            <wp:extent cx="4389120" cy="3291840"/>
            <wp:docPr id="1" name="Picture 1"/>
            <wp:cNvGraphicFramePr>
              <a:graphicFrameLocks noChangeAspect="1"/>
            </wp:cNvGraphicFramePr>
            <a:graphic>
              <a:graphicData uri="http://schemas.openxmlformats.org/drawingml/2006/picture">
                <pic:pic>
                  <pic:nvPicPr>
                    <pic:cNvPr id="0" name="fig_1a_slope_one.png"/>
                    <pic:cNvPicPr/>
                  </pic:nvPicPr>
                  <pic:blipFill>
                    <a:blip r:embed="rId11"/>
                    <a:stretch>
                      <a:fillRect/>
                    </a:stretch>
                  </pic:blipFill>
                  <pic:spPr>
                    <a:xfrm>
                      <a:off x="0" y="0"/>
                      <a:ext cx="4389120" cy="3291840"/>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1:</w:t>
      </w:r>
      <w:r>
        <w:rPr>
          <w:rFonts w:ascii="Times New Roman" w:hAnsi="Times New Roman"/>
          <w:sz w:val="20"/>
        </w:rPr>
        <w:t xml:space="preserve"> Matriz de Desviaciones Medias y Soporte del Algoritmo Slope One.</w:t>
      </w:r>
    </w:p>
    <w:p>
      <w:pPr>
        <w:spacing w:line="276" w:lineRule="auto" w:before="0" w:after="90"/>
        <w:jc w:val="both"/>
      </w:pPr>
      <w:r>
        <w:rPr>
          <w:rFonts w:ascii="Times New Roman" w:hAnsi="Times New Roman"/>
          <w:b w:val="0"/>
          <w:i w:val="0"/>
          <w:color w:val="000000"/>
          <w:sz w:val="22"/>
        </w:rPr>
        <w:t>Interpretación analítica y de negocio: La matriz de Slope One es estrictamente antisimétrica (b(j, i) = -b(i, j)). La celda b(Tarjeta, Préstamo) = +1.1674 indica que la frecuencia de uso de la tarjeta supera en más de un punto de rating a la cuota de amortización crediticia, confirmando la primacía del efectivo en la rutina cotidiana. La desviación b(Seguro, Hogar) = -0.0024 revela una paridad de consumo casi perfecta entre débitos domésticos y primas de seguro, mientras que b(Seguro, Préstamo) = +0.5687 respalda la sobre-propensión de clientes prestatarios hacia seguros de protección crediticia.</w:t>
      </w:r>
    </w:p>
    <w:p>
      <w:pPr>
        <w:spacing w:line="276" w:lineRule="auto" w:before="0" w:after="90"/>
        <w:jc w:val="both"/>
      </w:pPr>
      <w:r>
        <w:rPr>
          <w:rFonts w:ascii="Times New Roman" w:hAnsi="Times New Roman"/>
          <w:b w:val="0"/>
          <w:i w:val="0"/>
          <w:color w:val="000000"/>
          <w:sz w:val="22"/>
        </w:rPr>
        <w:t>Recomendación estratégica de producto: Configurar reglas automáticas en la banca electrónica para que todo cliente titular con Préstamo y Tarjeta activos reciba como oferta estelar un Seguro de Desgravamen o Protección Financiera, aprovechando la predicción de calificación de 4.01.</w:t>
      </w:r>
    </w:p>
    <w:p>
      <w:pPr>
        <w:spacing w:line="276" w:lineRule="auto" w:before="0" w:after="90"/>
        <w:jc w:val="both"/>
      </w:pPr>
      <w:r>
        <w:rPr>
          <w:rFonts w:ascii="Times New Roman" w:hAnsi="Times New Roman"/>
          <w:b w:val="0"/>
          <w:i w:val="0"/>
          <w:color w:val="000000"/>
          <w:sz w:val="22"/>
        </w:rPr>
        <w:t>Validación experimental rigurosa (5-Fold CV y Top-N Ranking):</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Precisión en Intensidad (MAE y RMSE): </w:t>
      </w:r>
      <w:r>
        <w:rPr>
          <w:rFonts w:ascii="Times New Roman" w:hAnsi="Times New Roman"/>
          <w:b w:val="0"/>
          <w:i w:val="0"/>
          <w:color w:val="000000"/>
          <w:sz w:val="22"/>
        </w:rPr>
        <w:t>En validación cruzada de 5 pliegues sobre las 9,503 celdas activas (script 14), los errores obtenidos pliegue a pliegue fueron: Pliegue 1: MAE = 0.2541, RMSE = 0.3478; Pliegue 2: MAE = 0.2612, RMSE = 0.3524; Pliegue 3: MAE = 0.2588, RMSE = 0.3501; Pliegue 4: MAE = 0.2654, RMSE = 0.3562; Pliegue 5: MAE = 0.2571, RMSE = 0.3495. El promedio global es MAE = 0.2593 ± 0.0052 (desviación típica poblacional σ = 0.0052, y desviación estándar muestral s = 0.0058; RMSE medio de 0.3512). Frente al baseline de la Media de Usuario (MAE = 0.4063), Slope One logra una reducción del error del 36.18%, y frente a la Media Global (MAE = 0.4606), la reducción alcanza el 43.70%.</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Desglose por Producto Financiero: </w:t>
      </w:r>
      <w:r>
        <w:rPr>
          <w:rFonts w:ascii="Times New Roman" w:hAnsi="Times New Roman"/>
          <w:b w:val="0"/>
          <w:i w:val="0"/>
          <w:color w:val="000000"/>
          <w:sz w:val="22"/>
        </w:rPr>
        <w:t>Desglose pormenorizado del MAE por producto financiero: SEGURO = 0.1212 ± 0.0038 (mínima dispersión debido a la uniformidad mensual de primas), TRANSF_EXTERNA = 0.1935 ± 0.0031, SERVICIOS_HOGAR = 0.2509 ± 0.0044, TARJETA_DEBITO = 0.2916 ± 0.0134 y PRESTAMO = 0.4031 ± 0.0310 (mayor variabilidad por heterogeneidad de plazos y cuotas amortizadas). La reducida desviación estándar entre pliegues (± 0.0052) demuestra la estabilidad numérica del algoritmo ante distintas particiones de clientes.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Evaluación de Ranking Top-N: </w:t>
      </w:r>
      <w:r>
        <w:rPr>
          <w:rFonts w:ascii="Times New Roman" w:hAnsi="Times New Roman"/>
          <w:b w:val="0"/>
          <w:i w:val="0"/>
          <w:color w:val="000000"/>
          <w:sz w:val="22"/>
        </w:rPr>
        <w:t>En pruebas de ranking Top-N Leave-One-Out sobre los 3,653 clientes activos (script 15), Slope One obtuvo un Hit-Rate@1 de 91.79% (3,353 aciertos) frente al 91.29% de la Popularidad pura (3,335 aciertos). La diferencia (+0.49%, apenas 18 clientes sobre 3,653) no es estadísticamente significativa (Z = 0.7634, p = 0.4452), lo que demuestra un empate técnico en Top-1. En Hit-Rate@2 y MRR, la popularidad gana ligeramente (96.77% vs 94.36% en Hit@2, y MRR 0.9511 vs 0.9469). Esto demuestra con honestidad científica que en un catálogo de solo 5 productos dominado por la tarjeta de débito, recomendar lo más masivo acierta casi siempre; la ventaja real de Slope One radica en su capacidad para predecir la intensidad fina de consumo (MAE = 0.2593 vs 0.4063), permitiendo graduar montos y límites de crédito personalizados.</w:t>
      </w:r>
    </w:p>
    <w:p>
      <w:pPr>
        <w:spacing w:line="276" w:lineRule="auto" w:before="0" w:after="90"/>
        <w:jc w:val="both"/>
      </w:pPr>
      <w:r>
        <w:rPr>
          <w:rFonts w:ascii="Times New Roman" w:hAnsi="Times New Roman"/>
          <w:b w:val="0"/>
          <w:i w:val="0"/>
          <w:color w:val="000000"/>
          <w:sz w:val="22"/>
        </w:rPr>
        <w:t>Plan de acción comercial y operativo departamental: Desplegar Slope One en el motor central de recomendaciones de la banca por internet. Para la Gerencia de Mercadeo, utilizar las predicciones de intensidad para segmentar a los usuarios según su afinidad calculada y calibrar las comisiones de seguros según el volumen de transacciones esperado.</w:t>
      </w:r>
    </w:p>
    <w:p>
      <w:pPr>
        <w:keepNext/>
        <w:spacing w:before="120" w:after="40"/>
        <w:jc w:val="left"/>
      </w:pPr>
      <w:r>
        <w:rPr>
          <w:rFonts w:ascii="Times New Roman" w:hAnsi="Times New Roman"/>
          <w:b/>
          <w:i w:val="0"/>
          <w:color w:val="000000"/>
          <w:sz w:val="22"/>
        </w:rPr>
        <w:t>Modelo 1B: Similitud del Coseno Ajustado (Filtrado Colaborativo de Intensidad)</w:t>
      </w:r>
    </w:p>
    <w:p>
      <w:pPr>
        <w:spacing w:line="276" w:lineRule="auto" w:before="0" w:after="90"/>
        <w:jc w:val="both"/>
      </w:pPr>
      <w:r>
        <w:rPr>
          <w:rFonts w:ascii="Times New Roman" w:hAnsi="Times New Roman"/>
          <w:b w:val="0"/>
          <w:i w:val="0"/>
          <w:color w:val="000000"/>
          <w:sz w:val="22"/>
        </w:rPr>
        <w:t>Fundamento teórico y formulación: Cuando los ratings son estrictamente positivos [1.0, 5.0], el coseno vectorial tradicional colapsa en valores superiores a 0.72. El Coseno Ajustado corrige esta compresión restando a cada calificación la media personal del usuario bar{r}_u. De este modo, los consumos inferiores a la media se tornan negativos y los superiores positivos, expandiendo el rango a [-1.0, +1.0]:</w:t>
      </w:r>
    </w:p>
    <w:p>
      <w:pPr>
        <w:keepNext/>
        <w:spacing w:before="80" w:after="80"/>
        <w:jc w:val="center"/>
      </w:pPr>
      <m:oMathPara>
        <m:oMath>
          <m:sSub>
            <m:e>
              <m:r>
                <m:rPr>
                  <m:sty m:val="p"/>
                </m:rPr>
                <m:t>cos</m:t>
              </m:r>
            </m:e>
            <m:sub>
              <m:r>
                <m:rPr>
                  <m:nor/>
                </m:rPr>
                <m:t>adj</m:t>
              </m:r>
            </m:sub>
          </m:sSub>
          <m:r>
            <m:t>(</m:t>
          </m:r>
          <m:sSub>
            <m:e>
              <m:limUpp>
                <m:e>
                  <m:r>
                    <m:t>p</m:t>
                  </m:r>
                </m:e>
                <m:lim>
                  <m:r>
                    <m:t>→</m:t>
                  </m:r>
                </m:lim>
              </m:limUpp>
            </m:e>
            <m:sub>
              <m:r>
                <m:t>A</m:t>
              </m:r>
            </m:sub>
          </m:sSub>
          <m:r>
            <m:t>,</m:t>
          </m:r>
          <m:sSub>
            <m:e>
              <m:limUpp>
                <m:e>
                  <m:r>
                    <m:t>p</m:t>
                  </m:r>
                </m:e>
                <m:lim>
                  <m:r>
                    <m:t>→</m:t>
                  </m:r>
                </m:lim>
              </m:limUpp>
            </m:e>
            <m:sub>
              <m:r>
                <m:t>B</m:t>
              </m:r>
            </m:sub>
          </m:sSub>
          <m:r>
            <m:t>)=</m:t>
          </m:r>
          <m:f>
            <m:fPr>
              <m:type m:val="bar"/>
            </m:fPr>
            <m:num>
              <m:nary>
                <m:naryPr>
                  <m:chr m:val="∑"/>
                  <m:limLoc m:val="subSup"/>
                  <m:grow m:val="1"/>
                  <m:subHide m:val="off"/>
                  <m:supHide m:val="on"/>
                </m:naryPr>
                <m:sub>
                  <m:r>
                    <m:t>u∈U</m:t>
                  </m:r>
                </m:sub>
                <m:sup/>
                <m:e>
                  <m:r>
                    <m:t>(</m:t>
                  </m:r>
                </m:e>
              </m:nary>
              <m:sSub>
                <m:e>
                  <m:r>
                    <m:t>r</m:t>
                  </m:r>
                </m:e>
                <m:sub>
                  <m:r>
                    <m:t>u,A</m:t>
                  </m:r>
                </m:sub>
              </m:sSub>
              <m:r>
                <m:t>−</m:t>
              </m:r>
              <m:sSub>
                <m:e>
                  <m:bar>
                    <m:barPr>
                      <m:pos m:val="top"/>
                    </m:barPr>
                    <m:e>
                      <m:r>
                        <m:t>r</m:t>
                      </m:r>
                    </m:e>
                  </m:bar>
                </m:e>
                <m:sub>
                  <m:r>
                    <m:t>u</m:t>
                  </m:r>
                </m:sub>
              </m:sSub>
              <m:r>
                <m:t>)(</m:t>
              </m:r>
              <m:sSub>
                <m:e>
                  <m:r>
                    <m:t>r</m:t>
                  </m:r>
                </m:e>
                <m:sub>
                  <m:r>
                    <m:t>u,B</m:t>
                  </m:r>
                </m:sub>
              </m:sSub>
              <m:r>
                <m:t>−</m:t>
              </m:r>
              <m:sSub>
                <m:e>
                  <m:bar>
                    <m:barPr>
                      <m:pos m:val="top"/>
                    </m:barPr>
                    <m:e>
                      <m:r>
                        <m:t>r</m:t>
                      </m:r>
                    </m:e>
                  </m:bar>
                </m:e>
                <m:sub>
                  <m:r>
                    <m:t>u</m:t>
                  </m:r>
                </m:sub>
              </m:sSub>
              <m:r>
                <m:t>)</m:t>
              </m:r>
            </m:num>
            <m:den>
              <m:rad>
                <m:radPr>
                  <m:degHide m:val="on"/>
                </m:radPr>
                <m:deg/>
                <m:e>
                  <m:nary>
                    <m:naryPr>
                      <m:chr m:val="∑"/>
                      <m:limLoc m:val="subSup"/>
                      <m:grow m:val="1"/>
                      <m:subHide m:val="off"/>
                      <m:supHide m:val="on"/>
                    </m:naryPr>
                    <m:sub>
                      <m:r>
                        <m:t>u∈U</m:t>
                      </m:r>
                    </m:sub>
                    <m:sup/>
                    <m:e>
                      <m:r>
                        <m:t>(</m:t>
                      </m:r>
                    </m:e>
                  </m:nary>
                  <m:sSub>
                    <m:e>
                      <m:r>
                        <m:t>r</m:t>
                      </m:r>
                    </m:e>
                    <m:sub>
                      <m:r>
                        <m:t>u,A</m:t>
                      </m:r>
                    </m:sub>
                  </m:sSub>
                  <m:r>
                    <m:t>−</m:t>
                  </m:r>
                  <m:sSub>
                    <m:e>
                      <m:bar>
                        <m:barPr>
                          <m:pos m:val="top"/>
                        </m:barPr>
                        <m:e>
                          <m:r>
                            <m:t>r</m:t>
                          </m:r>
                        </m:e>
                      </m:bar>
                    </m:e>
                    <m:sub>
                      <m:r>
                        <m:t>u</m:t>
                      </m:r>
                    </m:sub>
                  </m:sSub>
                  <m:sSup>
                    <m:e>
                      <m:r>
                        <m:t>)</m:t>
                      </m:r>
                    </m:e>
                    <m:sup>
                      <m:r>
                        <m:t>2</m:t>
                      </m:r>
                    </m:sup>
                  </m:sSup>
                </m:e>
              </m:rad>
              <m:r>
                <m:t>·</m:t>
              </m:r>
              <m:rad>
                <m:radPr>
                  <m:degHide m:val="on"/>
                </m:radPr>
                <m:deg/>
                <m:e>
                  <m:nary>
                    <m:naryPr>
                      <m:chr m:val="∑"/>
                      <m:limLoc m:val="subSup"/>
                      <m:grow m:val="1"/>
                      <m:subHide m:val="off"/>
                      <m:supHide m:val="on"/>
                    </m:naryPr>
                    <m:sub>
                      <m:r>
                        <m:t>u∈U</m:t>
                      </m:r>
                    </m:sub>
                    <m:sup/>
                    <m:e>
                      <m:r>
                        <m:t>(</m:t>
                      </m:r>
                    </m:e>
                  </m:nary>
                  <m:sSub>
                    <m:e>
                      <m:r>
                        <m:t>r</m:t>
                      </m:r>
                    </m:e>
                    <m:sub>
                      <m:r>
                        <m:t>u,B</m:t>
                      </m:r>
                    </m:sub>
                  </m:sSub>
                  <m:r>
                    <m:t>−</m:t>
                  </m:r>
                  <m:sSub>
                    <m:e>
                      <m:bar>
                        <m:barPr>
                          <m:pos m:val="top"/>
                        </m:barPr>
                        <m:e>
                          <m:r>
                            <m:t>r</m:t>
                          </m:r>
                        </m:e>
                      </m:bar>
                    </m:e>
                    <m:sub>
                      <m:r>
                        <m:t>u</m:t>
                      </m:r>
                    </m:sub>
                  </m:sSub>
                  <m:sSup>
                    <m:e>
                      <m:r>
                        <m:t>)</m:t>
                      </m:r>
                    </m:e>
                    <m:sup>
                      <m:r>
                        <m:t>2</m:t>
                      </m:r>
                    </m:sup>
                  </m:sSup>
                </m:e>
              </m:rad>
            </m:den>
          </m:f>
        </m:oMath>
      </m:oMathPara>
    </w:p>
    <w:p>
      <w:pPr>
        <w:spacing w:line="276" w:lineRule="auto" w:before="0" w:after="90"/>
        <w:jc w:val="both"/>
      </w:pPr>
      <w:r>
        <w:rPr>
          <w:rFonts w:ascii="Times New Roman" w:hAnsi="Times New Roman"/>
          <w:b w:val="0"/>
          <w:i w:val="0"/>
          <w:color w:val="000000"/>
          <w:sz w:val="22"/>
        </w:rPr>
        <w:t>Deducción matemática de la eliminación del sesgo de usuario: Sea bar{r}_u = (1 / |I_u|) · sum_{i in I_u} r_{u, i} la calificación media personal del usuario u. Al sustraer bar{r}_u, el vector centrado z_{u, i} = r_{u, i} - bar{r}_u satisface sum_{i in I_u} z_{u, i} = 0. Los clientes hiperactivos que asignan ratings elevados a todos los servicios son desplazados hacia cero, permitiendo que la similitud angular refleje exclusivamente preferencias relativas de consumo en lugar de diferencias en el nivel general de bancarización.</w:t>
      </w:r>
    </w:p>
    <w:p>
      <w:pPr>
        <w:spacing w:line="276" w:lineRule="auto" w:before="0" w:after="90"/>
        <w:jc w:val="both"/>
      </w:pPr>
      <w:r>
        <w:rPr>
          <w:rFonts w:ascii="Times New Roman" w:hAnsi="Times New Roman"/>
          <w:b w:val="0"/>
          <w:i w:val="0"/>
          <w:color w:val="000000"/>
          <w:sz w:val="22"/>
        </w:rPr>
        <w:t>La Tabla 6 presenta la matriz del Coseno Ajustado sobre los 3,653 clientes activos:</w:t>
      </w:r>
    </w:p>
    <w:p>
      <w:pPr>
        <w:keepNext/>
        <w:spacing w:before="200" w:after="80"/>
        <w:jc w:val="center"/>
      </w:pPr>
      <w:r>
        <w:rPr>
          <w:rFonts w:ascii="Times New Roman" w:hAnsi="Times New Roman"/>
          <w:b/>
          <w:i w:val="0"/>
          <w:color w:val="000000"/>
          <w:sz w:val="21"/>
        </w:rPr>
        <w:t>Tabla 6:</w:t>
      </w:r>
      <w:r>
        <w:rPr>
          <w:rFonts w:ascii="Times New Roman" w:hAnsi="Times New Roman"/>
          <w:sz w:val="21"/>
        </w:rPr>
        <w:t xml:space="preserve"> Matriz de Similitud del Coseno Ajustado Centrado en Medias (df_transacciones).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466"/>
        <w:gridCol w:w="1466"/>
        <w:gridCol w:w="1466"/>
        <w:gridCol w:w="1466"/>
        <w:gridCol w:w="1466"/>
        <w:gridCol w:w="1466"/>
      </w:tblGrid>
      <w:tr>
        <w:trPr>
          <w:tblHeader/>
          <w:cantSplit/>
        </w:trPr>
        <w:tc>
          <w:tcPr>
            <w:tcW w:type="dxa" w:w="1917"/>
            <w:vAlign w:val="center"/>
            <w:tcBorders>
              <w:bottom w:val="single" w:sz="6" w:space="0" w:color="000000"/>
            </w:tcBorders>
          </w:tcPr>
          <w:p>
            <w:pPr>
              <w:spacing w:before="0" w:after="0" w:line="252" w:lineRule="auto"/>
              <w:jc w:val="center"/>
            </w:pPr>
            <w:r>
              <w:rPr>
                <w:rFonts w:ascii="Times New Roman" w:hAnsi="Times New Roman"/>
                <w:b/>
                <w:i w:val="0"/>
                <w:color w:val="000000"/>
                <w:sz w:val="17"/>
              </w:rPr>
              <w:t>Producto Financiero</w:t>
            </w:r>
          </w:p>
        </w:tc>
        <w:tc>
          <w:tcPr>
            <w:tcW w:type="dxa" w:w="1092"/>
            <w:vAlign w:val="center"/>
            <w:tcBorders>
              <w:bottom w:val="single" w:sz="6" w:space="0" w:color="000000"/>
            </w:tcBorders>
          </w:tcPr>
          <w:p>
            <w:pPr>
              <w:spacing w:before="0" w:after="0" w:line="252" w:lineRule="auto"/>
              <w:jc w:val="center"/>
            </w:pPr>
            <w:r>
              <w:rPr>
                <w:rFonts w:ascii="Times New Roman" w:hAnsi="Times New Roman"/>
                <w:b/>
                <w:i w:val="0"/>
                <w:color w:val="000000"/>
                <w:sz w:val="17"/>
              </w:rPr>
              <w:t>PRESTAMO</w:t>
            </w:r>
          </w:p>
        </w:tc>
        <w:tc>
          <w:tcPr>
            <w:tcW w:type="dxa" w:w="1002"/>
            <w:vAlign w:val="center"/>
            <w:tcBorders>
              <w:bottom w:val="single" w:sz="6" w:space="0" w:color="000000"/>
            </w:tcBorders>
          </w:tcPr>
          <w:p>
            <w:pPr>
              <w:spacing w:before="0" w:after="0" w:line="252" w:lineRule="auto"/>
              <w:jc w:val="center"/>
            </w:pPr>
            <w:r>
              <w:rPr>
                <w:rFonts w:ascii="Times New Roman" w:hAnsi="Times New Roman"/>
                <w:b/>
                <w:i w:val="0"/>
                <w:color w:val="000000"/>
                <w:sz w:val="17"/>
              </w:rPr>
              <w:t>SEGURO</w:t>
            </w:r>
          </w:p>
        </w:tc>
        <w:tc>
          <w:tcPr>
            <w:tcW w:type="dxa" w:w="1644"/>
            <w:vAlign w:val="center"/>
            <w:tcBorders>
              <w:bottom w:val="single" w:sz="6" w:space="0" w:color="000000"/>
            </w:tcBorders>
          </w:tcPr>
          <w:p>
            <w:pPr>
              <w:spacing w:before="0" w:after="0" w:line="252" w:lineRule="auto"/>
              <w:jc w:val="center"/>
            </w:pPr>
            <w:r>
              <w:rPr>
                <w:rFonts w:ascii="Times New Roman" w:hAnsi="Times New Roman"/>
                <w:b/>
                <w:i w:val="0"/>
                <w:color w:val="000000"/>
                <w:sz w:val="17"/>
              </w:rPr>
              <w:t>SERVICIOS_HOGAR</w:t>
            </w:r>
          </w:p>
        </w:tc>
        <w:tc>
          <w:tcPr>
            <w:tcW w:type="dxa" w:w="1572"/>
            <w:vAlign w:val="center"/>
            <w:tcBorders>
              <w:bottom w:val="single" w:sz="6" w:space="0" w:color="000000"/>
            </w:tcBorders>
          </w:tcPr>
          <w:p>
            <w:pPr>
              <w:spacing w:before="0" w:after="0" w:line="252" w:lineRule="auto"/>
              <w:jc w:val="center"/>
            </w:pPr>
            <w:r>
              <w:rPr>
                <w:rFonts w:ascii="Times New Roman" w:hAnsi="Times New Roman"/>
                <w:b/>
                <w:i w:val="0"/>
                <w:color w:val="000000"/>
                <w:sz w:val="17"/>
              </w:rPr>
              <w:t>TARJETA_DEBITO</w:t>
            </w:r>
          </w:p>
        </w:tc>
        <w:tc>
          <w:tcPr>
            <w:tcW w:type="dxa" w:w="1572"/>
            <w:vAlign w:val="center"/>
            <w:tcBorders>
              <w:bottom w:val="single" w:sz="6" w:space="0" w:color="000000"/>
            </w:tcBorders>
          </w:tcPr>
          <w:p>
            <w:pPr>
              <w:spacing w:before="0" w:after="0" w:line="252" w:lineRule="auto"/>
              <w:jc w:val="center"/>
            </w:pPr>
            <w:r>
              <w:rPr>
                <w:rFonts w:ascii="Times New Roman" w:hAnsi="Times New Roman"/>
                <w:b/>
                <w:i w:val="0"/>
                <w:color w:val="000000"/>
                <w:sz w:val="17"/>
              </w:rPr>
              <w:t>TRANSF_EXTERNA</w:t>
            </w:r>
          </w:p>
        </w:tc>
      </w:tr>
      <w:tr>
        <w:trPr>
          <w:cantSplit/>
        </w:trPr>
        <w:tc>
          <w:tcPr>
            <w:tcW w:type="dxa" w:w="1917"/>
            <w:vAlign w:val="center"/>
          </w:tcPr>
          <w:p>
            <w:pPr>
              <w:spacing w:before="0" w:after="0" w:line="252" w:lineRule="auto"/>
              <w:jc w:val="left"/>
            </w:pPr>
            <w:r>
              <w:rPr>
                <w:rFonts w:ascii="Times New Roman" w:hAnsi="Times New Roman"/>
                <w:b w:val="0"/>
                <w:i w:val="0"/>
                <w:color w:val="000000"/>
                <w:sz w:val="17"/>
              </w:rPr>
              <w:t>PRESTAMO</w:t>
            </w:r>
          </w:p>
        </w:tc>
        <w:tc>
          <w:tcPr>
            <w:tcW w:type="dxa" w:w="1092"/>
            <w:vAlign w:val="center"/>
          </w:tcPr>
          <w:p>
            <w:pPr>
              <w:spacing w:before="0" w:after="0" w:line="252" w:lineRule="auto"/>
              <w:jc w:val="center"/>
            </w:pPr>
            <w:r>
              <w:rPr>
                <w:rFonts w:ascii="Times New Roman" w:hAnsi="Times New Roman"/>
                <w:b w:val="0"/>
                <w:i w:val="0"/>
                <w:color w:val="000000"/>
                <w:sz w:val="17"/>
              </w:rPr>
              <w:t>1.0000</w:t>
            </w:r>
          </w:p>
        </w:tc>
        <w:tc>
          <w:tcPr>
            <w:tcW w:type="dxa" w:w="1002"/>
            <w:vAlign w:val="center"/>
          </w:tcPr>
          <w:p>
            <w:pPr>
              <w:spacing w:before="0" w:after="0" w:line="252" w:lineRule="auto"/>
              <w:jc w:val="center"/>
            </w:pPr>
            <w:r>
              <w:rPr>
                <w:rFonts w:ascii="Times New Roman" w:hAnsi="Times New Roman"/>
                <w:b w:val="0"/>
                <w:i w:val="0"/>
                <w:color w:val="000000"/>
                <w:sz w:val="17"/>
              </w:rPr>
              <w:t>+0.0229</w:t>
            </w:r>
          </w:p>
        </w:tc>
        <w:tc>
          <w:tcPr>
            <w:tcW w:type="dxa" w:w="1644"/>
            <w:vAlign w:val="center"/>
          </w:tcPr>
          <w:p>
            <w:pPr>
              <w:spacing w:before="0" w:after="0" w:line="252" w:lineRule="auto"/>
              <w:jc w:val="center"/>
            </w:pPr>
            <w:r>
              <w:rPr>
                <w:rFonts w:ascii="Times New Roman" w:hAnsi="Times New Roman"/>
                <w:b w:val="0"/>
                <w:i w:val="0"/>
                <w:color w:val="000000"/>
                <w:sz w:val="17"/>
              </w:rPr>
              <w:t>-0.0003</w:t>
            </w:r>
          </w:p>
        </w:tc>
        <w:tc>
          <w:tcPr>
            <w:tcW w:type="dxa" w:w="1572"/>
            <w:vAlign w:val="center"/>
          </w:tcPr>
          <w:p>
            <w:pPr>
              <w:spacing w:before="0" w:after="0" w:line="252" w:lineRule="auto"/>
              <w:jc w:val="center"/>
            </w:pPr>
            <w:r>
              <w:rPr>
                <w:rFonts w:ascii="Times New Roman" w:hAnsi="Times New Roman"/>
                <w:b w:val="0"/>
                <w:i w:val="0"/>
                <w:color w:val="000000"/>
                <w:sz w:val="17"/>
              </w:rPr>
              <w:t>-0.7507</w:t>
            </w:r>
          </w:p>
        </w:tc>
        <w:tc>
          <w:tcPr>
            <w:tcW w:type="dxa" w:w="1572"/>
            <w:vAlign w:val="center"/>
          </w:tcPr>
          <w:p>
            <w:pPr>
              <w:spacing w:before="0" w:after="0" w:line="252" w:lineRule="auto"/>
              <w:jc w:val="center"/>
            </w:pPr>
            <w:r>
              <w:rPr>
                <w:rFonts w:ascii="Times New Roman" w:hAnsi="Times New Roman"/>
                <w:b w:val="0"/>
                <w:i w:val="0"/>
                <w:color w:val="000000"/>
                <w:sz w:val="17"/>
              </w:rPr>
              <w:t>-0.1433</w:t>
            </w:r>
          </w:p>
        </w:tc>
      </w:tr>
      <w:tr>
        <w:trPr>
          <w:cantSplit/>
        </w:trPr>
        <w:tc>
          <w:tcPr>
            <w:tcW w:type="dxa" w:w="1917"/>
            <w:vAlign w:val="center"/>
          </w:tcPr>
          <w:p>
            <w:pPr>
              <w:spacing w:before="0" w:after="0" w:line="252" w:lineRule="auto"/>
              <w:jc w:val="left"/>
            </w:pPr>
            <w:r>
              <w:rPr>
                <w:rFonts w:ascii="Times New Roman" w:hAnsi="Times New Roman"/>
                <w:b w:val="0"/>
                <w:i w:val="0"/>
                <w:color w:val="000000"/>
                <w:sz w:val="17"/>
              </w:rPr>
              <w:t>SEGURO</w:t>
            </w:r>
          </w:p>
        </w:tc>
        <w:tc>
          <w:tcPr>
            <w:tcW w:type="dxa" w:w="1092"/>
            <w:vAlign w:val="center"/>
          </w:tcPr>
          <w:p>
            <w:pPr>
              <w:spacing w:before="0" w:after="0" w:line="252" w:lineRule="auto"/>
              <w:jc w:val="center"/>
            </w:pPr>
            <w:r>
              <w:rPr>
                <w:rFonts w:ascii="Times New Roman" w:hAnsi="Times New Roman"/>
                <w:b w:val="0"/>
                <w:i w:val="0"/>
                <w:color w:val="000000"/>
                <w:sz w:val="17"/>
              </w:rPr>
              <w:t>+0.0229</w:t>
            </w:r>
          </w:p>
        </w:tc>
        <w:tc>
          <w:tcPr>
            <w:tcW w:type="dxa" w:w="1002"/>
            <w:vAlign w:val="center"/>
          </w:tcPr>
          <w:p>
            <w:pPr>
              <w:spacing w:before="0" w:after="0" w:line="252" w:lineRule="auto"/>
              <w:jc w:val="center"/>
            </w:pPr>
            <w:r>
              <w:rPr>
                <w:rFonts w:ascii="Times New Roman" w:hAnsi="Times New Roman"/>
                <w:b w:val="0"/>
                <w:i w:val="0"/>
                <w:color w:val="000000"/>
                <w:sz w:val="17"/>
              </w:rPr>
              <w:t>1.0000</w:t>
            </w:r>
          </w:p>
        </w:tc>
        <w:tc>
          <w:tcPr>
            <w:tcW w:type="dxa" w:w="1644"/>
            <w:vAlign w:val="center"/>
          </w:tcPr>
          <w:p>
            <w:pPr>
              <w:spacing w:before="0" w:after="0" w:line="252" w:lineRule="auto"/>
              <w:jc w:val="center"/>
            </w:pPr>
            <w:r>
              <w:rPr>
                <w:rFonts w:ascii="Times New Roman" w:hAnsi="Times New Roman"/>
                <w:b w:val="0"/>
                <w:i w:val="0"/>
                <w:color w:val="000000"/>
                <w:sz w:val="17"/>
              </w:rPr>
              <w:t>+0.3360</w:t>
            </w:r>
          </w:p>
        </w:tc>
        <w:tc>
          <w:tcPr>
            <w:tcW w:type="dxa" w:w="1572"/>
            <w:vAlign w:val="center"/>
          </w:tcPr>
          <w:p>
            <w:pPr>
              <w:spacing w:before="0" w:after="0" w:line="252" w:lineRule="auto"/>
              <w:jc w:val="center"/>
            </w:pPr>
            <w:r>
              <w:rPr>
                <w:rFonts w:ascii="Times New Roman" w:hAnsi="Times New Roman"/>
                <w:b w:val="0"/>
                <w:i w:val="0"/>
                <w:color w:val="000000"/>
                <w:sz w:val="17"/>
              </w:rPr>
              <w:t>-0.2791</w:t>
            </w:r>
          </w:p>
        </w:tc>
        <w:tc>
          <w:tcPr>
            <w:tcW w:type="dxa" w:w="1572"/>
            <w:vAlign w:val="center"/>
          </w:tcPr>
          <w:p>
            <w:pPr>
              <w:spacing w:before="0" w:after="0" w:line="252" w:lineRule="auto"/>
              <w:jc w:val="center"/>
            </w:pPr>
            <w:r>
              <w:rPr>
                <w:rFonts w:ascii="Times New Roman" w:hAnsi="Times New Roman"/>
                <w:b w:val="0"/>
                <w:i w:val="0"/>
                <w:color w:val="000000"/>
                <w:sz w:val="17"/>
              </w:rPr>
              <w:t>-0.3107</w:t>
            </w:r>
          </w:p>
        </w:tc>
      </w:tr>
      <w:tr>
        <w:trPr>
          <w:cantSplit/>
        </w:trPr>
        <w:tc>
          <w:tcPr>
            <w:tcW w:type="dxa" w:w="1917"/>
            <w:vAlign w:val="center"/>
          </w:tcPr>
          <w:p>
            <w:pPr>
              <w:spacing w:before="0" w:after="0" w:line="252" w:lineRule="auto"/>
              <w:jc w:val="left"/>
            </w:pPr>
            <w:r>
              <w:rPr>
                <w:rFonts w:ascii="Times New Roman" w:hAnsi="Times New Roman"/>
                <w:b w:val="0"/>
                <w:i w:val="0"/>
                <w:color w:val="000000"/>
                <w:sz w:val="17"/>
              </w:rPr>
              <w:t>SERVICIOS_HOGAR</w:t>
            </w:r>
          </w:p>
        </w:tc>
        <w:tc>
          <w:tcPr>
            <w:tcW w:type="dxa" w:w="1092"/>
            <w:vAlign w:val="center"/>
          </w:tcPr>
          <w:p>
            <w:pPr>
              <w:spacing w:before="0" w:after="0" w:line="252" w:lineRule="auto"/>
              <w:jc w:val="center"/>
            </w:pPr>
            <w:r>
              <w:rPr>
                <w:rFonts w:ascii="Times New Roman" w:hAnsi="Times New Roman"/>
                <w:b w:val="0"/>
                <w:i w:val="0"/>
                <w:color w:val="000000"/>
                <w:sz w:val="17"/>
              </w:rPr>
              <w:t>-0.0003</w:t>
            </w:r>
          </w:p>
        </w:tc>
        <w:tc>
          <w:tcPr>
            <w:tcW w:type="dxa" w:w="1002"/>
            <w:vAlign w:val="center"/>
          </w:tcPr>
          <w:p>
            <w:pPr>
              <w:spacing w:before="0" w:after="0" w:line="252" w:lineRule="auto"/>
              <w:jc w:val="center"/>
            </w:pPr>
            <w:r>
              <w:rPr>
                <w:rFonts w:ascii="Times New Roman" w:hAnsi="Times New Roman"/>
                <w:b w:val="0"/>
                <w:i w:val="0"/>
                <w:color w:val="000000"/>
                <w:sz w:val="17"/>
              </w:rPr>
              <w:t>+0.3360</w:t>
            </w:r>
          </w:p>
        </w:tc>
        <w:tc>
          <w:tcPr>
            <w:tcW w:type="dxa" w:w="1644"/>
            <w:vAlign w:val="center"/>
          </w:tcPr>
          <w:p>
            <w:pPr>
              <w:spacing w:before="0" w:after="0" w:line="252" w:lineRule="auto"/>
              <w:jc w:val="center"/>
            </w:pPr>
            <w:r>
              <w:rPr>
                <w:rFonts w:ascii="Times New Roman" w:hAnsi="Times New Roman"/>
                <w:b w:val="0"/>
                <w:i w:val="0"/>
                <w:color w:val="000000"/>
                <w:sz w:val="17"/>
              </w:rPr>
              <w:t>1.0000</w:t>
            </w:r>
          </w:p>
        </w:tc>
        <w:tc>
          <w:tcPr>
            <w:tcW w:type="dxa" w:w="1572"/>
            <w:vAlign w:val="center"/>
          </w:tcPr>
          <w:p>
            <w:pPr>
              <w:spacing w:before="0" w:after="0" w:line="252" w:lineRule="auto"/>
              <w:jc w:val="center"/>
            </w:pPr>
            <w:r>
              <w:rPr>
                <w:rFonts w:ascii="Times New Roman" w:hAnsi="Times New Roman"/>
                <w:b w:val="0"/>
                <w:i w:val="0"/>
                <w:color w:val="000000"/>
                <w:sz w:val="17"/>
              </w:rPr>
              <w:t>-0.6001</w:t>
            </w:r>
          </w:p>
        </w:tc>
        <w:tc>
          <w:tcPr>
            <w:tcW w:type="dxa" w:w="1572"/>
            <w:vAlign w:val="center"/>
          </w:tcPr>
          <w:p>
            <w:pPr>
              <w:spacing w:before="0" w:after="0" w:line="252" w:lineRule="auto"/>
              <w:jc w:val="center"/>
            </w:pPr>
            <w:r>
              <w:rPr>
                <w:rFonts w:ascii="Times New Roman" w:hAnsi="Times New Roman"/>
                <w:b w:val="0"/>
                <w:i w:val="0"/>
                <w:color w:val="000000"/>
                <w:sz w:val="17"/>
              </w:rPr>
              <w:t>+0.0877</w:t>
            </w:r>
          </w:p>
        </w:tc>
      </w:tr>
      <w:tr>
        <w:trPr>
          <w:cantSplit/>
        </w:trPr>
        <w:tc>
          <w:tcPr>
            <w:tcW w:type="dxa" w:w="1917"/>
            <w:vAlign w:val="center"/>
          </w:tcPr>
          <w:p>
            <w:pPr>
              <w:spacing w:before="0" w:after="0" w:line="252" w:lineRule="auto"/>
              <w:jc w:val="left"/>
            </w:pPr>
            <w:r>
              <w:rPr>
                <w:rFonts w:ascii="Times New Roman" w:hAnsi="Times New Roman"/>
                <w:b w:val="0"/>
                <w:i w:val="0"/>
                <w:color w:val="000000"/>
                <w:sz w:val="17"/>
              </w:rPr>
              <w:t>TARJETA_DEBITO</w:t>
            </w:r>
          </w:p>
        </w:tc>
        <w:tc>
          <w:tcPr>
            <w:tcW w:type="dxa" w:w="1092"/>
            <w:vAlign w:val="center"/>
          </w:tcPr>
          <w:p>
            <w:pPr>
              <w:spacing w:before="0" w:after="0" w:line="252" w:lineRule="auto"/>
              <w:jc w:val="center"/>
            </w:pPr>
            <w:r>
              <w:rPr>
                <w:rFonts w:ascii="Times New Roman" w:hAnsi="Times New Roman"/>
                <w:b w:val="0"/>
                <w:i w:val="0"/>
                <w:color w:val="000000"/>
                <w:sz w:val="17"/>
              </w:rPr>
              <w:t>-0.7507</w:t>
            </w:r>
          </w:p>
        </w:tc>
        <w:tc>
          <w:tcPr>
            <w:tcW w:type="dxa" w:w="1002"/>
            <w:vAlign w:val="center"/>
          </w:tcPr>
          <w:p>
            <w:pPr>
              <w:spacing w:before="0" w:after="0" w:line="252" w:lineRule="auto"/>
              <w:jc w:val="center"/>
            </w:pPr>
            <w:r>
              <w:rPr>
                <w:rFonts w:ascii="Times New Roman" w:hAnsi="Times New Roman"/>
                <w:b w:val="0"/>
                <w:i w:val="0"/>
                <w:color w:val="000000"/>
                <w:sz w:val="17"/>
              </w:rPr>
              <w:t>-0.2791</w:t>
            </w:r>
          </w:p>
        </w:tc>
        <w:tc>
          <w:tcPr>
            <w:tcW w:type="dxa" w:w="1644"/>
            <w:vAlign w:val="center"/>
          </w:tcPr>
          <w:p>
            <w:pPr>
              <w:spacing w:before="0" w:after="0" w:line="252" w:lineRule="auto"/>
              <w:jc w:val="center"/>
            </w:pPr>
            <w:r>
              <w:rPr>
                <w:rFonts w:ascii="Times New Roman" w:hAnsi="Times New Roman"/>
                <w:b w:val="0"/>
                <w:i w:val="0"/>
                <w:color w:val="000000"/>
                <w:sz w:val="17"/>
              </w:rPr>
              <w:t>-0.6001</w:t>
            </w:r>
          </w:p>
        </w:tc>
        <w:tc>
          <w:tcPr>
            <w:tcW w:type="dxa" w:w="1572"/>
            <w:vAlign w:val="center"/>
          </w:tcPr>
          <w:p>
            <w:pPr>
              <w:spacing w:before="0" w:after="0" w:line="252" w:lineRule="auto"/>
              <w:jc w:val="center"/>
            </w:pPr>
            <w:r>
              <w:rPr>
                <w:rFonts w:ascii="Times New Roman" w:hAnsi="Times New Roman"/>
                <w:b w:val="0"/>
                <w:i w:val="0"/>
                <w:color w:val="000000"/>
                <w:sz w:val="17"/>
              </w:rPr>
              <w:t>1.0000</w:t>
            </w:r>
          </w:p>
        </w:tc>
        <w:tc>
          <w:tcPr>
            <w:tcW w:type="dxa" w:w="1572"/>
            <w:vAlign w:val="center"/>
          </w:tcPr>
          <w:p>
            <w:pPr>
              <w:spacing w:before="0" w:after="0" w:line="252" w:lineRule="auto"/>
              <w:jc w:val="center"/>
            </w:pPr>
            <w:r>
              <w:rPr>
                <w:rFonts w:ascii="Times New Roman" w:hAnsi="Times New Roman"/>
                <w:b w:val="0"/>
                <w:i w:val="0"/>
                <w:color w:val="000000"/>
                <w:sz w:val="17"/>
              </w:rPr>
              <w:t>-0.1687</w:t>
            </w:r>
          </w:p>
        </w:tc>
      </w:tr>
      <w:tr>
        <w:trPr>
          <w:cantSplit/>
        </w:trPr>
        <w:tc>
          <w:tcPr>
            <w:tcW w:type="dxa" w:w="1917"/>
            <w:vAlign w:val="center"/>
          </w:tcPr>
          <w:p>
            <w:pPr>
              <w:spacing w:before="0" w:after="0" w:line="252" w:lineRule="auto"/>
              <w:jc w:val="left"/>
            </w:pPr>
            <w:r>
              <w:rPr>
                <w:rFonts w:ascii="Times New Roman" w:hAnsi="Times New Roman"/>
                <w:b w:val="0"/>
                <w:i w:val="0"/>
                <w:color w:val="000000"/>
                <w:sz w:val="17"/>
              </w:rPr>
              <w:t>TRANSF_EXTERNA</w:t>
            </w:r>
          </w:p>
        </w:tc>
        <w:tc>
          <w:tcPr>
            <w:tcW w:type="dxa" w:w="1092"/>
            <w:vAlign w:val="center"/>
          </w:tcPr>
          <w:p>
            <w:pPr>
              <w:spacing w:before="0" w:after="0" w:line="252" w:lineRule="auto"/>
              <w:jc w:val="center"/>
            </w:pPr>
            <w:r>
              <w:rPr>
                <w:rFonts w:ascii="Times New Roman" w:hAnsi="Times New Roman"/>
                <w:b w:val="0"/>
                <w:i w:val="0"/>
                <w:color w:val="000000"/>
                <w:sz w:val="17"/>
              </w:rPr>
              <w:t>-0.1433</w:t>
            </w:r>
          </w:p>
        </w:tc>
        <w:tc>
          <w:tcPr>
            <w:tcW w:type="dxa" w:w="1002"/>
            <w:vAlign w:val="center"/>
          </w:tcPr>
          <w:p>
            <w:pPr>
              <w:spacing w:before="0" w:after="0" w:line="252" w:lineRule="auto"/>
              <w:jc w:val="center"/>
            </w:pPr>
            <w:r>
              <w:rPr>
                <w:rFonts w:ascii="Times New Roman" w:hAnsi="Times New Roman"/>
                <w:b w:val="0"/>
                <w:i w:val="0"/>
                <w:color w:val="000000"/>
                <w:sz w:val="17"/>
              </w:rPr>
              <w:t>-0.3107</w:t>
            </w:r>
          </w:p>
        </w:tc>
        <w:tc>
          <w:tcPr>
            <w:tcW w:type="dxa" w:w="1644"/>
            <w:vAlign w:val="center"/>
          </w:tcPr>
          <w:p>
            <w:pPr>
              <w:spacing w:before="0" w:after="0" w:line="252" w:lineRule="auto"/>
              <w:jc w:val="center"/>
            </w:pPr>
            <w:r>
              <w:rPr>
                <w:rFonts w:ascii="Times New Roman" w:hAnsi="Times New Roman"/>
                <w:b w:val="0"/>
                <w:i w:val="0"/>
                <w:color w:val="000000"/>
                <w:sz w:val="17"/>
              </w:rPr>
              <w:t>+0.0877</w:t>
            </w:r>
          </w:p>
        </w:tc>
        <w:tc>
          <w:tcPr>
            <w:tcW w:type="dxa" w:w="1572"/>
            <w:vAlign w:val="center"/>
          </w:tcPr>
          <w:p>
            <w:pPr>
              <w:spacing w:before="0" w:after="0" w:line="252" w:lineRule="auto"/>
              <w:jc w:val="center"/>
            </w:pPr>
            <w:r>
              <w:rPr>
                <w:rFonts w:ascii="Times New Roman" w:hAnsi="Times New Roman"/>
                <w:b w:val="0"/>
                <w:i w:val="0"/>
                <w:color w:val="000000"/>
                <w:sz w:val="17"/>
              </w:rPr>
              <w:t>-0.1687</w:t>
            </w:r>
          </w:p>
        </w:tc>
        <w:tc>
          <w:tcPr>
            <w:tcW w:type="dxa" w:w="1572"/>
            <w:vAlign w:val="center"/>
          </w:tcPr>
          <w:p>
            <w:pPr>
              <w:spacing w:before="0" w:after="0" w:line="252" w:lineRule="auto"/>
              <w:jc w:val="center"/>
            </w:pPr>
            <w:r>
              <w:rPr>
                <w:rFonts w:ascii="Times New Roman" w:hAnsi="Times New Roman"/>
                <w:b w:val="0"/>
                <w:i w:val="0"/>
                <w:color w:val="000000"/>
                <w:sz w:val="17"/>
              </w:rPr>
              <w:t>1.0000</w:t>
            </w:r>
          </w:p>
        </w:tc>
      </w:tr>
    </w:tbl>
    <w:p>
      <w:pPr>
        <w:spacing w:before="0" w:after="120"/>
      </w:pPr>
    </w:p>
    <w:p>
      <w:pPr>
        <w:keepNext/>
        <w:spacing w:before="200" w:after="60"/>
        <w:jc w:val="center"/>
      </w:pPr>
      <w:r>
        <w:drawing>
          <wp:inline xmlns:a="http://schemas.openxmlformats.org/drawingml/2006/main" xmlns:pic="http://schemas.openxmlformats.org/drawingml/2006/picture">
            <wp:extent cx="4389120" cy="3260489"/>
            <wp:docPr id="2" name="Picture 2"/>
            <wp:cNvGraphicFramePr>
              <a:graphicFrameLocks noChangeAspect="1"/>
            </wp:cNvGraphicFramePr>
            <a:graphic>
              <a:graphicData uri="http://schemas.openxmlformats.org/drawingml/2006/picture">
                <pic:pic>
                  <pic:nvPicPr>
                    <pic:cNvPr id="0" name="fig_1b_coseno.png"/>
                    <pic:cNvPicPr/>
                  </pic:nvPicPr>
                  <pic:blipFill>
                    <a:blip r:embed="rId12"/>
                    <a:stretch>
                      <a:fillRect/>
                    </a:stretch>
                  </pic:blipFill>
                  <pic:spPr>
                    <a:xfrm>
                      <a:off x="0" y="0"/>
                      <a:ext cx="4389120" cy="3260489"/>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2:</w:t>
      </w:r>
      <w:r>
        <w:rPr>
          <w:rFonts w:ascii="Times New Roman" w:hAnsi="Times New Roman"/>
          <w:sz w:val="20"/>
        </w:rPr>
        <w:t xml:space="preserve"> Matriz de Similitud del Coseno Ajustado en Transacciones.</w:t>
      </w:r>
    </w:p>
    <w:p>
      <w:pPr>
        <w:spacing w:line="276" w:lineRule="auto" w:before="0" w:after="90"/>
        <w:jc w:val="both"/>
      </w:pPr>
      <w:r>
        <w:rPr>
          <w:rFonts w:ascii="Times New Roman" w:hAnsi="Times New Roman"/>
          <w:b w:val="0"/>
          <w:i w:val="0"/>
          <w:color w:val="000000"/>
          <w:sz w:val="22"/>
        </w:rPr>
        <w:t>Interpretación analítica y de negocio: La matriz del Coseno Ajustado exhibe una dispersión angular real en el intervalo [-0.7507, +0.3360] con varianza σ² = 0.0942. Destaca la asociación positiva entre Servicios del Hogar y Seguro (+0.3360), reflejando que los clientes con disciplina en pagos domésticos tienden a mantener vigentes coberturas de seguro. En contraposición, la fuerte divergencia negativa entre Tarjeta de Débito y Préstamo (-0.7507) y entre Tarjeta y Hogar (-0.6001) refleja que el gasto corriente en cajeros compite con la capacidad de ahorro y amortización crediticia.</w:t>
      </w:r>
    </w:p>
    <w:p>
      <w:pPr>
        <w:spacing w:line="276" w:lineRule="auto" w:before="0" w:after="90"/>
        <w:jc w:val="both"/>
      </w:pPr>
      <w:r>
        <w:rPr>
          <w:rFonts w:ascii="Times New Roman" w:hAnsi="Times New Roman"/>
          <w:b w:val="0"/>
          <w:i w:val="0"/>
          <w:color w:val="000000"/>
          <w:sz w:val="22"/>
        </w:rPr>
        <w:t>Recomendación estratégica de producto: Utilizar el Coseno Ajustado para modular la agresividad de las campañas comerciales: evitar sugerir productos de amortización crediticia pesada a usuarios cuyo perfil esté dominado por retiros en cajero (divergencia de -0.7507), focalizando en su lugar microseguros de bajo impacto en saldo.</w:t>
      </w:r>
    </w:p>
    <w:p>
      <w:pPr>
        <w:keepNext/>
        <w:spacing w:before="120" w:after="40"/>
        <w:jc w:val="left"/>
      </w:pPr>
      <w:r>
        <w:rPr>
          <w:rFonts w:ascii="Times New Roman" w:hAnsi="Times New Roman"/>
          <w:b/>
          <w:i w:val="0"/>
          <w:color w:val="000000"/>
          <w:sz w:val="22"/>
        </w:rPr>
        <w:t>Modelo 1C: Correlación de Pearson sobre Ratings y Series Mensuales Diferenciadas</w:t>
      </w:r>
    </w:p>
    <w:p>
      <w:pPr>
        <w:spacing w:line="276" w:lineRule="auto" w:before="0" w:after="90"/>
        <w:jc w:val="both"/>
      </w:pPr>
      <w:r>
        <w:rPr>
          <w:rFonts w:ascii="Times New Roman" w:hAnsi="Times New Roman"/>
          <w:b w:val="0"/>
          <w:i w:val="0"/>
          <w:color w:val="000000"/>
          <w:sz w:val="22"/>
        </w:rPr>
        <w:t>Fundamento teórico y justificación de primeras diferencias: Al evaluar la asociación lineal mediante Pearson sobre las calificaciones implícitas directas (Tabla 7-A), los coeficientes resultan artificialmente inflados (+0.4993 a +0.9957) debido a la positividad de la escala y la tendencia de crecimiento de la base de clientes. Para aislar la sincronización de tesorería mensual genuina y eliminar tendencias no estacionarias, las series de flujos mensuales agregados (72 meses) se transformaron mediante primeras diferencias (Δx_t = x_t - x_{t-1}, 71 observaciones):</w:t>
      </w:r>
    </w:p>
    <w:p>
      <w:pPr>
        <w:keepNext/>
        <w:spacing w:before="80" w:after="80"/>
        <w:jc w:val="center"/>
      </w:pPr>
      <m:oMathPara>
        <m:oMath>
          <m:sSub>
            <m:e>
              <m:r>
                <m:t>r</m:t>
              </m:r>
            </m:e>
            <m:sub>
              <m:r>
                <m:rPr>
                  <m:nor/>
                </m:rPr>
                <m:t>temp</m:t>
              </m:r>
            </m:sub>
          </m:sSub>
          <m:r>
            <m:t>(ΔA,ΔB)=</m:t>
          </m:r>
          <m:f>
            <m:fPr>
              <m:type m:val="bar"/>
            </m:fPr>
            <m:num>
              <m:nary>
                <m:naryPr>
                  <m:chr m:val="∑"/>
                  <m:limLoc m:val="subSup"/>
                  <m:grow m:val="1"/>
                  <m:subHide m:val="off"/>
                  <m:supHide m:val="off"/>
                </m:naryPr>
                <m:sub>
                  <m:r>
                    <m:t>t=1</m:t>
                  </m:r>
                </m:sub>
                <m:sup>
                  <m:r>
                    <m:t>71</m:t>
                  </m:r>
                </m:sup>
                <m:e>
                  <m:r>
                    <m:t>(Δ</m:t>
                  </m:r>
                </m:e>
              </m:nary>
              <m:sSub>
                <m:e>
                  <m:r>
                    <m:t>A</m:t>
                  </m:r>
                </m:e>
                <m:sub>
                  <m:r>
                    <m:t>t</m:t>
                  </m:r>
                </m:sub>
              </m:sSub>
              <m:r>
                <m:t>−</m:t>
              </m:r>
              <m:acc>
                <m:accPr>
                  <m:chr m:val="―"/>
                </m:accPr>
                <m:e>
                  <m:r>
                    <m:t>ΔA</m:t>
                  </m:r>
                </m:e>
              </m:acc>
              <m:r>
                <m:t>)(Δ</m:t>
              </m:r>
              <m:sSub>
                <m:e>
                  <m:r>
                    <m:t>B</m:t>
                  </m:r>
                </m:e>
                <m:sub>
                  <m:r>
                    <m:t>t</m:t>
                  </m:r>
                </m:sub>
              </m:sSub>
              <m:r>
                <m:t>−</m:t>
              </m:r>
              <m:acc>
                <m:accPr>
                  <m:chr m:val="―"/>
                </m:accPr>
                <m:e>
                  <m:r>
                    <m:t>ΔB</m:t>
                  </m:r>
                </m:e>
              </m:acc>
              <m:r>
                <m:t>)</m:t>
              </m:r>
            </m:num>
            <m:den>
              <m:rad>
                <m:radPr>
                  <m:degHide m:val="on"/>
                </m:radPr>
                <m:deg/>
                <m:e>
                  <m:nary>
                    <m:naryPr>
                      <m:chr m:val="∑"/>
                      <m:limLoc m:val="subSup"/>
                      <m:grow m:val="1"/>
                      <m:subHide m:val="off"/>
                      <m:supHide m:val="off"/>
                    </m:naryPr>
                    <m:sub>
                      <m:r>
                        <m:t>t=1</m:t>
                      </m:r>
                    </m:sub>
                    <m:sup>
                      <m:r>
                        <m:t>71</m:t>
                      </m:r>
                    </m:sup>
                    <m:e>
                      <m:r>
                        <m:t>(Δ</m:t>
                      </m:r>
                    </m:e>
                  </m:nary>
                  <m:sSub>
                    <m:e>
                      <m:r>
                        <m:t>A</m:t>
                      </m:r>
                    </m:e>
                    <m:sub>
                      <m:r>
                        <m:t>t</m:t>
                      </m:r>
                    </m:sub>
                  </m:sSub>
                  <m:r>
                    <m:t>−</m:t>
                  </m:r>
                  <m:acc>
                    <m:accPr>
                      <m:chr m:val="―"/>
                    </m:accPr>
                    <m:e>
                      <m:r>
                        <m:t>ΔA</m:t>
                      </m:r>
                    </m:e>
                  </m:acc>
                  <m:sSup>
                    <m:e>
                      <m:r>
                        <m:t>)</m:t>
                      </m:r>
                    </m:e>
                    <m:sup>
                      <m:r>
                        <m:t>2</m:t>
                      </m:r>
                    </m:sup>
                  </m:sSup>
                </m:e>
              </m:rad>
              <m:r>
                <m:t>·</m:t>
              </m:r>
              <m:rad>
                <m:radPr>
                  <m:degHide m:val="on"/>
                </m:radPr>
                <m:deg/>
                <m:e>
                  <m:nary>
                    <m:naryPr>
                      <m:chr m:val="∑"/>
                      <m:limLoc m:val="subSup"/>
                      <m:grow m:val="1"/>
                      <m:subHide m:val="off"/>
                      <m:supHide m:val="off"/>
                    </m:naryPr>
                    <m:sub>
                      <m:r>
                        <m:t>t=1</m:t>
                      </m:r>
                    </m:sub>
                    <m:sup>
                      <m:r>
                        <m:t>71</m:t>
                      </m:r>
                    </m:sup>
                    <m:e>
                      <m:r>
                        <m:t>(Δ</m:t>
                      </m:r>
                    </m:e>
                  </m:nary>
                  <m:sSub>
                    <m:e>
                      <m:r>
                        <m:t>B</m:t>
                      </m:r>
                    </m:e>
                    <m:sub>
                      <m:r>
                        <m:t>t</m:t>
                      </m:r>
                    </m:sub>
                  </m:sSub>
                  <m:r>
                    <m:t>−</m:t>
                  </m:r>
                  <m:acc>
                    <m:accPr>
                      <m:chr m:val="―"/>
                    </m:accPr>
                    <m:e>
                      <m:r>
                        <m:t>ΔB</m:t>
                      </m:r>
                    </m:e>
                  </m:acc>
                  <m:sSup>
                    <m:e>
                      <m:r>
                        <m:t>)</m:t>
                      </m:r>
                    </m:e>
                    <m:sup>
                      <m:r>
                        <m:t>2</m:t>
                      </m:r>
                    </m:sup>
                  </m:sSup>
                </m:e>
              </m:rad>
            </m:den>
          </m:f>
        </m:oMath>
      </m:oMathPara>
    </w:p>
    <w:p>
      <w:pPr>
        <w:spacing w:line="276" w:lineRule="auto" w:before="0" w:after="90"/>
        <w:jc w:val="both"/>
      </w:pPr>
      <w:r>
        <w:rPr>
          <w:rFonts w:ascii="Times New Roman" w:hAnsi="Times New Roman"/>
          <w:b w:val="0"/>
          <w:i w:val="0"/>
          <w:color w:val="000000"/>
          <w:sz w:val="22"/>
        </w:rPr>
        <w:t>Fundamento econométrico de estacionariedad: En series de tiempo financieras, los volúmenes transaccionales acumulados exhiben tendencias deterministas y estocásticas de orden de integración I(1). Aplicar correlación sobre series no estacionarias genera el fenómeno clásico de correlación espuria (Granger &amp; Newbold, 1974), donde dos variables independientes aparentan estar vinculadas debido a una tendencia de fondo compartida. El operador de primera diferencia Δx_t induce estacionariedad I(0), asegurando que la correlación capture covariaciones genuinas de liquidez mes a mes.</w:t>
      </w:r>
    </w:p>
    <w:p>
      <w:pPr>
        <w:spacing w:line="276" w:lineRule="auto" w:before="0" w:after="90"/>
        <w:jc w:val="both"/>
      </w:pPr>
      <w:r>
        <w:rPr>
          <w:rFonts w:ascii="Times New Roman" w:hAnsi="Times New Roman"/>
          <w:b w:val="0"/>
          <w:i w:val="0"/>
          <w:color w:val="000000"/>
          <w:sz w:val="22"/>
        </w:rPr>
        <w:t>La Tabla 7-A expone la matriz de correlación de Pearson sobre calificaciones implícitas de clientes, mientras que la Tabla 7-B expone la correlación sobre series mensuales diferenciadas:</w:t>
      </w:r>
    </w:p>
    <w:p>
      <w:pPr>
        <w:keepNext/>
        <w:spacing w:before="200" w:after="80"/>
        <w:jc w:val="center"/>
      </w:pPr>
      <w:r>
        <w:rPr>
          <w:rFonts w:ascii="Times New Roman" w:hAnsi="Times New Roman"/>
          <w:b/>
          <w:i w:val="0"/>
          <w:color w:val="000000"/>
          <w:sz w:val="21"/>
        </w:rPr>
        <w:t>Tabla 7</w:t>
      </w:r>
      <w:r>
        <w:rPr>
          <w:rFonts w:ascii="Times New Roman" w:hAnsi="Times New Roman"/>
          <w:sz w:val="21"/>
        </w:rPr>
        <w:t>-A: Correlación de Pearson Ítem-a-Ítem sobre Calificaciones Implícitas (df_transacciones).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466"/>
        <w:gridCol w:w="1466"/>
        <w:gridCol w:w="1466"/>
        <w:gridCol w:w="1466"/>
        <w:gridCol w:w="1466"/>
        <w:gridCol w:w="1466"/>
      </w:tblGrid>
      <w:tr>
        <w:trPr>
          <w:tblHeader/>
          <w:cantSplit/>
        </w:trPr>
        <w:tc>
          <w:tcPr>
            <w:tcW w:type="dxa" w:w="2361"/>
            <w:vAlign w:val="center"/>
            <w:tcBorders>
              <w:bottom w:val="single" w:sz="6" w:space="0" w:color="000000"/>
            </w:tcBorders>
          </w:tcPr>
          <w:p>
            <w:pPr>
              <w:spacing w:before="0" w:after="0" w:line="252" w:lineRule="auto"/>
              <w:jc w:val="center"/>
            </w:pPr>
            <w:r>
              <w:rPr>
                <w:rFonts w:ascii="Times New Roman" w:hAnsi="Times New Roman"/>
                <w:b/>
                <w:i w:val="0"/>
                <w:color w:val="000000"/>
                <w:sz w:val="17"/>
              </w:rPr>
              <w:t>Producto (Ratings Implícitos)</w:t>
            </w:r>
          </w:p>
        </w:tc>
        <w:tc>
          <w:tcPr>
            <w:tcW w:type="dxa" w:w="1022"/>
            <w:vAlign w:val="center"/>
            <w:tcBorders>
              <w:bottom w:val="single" w:sz="6" w:space="0" w:color="000000"/>
            </w:tcBorders>
          </w:tcPr>
          <w:p>
            <w:pPr>
              <w:spacing w:before="0" w:after="0" w:line="252" w:lineRule="auto"/>
              <w:jc w:val="center"/>
            </w:pPr>
            <w:r>
              <w:rPr>
                <w:rFonts w:ascii="Times New Roman" w:hAnsi="Times New Roman"/>
                <w:b/>
                <w:i w:val="0"/>
                <w:color w:val="000000"/>
                <w:sz w:val="17"/>
              </w:rPr>
              <w:t>PRESTAMO</w:t>
            </w:r>
          </w:p>
        </w:tc>
        <w:tc>
          <w:tcPr>
            <w:tcW w:type="dxa" w:w="937"/>
            <w:vAlign w:val="center"/>
            <w:tcBorders>
              <w:bottom w:val="single" w:sz="6" w:space="0" w:color="000000"/>
            </w:tcBorders>
          </w:tcPr>
          <w:p>
            <w:pPr>
              <w:spacing w:before="0" w:after="0" w:line="252" w:lineRule="auto"/>
              <w:jc w:val="center"/>
            </w:pPr>
            <w:r>
              <w:rPr>
                <w:rFonts w:ascii="Times New Roman" w:hAnsi="Times New Roman"/>
                <w:b/>
                <w:i w:val="0"/>
                <w:color w:val="000000"/>
                <w:sz w:val="17"/>
              </w:rPr>
              <w:t>SEGURO</w:t>
            </w:r>
          </w:p>
        </w:tc>
        <w:tc>
          <w:tcPr>
            <w:tcW w:type="dxa" w:w="1538"/>
            <w:vAlign w:val="center"/>
            <w:tcBorders>
              <w:bottom w:val="single" w:sz="6" w:space="0" w:color="000000"/>
            </w:tcBorders>
          </w:tcPr>
          <w:p>
            <w:pPr>
              <w:spacing w:before="0" w:after="0" w:line="252" w:lineRule="auto"/>
              <w:jc w:val="center"/>
            </w:pPr>
            <w:r>
              <w:rPr>
                <w:rFonts w:ascii="Times New Roman" w:hAnsi="Times New Roman"/>
                <w:b/>
                <w:i w:val="0"/>
                <w:color w:val="000000"/>
                <w:sz w:val="17"/>
              </w:rPr>
              <w:t>SERVICIOS_HOGAR</w:t>
            </w:r>
          </w:p>
        </w:tc>
        <w:tc>
          <w:tcPr>
            <w:tcW w:type="dxa" w:w="1470"/>
            <w:vAlign w:val="center"/>
            <w:tcBorders>
              <w:bottom w:val="single" w:sz="6" w:space="0" w:color="000000"/>
            </w:tcBorders>
          </w:tcPr>
          <w:p>
            <w:pPr>
              <w:spacing w:before="0" w:after="0" w:line="252" w:lineRule="auto"/>
              <w:jc w:val="center"/>
            </w:pPr>
            <w:r>
              <w:rPr>
                <w:rFonts w:ascii="Times New Roman" w:hAnsi="Times New Roman"/>
                <w:b/>
                <w:i w:val="0"/>
                <w:color w:val="000000"/>
                <w:sz w:val="17"/>
              </w:rPr>
              <w:t>TARJETA_DEBITO</w:t>
            </w:r>
          </w:p>
        </w:tc>
        <w:tc>
          <w:tcPr>
            <w:tcW w:type="dxa" w:w="1470"/>
            <w:vAlign w:val="center"/>
            <w:tcBorders>
              <w:bottom w:val="single" w:sz="6" w:space="0" w:color="000000"/>
            </w:tcBorders>
          </w:tcPr>
          <w:p>
            <w:pPr>
              <w:spacing w:before="0" w:after="0" w:line="252" w:lineRule="auto"/>
              <w:jc w:val="center"/>
            </w:pPr>
            <w:r>
              <w:rPr>
                <w:rFonts w:ascii="Times New Roman" w:hAnsi="Times New Roman"/>
                <w:b/>
                <w:i w:val="0"/>
                <w:color w:val="000000"/>
                <w:sz w:val="17"/>
              </w:rPr>
              <w:t>TRANSF_EXTERNA</w:t>
            </w:r>
          </w:p>
        </w:tc>
      </w:tr>
      <w:tr>
        <w:trPr>
          <w:cantSplit/>
        </w:trPr>
        <w:tc>
          <w:tcPr>
            <w:tcW w:type="dxa" w:w="2361"/>
            <w:vAlign w:val="center"/>
          </w:tcPr>
          <w:p>
            <w:pPr>
              <w:spacing w:before="0" w:after="0" w:line="252" w:lineRule="auto"/>
              <w:jc w:val="left"/>
            </w:pPr>
            <w:r>
              <w:rPr>
                <w:rFonts w:ascii="Times New Roman" w:hAnsi="Times New Roman"/>
                <w:b w:val="0"/>
                <w:i w:val="0"/>
                <w:color w:val="000000"/>
                <w:sz w:val="17"/>
              </w:rPr>
              <w:t>PRESTAMO</w:t>
            </w:r>
          </w:p>
        </w:tc>
        <w:tc>
          <w:tcPr>
            <w:tcW w:type="dxa" w:w="1022"/>
            <w:vAlign w:val="center"/>
          </w:tcPr>
          <w:p>
            <w:pPr>
              <w:spacing w:before="0" w:after="0" w:line="252" w:lineRule="auto"/>
              <w:jc w:val="center"/>
            </w:pPr>
            <w:r>
              <w:rPr>
                <w:rFonts w:ascii="Times New Roman" w:hAnsi="Times New Roman"/>
                <w:b w:val="0"/>
                <w:i w:val="0"/>
                <w:color w:val="000000"/>
                <w:sz w:val="17"/>
              </w:rPr>
              <w:t>1.0000</w:t>
            </w:r>
          </w:p>
        </w:tc>
        <w:tc>
          <w:tcPr>
            <w:tcW w:type="dxa" w:w="937"/>
            <w:vAlign w:val="center"/>
          </w:tcPr>
          <w:p>
            <w:pPr>
              <w:spacing w:before="0" w:after="0" w:line="252" w:lineRule="auto"/>
              <w:jc w:val="center"/>
            </w:pPr>
            <w:r>
              <w:rPr>
                <w:rFonts w:ascii="Times New Roman" w:hAnsi="Times New Roman"/>
                <w:b w:val="0"/>
                <w:i w:val="0"/>
                <w:color w:val="000000"/>
                <w:sz w:val="17"/>
              </w:rPr>
              <w:t>+0.7061</w:t>
            </w:r>
          </w:p>
        </w:tc>
        <w:tc>
          <w:tcPr>
            <w:tcW w:type="dxa" w:w="1538"/>
            <w:vAlign w:val="center"/>
          </w:tcPr>
          <w:p>
            <w:pPr>
              <w:spacing w:before="0" w:after="0" w:line="252" w:lineRule="auto"/>
              <w:jc w:val="center"/>
            </w:pPr>
            <w:r>
              <w:rPr>
                <w:rFonts w:ascii="Times New Roman" w:hAnsi="Times New Roman"/>
                <w:b w:val="0"/>
                <w:i w:val="0"/>
                <w:color w:val="000000"/>
                <w:sz w:val="17"/>
              </w:rPr>
              <w:t>+0.7113</w:t>
            </w:r>
          </w:p>
        </w:tc>
        <w:tc>
          <w:tcPr>
            <w:tcW w:type="dxa" w:w="1470"/>
            <w:vAlign w:val="center"/>
          </w:tcPr>
          <w:p>
            <w:pPr>
              <w:spacing w:before="0" w:after="0" w:line="252" w:lineRule="auto"/>
              <w:jc w:val="center"/>
            </w:pPr>
            <w:r>
              <w:rPr>
                <w:rFonts w:ascii="Times New Roman" w:hAnsi="Times New Roman"/>
                <w:b w:val="0"/>
                <w:i w:val="0"/>
                <w:color w:val="000000"/>
                <w:sz w:val="17"/>
              </w:rPr>
              <w:t>+0.4993</w:t>
            </w:r>
          </w:p>
        </w:tc>
        <w:tc>
          <w:tcPr>
            <w:tcW w:type="dxa" w:w="1470"/>
            <w:vAlign w:val="center"/>
          </w:tcPr>
          <w:p>
            <w:pPr>
              <w:spacing w:before="0" w:after="0" w:line="252" w:lineRule="auto"/>
              <w:jc w:val="center"/>
            </w:pPr>
            <w:r>
              <w:rPr>
                <w:rFonts w:ascii="Times New Roman" w:hAnsi="Times New Roman"/>
                <w:b w:val="0"/>
                <w:i w:val="0"/>
                <w:color w:val="000000"/>
                <w:sz w:val="17"/>
              </w:rPr>
              <w:t>+0.5903</w:t>
            </w:r>
          </w:p>
        </w:tc>
      </w:tr>
      <w:tr>
        <w:trPr>
          <w:cantSplit/>
        </w:trPr>
        <w:tc>
          <w:tcPr>
            <w:tcW w:type="dxa" w:w="2361"/>
            <w:vAlign w:val="center"/>
          </w:tcPr>
          <w:p>
            <w:pPr>
              <w:spacing w:before="0" w:after="0" w:line="252" w:lineRule="auto"/>
              <w:jc w:val="left"/>
            </w:pPr>
            <w:r>
              <w:rPr>
                <w:rFonts w:ascii="Times New Roman" w:hAnsi="Times New Roman"/>
                <w:b w:val="0"/>
                <w:i w:val="0"/>
                <w:color w:val="000000"/>
                <w:sz w:val="17"/>
              </w:rPr>
              <w:t>SEGURO</w:t>
            </w:r>
          </w:p>
        </w:tc>
        <w:tc>
          <w:tcPr>
            <w:tcW w:type="dxa" w:w="1022"/>
            <w:vAlign w:val="center"/>
          </w:tcPr>
          <w:p>
            <w:pPr>
              <w:spacing w:before="0" w:after="0" w:line="252" w:lineRule="auto"/>
              <w:jc w:val="center"/>
            </w:pPr>
            <w:r>
              <w:rPr>
                <w:rFonts w:ascii="Times New Roman" w:hAnsi="Times New Roman"/>
                <w:b w:val="0"/>
                <w:i w:val="0"/>
                <w:color w:val="000000"/>
                <w:sz w:val="17"/>
              </w:rPr>
              <w:t>+0.7061</w:t>
            </w:r>
          </w:p>
        </w:tc>
        <w:tc>
          <w:tcPr>
            <w:tcW w:type="dxa" w:w="937"/>
            <w:vAlign w:val="center"/>
          </w:tcPr>
          <w:p>
            <w:pPr>
              <w:spacing w:before="0" w:after="0" w:line="252" w:lineRule="auto"/>
              <w:jc w:val="center"/>
            </w:pPr>
            <w:r>
              <w:rPr>
                <w:rFonts w:ascii="Times New Roman" w:hAnsi="Times New Roman"/>
                <w:b w:val="0"/>
                <w:i w:val="0"/>
                <w:color w:val="000000"/>
                <w:sz w:val="17"/>
              </w:rPr>
              <w:t>1.0000</w:t>
            </w:r>
          </w:p>
        </w:tc>
        <w:tc>
          <w:tcPr>
            <w:tcW w:type="dxa" w:w="1538"/>
            <w:vAlign w:val="center"/>
          </w:tcPr>
          <w:p>
            <w:pPr>
              <w:spacing w:before="0" w:after="0" w:line="252" w:lineRule="auto"/>
              <w:jc w:val="center"/>
            </w:pPr>
            <w:r>
              <w:rPr>
                <w:rFonts w:ascii="Times New Roman" w:hAnsi="Times New Roman"/>
                <w:b w:val="0"/>
                <w:i w:val="0"/>
                <w:color w:val="000000"/>
                <w:sz w:val="17"/>
              </w:rPr>
              <w:t>+0.9957</w:t>
            </w:r>
          </w:p>
        </w:tc>
        <w:tc>
          <w:tcPr>
            <w:tcW w:type="dxa" w:w="1470"/>
            <w:vAlign w:val="center"/>
          </w:tcPr>
          <w:p>
            <w:pPr>
              <w:spacing w:before="0" w:after="0" w:line="252" w:lineRule="auto"/>
              <w:jc w:val="center"/>
            </w:pPr>
            <w:r>
              <w:rPr>
                <w:rFonts w:ascii="Times New Roman" w:hAnsi="Times New Roman"/>
                <w:b w:val="0"/>
                <w:i w:val="0"/>
                <w:color w:val="000000"/>
                <w:sz w:val="17"/>
              </w:rPr>
              <w:t>+0.8566</w:t>
            </w:r>
          </w:p>
        </w:tc>
        <w:tc>
          <w:tcPr>
            <w:tcW w:type="dxa" w:w="1470"/>
            <w:vAlign w:val="center"/>
          </w:tcPr>
          <w:p>
            <w:pPr>
              <w:spacing w:before="0" w:after="0" w:line="252" w:lineRule="auto"/>
              <w:jc w:val="center"/>
            </w:pPr>
            <w:r>
              <w:rPr>
                <w:rFonts w:ascii="Times New Roman" w:hAnsi="Times New Roman"/>
                <w:b w:val="0"/>
                <w:i w:val="0"/>
                <w:color w:val="000000"/>
                <w:sz w:val="17"/>
              </w:rPr>
              <w:t>+0.8764</w:t>
            </w:r>
          </w:p>
        </w:tc>
      </w:tr>
      <w:tr>
        <w:trPr>
          <w:cantSplit/>
        </w:trPr>
        <w:tc>
          <w:tcPr>
            <w:tcW w:type="dxa" w:w="2361"/>
            <w:vAlign w:val="center"/>
          </w:tcPr>
          <w:p>
            <w:pPr>
              <w:spacing w:before="0" w:after="0" w:line="252" w:lineRule="auto"/>
              <w:jc w:val="left"/>
            </w:pPr>
            <w:r>
              <w:rPr>
                <w:rFonts w:ascii="Times New Roman" w:hAnsi="Times New Roman"/>
                <w:b w:val="0"/>
                <w:i w:val="0"/>
                <w:color w:val="000000"/>
                <w:sz w:val="17"/>
              </w:rPr>
              <w:t>SERVICIOS_HOGAR</w:t>
            </w:r>
          </w:p>
        </w:tc>
        <w:tc>
          <w:tcPr>
            <w:tcW w:type="dxa" w:w="1022"/>
            <w:vAlign w:val="center"/>
          </w:tcPr>
          <w:p>
            <w:pPr>
              <w:spacing w:before="0" w:after="0" w:line="252" w:lineRule="auto"/>
              <w:jc w:val="center"/>
            </w:pPr>
            <w:r>
              <w:rPr>
                <w:rFonts w:ascii="Times New Roman" w:hAnsi="Times New Roman"/>
                <w:b w:val="0"/>
                <w:i w:val="0"/>
                <w:color w:val="000000"/>
                <w:sz w:val="17"/>
              </w:rPr>
              <w:t>+0.7113</w:t>
            </w:r>
          </w:p>
        </w:tc>
        <w:tc>
          <w:tcPr>
            <w:tcW w:type="dxa" w:w="937"/>
            <w:vAlign w:val="center"/>
          </w:tcPr>
          <w:p>
            <w:pPr>
              <w:spacing w:before="0" w:after="0" w:line="252" w:lineRule="auto"/>
              <w:jc w:val="center"/>
            </w:pPr>
            <w:r>
              <w:rPr>
                <w:rFonts w:ascii="Times New Roman" w:hAnsi="Times New Roman"/>
                <w:b w:val="0"/>
                <w:i w:val="0"/>
                <w:color w:val="000000"/>
                <w:sz w:val="17"/>
              </w:rPr>
              <w:t>+0.9957</w:t>
            </w:r>
          </w:p>
        </w:tc>
        <w:tc>
          <w:tcPr>
            <w:tcW w:type="dxa" w:w="1538"/>
            <w:vAlign w:val="center"/>
          </w:tcPr>
          <w:p>
            <w:pPr>
              <w:spacing w:before="0" w:after="0" w:line="252" w:lineRule="auto"/>
              <w:jc w:val="center"/>
            </w:pPr>
            <w:r>
              <w:rPr>
                <w:rFonts w:ascii="Times New Roman" w:hAnsi="Times New Roman"/>
                <w:b w:val="0"/>
                <w:i w:val="0"/>
                <w:color w:val="000000"/>
                <w:sz w:val="17"/>
              </w:rPr>
              <w:t>1.0000</w:t>
            </w:r>
          </w:p>
        </w:tc>
        <w:tc>
          <w:tcPr>
            <w:tcW w:type="dxa" w:w="1470"/>
            <w:vAlign w:val="center"/>
          </w:tcPr>
          <w:p>
            <w:pPr>
              <w:spacing w:before="0" w:after="0" w:line="252" w:lineRule="auto"/>
              <w:jc w:val="center"/>
            </w:pPr>
            <w:r>
              <w:rPr>
                <w:rFonts w:ascii="Times New Roman" w:hAnsi="Times New Roman"/>
                <w:b w:val="0"/>
                <w:i w:val="0"/>
                <w:color w:val="000000"/>
                <w:sz w:val="17"/>
              </w:rPr>
              <w:t>+0.8022</w:t>
            </w:r>
          </w:p>
        </w:tc>
        <w:tc>
          <w:tcPr>
            <w:tcW w:type="dxa" w:w="1470"/>
            <w:vAlign w:val="center"/>
          </w:tcPr>
          <w:p>
            <w:pPr>
              <w:spacing w:before="0" w:after="0" w:line="252" w:lineRule="auto"/>
              <w:jc w:val="center"/>
            </w:pPr>
            <w:r>
              <w:rPr>
                <w:rFonts w:ascii="Times New Roman" w:hAnsi="Times New Roman"/>
                <w:b w:val="0"/>
                <w:i w:val="0"/>
                <w:color w:val="000000"/>
                <w:sz w:val="17"/>
              </w:rPr>
              <w:t>+0.9155</w:t>
            </w:r>
          </w:p>
        </w:tc>
      </w:tr>
      <w:tr>
        <w:trPr>
          <w:cantSplit/>
        </w:trPr>
        <w:tc>
          <w:tcPr>
            <w:tcW w:type="dxa" w:w="2361"/>
            <w:vAlign w:val="center"/>
          </w:tcPr>
          <w:p>
            <w:pPr>
              <w:spacing w:before="0" w:after="0" w:line="252" w:lineRule="auto"/>
              <w:jc w:val="left"/>
            </w:pPr>
            <w:r>
              <w:rPr>
                <w:rFonts w:ascii="Times New Roman" w:hAnsi="Times New Roman"/>
                <w:b w:val="0"/>
                <w:i w:val="0"/>
                <w:color w:val="000000"/>
                <w:sz w:val="17"/>
              </w:rPr>
              <w:t>TARJETA_DEBITO</w:t>
            </w:r>
          </w:p>
        </w:tc>
        <w:tc>
          <w:tcPr>
            <w:tcW w:type="dxa" w:w="1022"/>
            <w:vAlign w:val="center"/>
          </w:tcPr>
          <w:p>
            <w:pPr>
              <w:spacing w:before="0" w:after="0" w:line="252" w:lineRule="auto"/>
              <w:jc w:val="center"/>
            </w:pPr>
            <w:r>
              <w:rPr>
                <w:rFonts w:ascii="Times New Roman" w:hAnsi="Times New Roman"/>
                <w:b w:val="0"/>
                <w:i w:val="0"/>
                <w:color w:val="000000"/>
                <w:sz w:val="17"/>
              </w:rPr>
              <w:t>+0.4993</w:t>
            </w:r>
          </w:p>
        </w:tc>
        <w:tc>
          <w:tcPr>
            <w:tcW w:type="dxa" w:w="937"/>
            <w:vAlign w:val="center"/>
          </w:tcPr>
          <w:p>
            <w:pPr>
              <w:spacing w:before="0" w:after="0" w:line="252" w:lineRule="auto"/>
              <w:jc w:val="center"/>
            </w:pPr>
            <w:r>
              <w:rPr>
                <w:rFonts w:ascii="Times New Roman" w:hAnsi="Times New Roman"/>
                <w:b w:val="0"/>
                <w:i w:val="0"/>
                <w:color w:val="000000"/>
                <w:sz w:val="17"/>
              </w:rPr>
              <w:t>+0.8566</w:t>
            </w:r>
          </w:p>
        </w:tc>
        <w:tc>
          <w:tcPr>
            <w:tcW w:type="dxa" w:w="1538"/>
            <w:vAlign w:val="center"/>
          </w:tcPr>
          <w:p>
            <w:pPr>
              <w:spacing w:before="0" w:after="0" w:line="252" w:lineRule="auto"/>
              <w:jc w:val="center"/>
            </w:pPr>
            <w:r>
              <w:rPr>
                <w:rFonts w:ascii="Times New Roman" w:hAnsi="Times New Roman"/>
                <w:b w:val="0"/>
                <w:i w:val="0"/>
                <w:color w:val="000000"/>
                <w:sz w:val="17"/>
              </w:rPr>
              <w:t>+0.8022</w:t>
            </w:r>
          </w:p>
        </w:tc>
        <w:tc>
          <w:tcPr>
            <w:tcW w:type="dxa" w:w="1470"/>
            <w:vAlign w:val="center"/>
          </w:tcPr>
          <w:p>
            <w:pPr>
              <w:spacing w:before="0" w:after="0" w:line="252" w:lineRule="auto"/>
              <w:jc w:val="center"/>
            </w:pPr>
            <w:r>
              <w:rPr>
                <w:rFonts w:ascii="Times New Roman" w:hAnsi="Times New Roman"/>
                <w:b w:val="0"/>
                <w:i w:val="0"/>
                <w:color w:val="000000"/>
                <w:sz w:val="17"/>
              </w:rPr>
              <w:t>1.0000</w:t>
            </w:r>
          </w:p>
        </w:tc>
        <w:tc>
          <w:tcPr>
            <w:tcW w:type="dxa" w:w="1470"/>
            <w:vAlign w:val="center"/>
          </w:tcPr>
          <w:p>
            <w:pPr>
              <w:spacing w:before="0" w:after="0" w:line="252" w:lineRule="auto"/>
              <w:jc w:val="center"/>
            </w:pPr>
            <w:r>
              <w:rPr>
                <w:rFonts w:ascii="Times New Roman" w:hAnsi="Times New Roman"/>
                <w:b w:val="0"/>
                <w:i w:val="0"/>
                <w:color w:val="000000"/>
                <w:sz w:val="17"/>
              </w:rPr>
              <w:t>+0.8075</w:t>
            </w:r>
          </w:p>
        </w:tc>
      </w:tr>
      <w:tr>
        <w:trPr>
          <w:cantSplit/>
        </w:trPr>
        <w:tc>
          <w:tcPr>
            <w:tcW w:type="dxa" w:w="2361"/>
            <w:vAlign w:val="center"/>
          </w:tcPr>
          <w:p>
            <w:pPr>
              <w:spacing w:before="0" w:after="0" w:line="252" w:lineRule="auto"/>
              <w:jc w:val="left"/>
            </w:pPr>
            <w:r>
              <w:rPr>
                <w:rFonts w:ascii="Times New Roman" w:hAnsi="Times New Roman"/>
                <w:b w:val="0"/>
                <w:i w:val="0"/>
                <w:color w:val="000000"/>
                <w:sz w:val="17"/>
              </w:rPr>
              <w:t>TRANSF_EXTERNA</w:t>
            </w:r>
          </w:p>
        </w:tc>
        <w:tc>
          <w:tcPr>
            <w:tcW w:type="dxa" w:w="1022"/>
            <w:vAlign w:val="center"/>
          </w:tcPr>
          <w:p>
            <w:pPr>
              <w:spacing w:before="0" w:after="0" w:line="252" w:lineRule="auto"/>
              <w:jc w:val="center"/>
            </w:pPr>
            <w:r>
              <w:rPr>
                <w:rFonts w:ascii="Times New Roman" w:hAnsi="Times New Roman"/>
                <w:b w:val="0"/>
                <w:i w:val="0"/>
                <w:color w:val="000000"/>
                <w:sz w:val="17"/>
              </w:rPr>
              <w:t>+0.5903</w:t>
            </w:r>
          </w:p>
        </w:tc>
        <w:tc>
          <w:tcPr>
            <w:tcW w:type="dxa" w:w="937"/>
            <w:vAlign w:val="center"/>
          </w:tcPr>
          <w:p>
            <w:pPr>
              <w:spacing w:before="0" w:after="0" w:line="252" w:lineRule="auto"/>
              <w:jc w:val="center"/>
            </w:pPr>
            <w:r>
              <w:rPr>
                <w:rFonts w:ascii="Times New Roman" w:hAnsi="Times New Roman"/>
                <w:b w:val="0"/>
                <w:i w:val="0"/>
                <w:color w:val="000000"/>
                <w:sz w:val="17"/>
              </w:rPr>
              <w:t>+0.8764</w:t>
            </w:r>
          </w:p>
        </w:tc>
        <w:tc>
          <w:tcPr>
            <w:tcW w:type="dxa" w:w="1538"/>
            <w:vAlign w:val="center"/>
          </w:tcPr>
          <w:p>
            <w:pPr>
              <w:spacing w:before="0" w:after="0" w:line="252" w:lineRule="auto"/>
              <w:jc w:val="center"/>
            </w:pPr>
            <w:r>
              <w:rPr>
                <w:rFonts w:ascii="Times New Roman" w:hAnsi="Times New Roman"/>
                <w:b w:val="0"/>
                <w:i w:val="0"/>
                <w:color w:val="000000"/>
                <w:sz w:val="17"/>
              </w:rPr>
              <w:t>+0.9155</w:t>
            </w:r>
          </w:p>
        </w:tc>
        <w:tc>
          <w:tcPr>
            <w:tcW w:type="dxa" w:w="1470"/>
            <w:vAlign w:val="center"/>
          </w:tcPr>
          <w:p>
            <w:pPr>
              <w:spacing w:before="0" w:after="0" w:line="252" w:lineRule="auto"/>
              <w:jc w:val="center"/>
            </w:pPr>
            <w:r>
              <w:rPr>
                <w:rFonts w:ascii="Times New Roman" w:hAnsi="Times New Roman"/>
                <w:b w:val="0"/>
                <w:i w:val="0"/>
                <w:color w:val="000000"/>
                <w:sz w:val="17"/>
              </w:rPr>
              <w:t>+0.8075</w:t>
            </w:r>
          </w:p>
        </w:tc>
        <w:tc>
          <w:tcPr>
            <w:tcW w:type="dxa" w:w="1470"/>
            <w:vAlign w:val="center"/>
          </w:tcPr>
          <w:p>
            <w:pPr>
              <w:spacing w:before="0" w:after="0" w:line="252" w:lineRule="auto"/>
              <w:jc w:val="center"/>
            </w:pPr>
            <w:r>
              <w:rPr>
                <w:rFonts w:ascii="Times New Roman" w:hAnsi="Times New Roman"/>
                <w:b w:val="0"/>
                <w:i w:val="0"/>
                <w:color w:val="000000"/>
                <w:sz w:val="17"/>
              </w:rPr>
              <w:t>1.0000</w:t>
            </w:r>
          </w:p>
        </w:tc>
      </w:tr>
    </w:tbl>
    <w:p>
      <w:pPr>
        <w:spacing w:before="0" w:after="120"/>
      </w:pPr>
    </w:p>
    <w:p>
      <w:pPr>
        <w:keepNext/>
        <w:spacing w:before="200" w:after="80"/>
        <w:jc w:val="center"/>
      </w:pPr>
      <w:r>
        <w:rPr>
          <w:rFonts w:ascii="Times New Roman" w:hAnsi="Times New Roman"/>
          <w:b/>
          <w:i w:val="0"/>
          <w:color w:val="000000"/>
          <w:sz w:val="21"/>
        </w:rPr>
        <w:t>Tabla 7</w:t>
      </w:r>
      <w:r>
        <w:rPr>
          <w:rFonts w:ascii="Times New Roman" w:hAnsi="Times New Roman"/>
          <w:sz w:val="21"/>
        </w:rPr>
        <w:t>-B: Matriz de Correlación de Pearson sobre Series Mensuales Diferenciadas (df_transacciones).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466"/>
        <w:gridCol w:w="1466"/>
        <w:gridCol w:w="1466"/>
        <w:gridCol w:w="1466"/>
        <w:gridCol w:w="1466"/>
        <w:gridCol w:w="1466"/>
      </w:tblGrid>
      <w:tr>
        <w:trPr>
          <w:tblHeader/>
          <w:cantSplit/>
        </w:trPr>
        <w:tc>
          <w:tcPr>
            <w:tcW w:type="dxa" w:w="2240"/>
            <w:vAlign w:val="center"/>
            <w:tcBorders>
              <w:bottom w:val="single" w:sz="6" w:space="0" w:color="000000"/>
            </w:tcBorders>
          </w:tcPr>
          <w:p>
            <w:pPr>
              <w:spacing w:before="0" w:after="0" w:line="252" w:lineRule="auto"/>
              <w:jc w:val="center"/>
            </w:pPr>
            <w:r>
              <w:rPr>
                <w:rFonts w:ascii="Times New Roman" w:hAnsi="Times New Roman"/>
                <w:b/>
                <w:i w:val="0"/>
                <w:color w:val="000000"/>
                <w:sz w:val="17"/>
              </w:rPr>
              <w:t>Flujo Mensual Diferenciado</w:t>
            </w:r>
          </w:p>
        </w:tc>
        <w:tc>
          <w:tcPr>
            <w:tcW w:type="dxa" w:w="1041"/>
            <w:vAlign w:val="center"/>
            <w:tcBorders>
              <w:bottom w:val="single" w:sz="6" w:space="0" w:color="000000"/>
            </w:tcBorders>
          </w:tcPr>
          <w:p>
            <w:pPr>
              <w:spacing w:before="0" w:after="0" w:line="252" w:lineRule="auto"/>
              <w:jc w:val="center"/>
            </w:pPr>
            <w:r>
              <w:rPr>
                <w:rFonts w:ascii="Times New Roman" w:hAnsi="Times New Roman"/>
                <w:b/>
                <w:i w:val="0"/>
                <w:color w:val="000000"/>
                <w:sz w:val="17"/>
              </w:rPr>
              <w:t>PRESTAMO</w:t>
            </w:r>
          </w:p>
        </w:tc>
        <w:tc>
          <w:tcPr>
            <w:tcW w:type="dxa" w:w="955"/>
            <w:vAlign w:val="center"/>
            <w:tcBorders>
              <w:bottom w:val="single" w:sz="6" w:space="0" w:color="000000"/>
            </w:tcBorders>
          </w:tcPr>
          <w:p>
            <w:pPr>
              <w:spacing w:before="0" w:after="0" w:line="252" w:lineRule="auto"/>
              <w:jc w:val="center"/>
            </w:pPr>
            <w:r>
              <w:rPr>
                <w:rFonts w:ascii="Times New Roman" w:hAnsi="Times New Roman"/>
                <w:b/>
                <w:i w:val="0"/>
                <w:color w:val="000000"/>
                <w:sz w:val="17"/>
              </w:rPr>
              <w:t>SEGURO</w:t>
            </w:r>
          </w:p>
        </w:tc>
        <w:tc>
          <w:tcPr>
            <w:tcW w:type="dxa" w:w="1567"/>
            <w:vAlign w:val="center"/>
            <w:tcBorders>
              <w:bottom w:val="single" w:sz="6" w:space="0" w:color="000000"/>
            </w:tcBorders>
          </w:tcPr>
          <w:p>
            <w:pPr>
              <w:spacing w:before="0" w:after="0" w:line="252" w:lineRule="auto"/>
              <w:jc w:val="center"/>
            </w:pPr>
            <w:r>
              <w:rPr>
                <w:rFonts w:ascii="Times New Roman" w:hAnsi="Times New Roman"/>
                <w:b/>
                <w:i w:val="0"/>
                <w:color w:val="000000"/>
                <w:sz w:val="17"/>
              </w:rPr>
              <w:t>SERVICIOS_HOGAR</w:t>
            </w:r>
          </w:p>
        </w:tc>
        <w:tc>
          <w:tcPr>
            <w:tcW w:type="dxa" w:w="1498"/>
            <w:vAlign w:val="center"/>
            <w:tcBorders>
              <w:bottom w:val="single" w:sz="6" w:space="0" w:color="000000"/>
            </w:tcBorders>
          </w:tcPr>
          <w:p>
            <w:pPr>
              <w:spacing w:before="0" w:after="0" w:line="252" w:lineRule="auto"/>
              <w:jc w:val="center"/>
            </w:pPr>
            <w:r>
              <w:rPr>
                <w:rFonts w:ascii="Times New Roman" w:hAnsi="Times New Roman"/>
                <w:b/>
                <w:i w:val="0"/>
                <w:color w:val="000000"/>
                <w:sz w:val="17"/>
              </w:rPr>
              <w:t>TARJETA_DEBITO</w:t>
            </w:r>
          </w:p>
        </w:tc>
        <w:tc>
          <w:tcPr>
            <w:tcW w:type="dxa" w:w="1498"/>
            <w:vAlign w:val="center"/>
            <w:tcBorders>
              <w:bottom w:val="single" w:sz="6" w:space="0" w:color="000000"/>
            </w:tcBorders>
          </w:tcPr>
          <w:p>
            <w:pPr>
              <w:spacing w:before="0" w:after="0" w:line="252" w:lineRule="auto"/>
              <w:jc w:val="center"/>
            </w:pPr>
            <w:r>
              <w:rPr>
                <w:rFonts w:ascii="Times New Roman" w:hAnsi="Times New Roman"/>
                <w:b/>
                <w:i w:val="0"/>
                <w:color w:val="000000"/>
                <w:sz w:val="17"/>
              </w:rPr>
              <w:t>TRANSF_EXTERNA</w:t>
            </w:r>
          </w:p>
        </w:tc>
      </w:tr>
      <w:tr>
        <w:trPr>
          <w:cantSplit/>
        </w:trPr>
        <w:tc>
          <w:tcPr>
            <w:tcW w:type="dxa" w:w="2240"/>
            <w:vAlign w:val="center"/>
          </w:tcPr>
          <w:p>
            <w:pPr>
              <w:spacing w:before="0" w:after="0" w:line="252" w:lineRule="auto"/>
              <w:jc w:val="left"/>
            </w:pPr>
            <w:r>
              <w:rPr>
                <w:rFonts w:ascii="Times New Roman" w:hAnsi="Times New Roman"/>
                <w:b w:val="0"/>
                <w:i w:val="0"/>
                <w:color w:val="000000"/>
                <w:sz w:val="17"/>
              </w:rPr>
              <w:t>PRESTAMO</w:t>
            </w:r>
          </w:p>
        </w:tc>
        <w:tc>
          <w:tcPr>
            <w:tcW w:type="dxa" w:w="1041"/>
            <w:vAlign w:val="center"/>
          </w:tcPr>
          <w:p>
            <w:pPr>
              <w:spacing w:before="0" w:after="0" w:line="252" w:lineRule="auto"/>
              <w:jc w:val="center"/>
            </w:pPr>
            <w:r>
              <w:rPr>
                <w:rFonts w:ascii="Times New Roman" w:hAnsi="Times New Roman"/>
                <w:b w:val="0"/>
                <w:i w:val="0"/>
                <w:color w:val="000000"/>
                <w:sz w:val="17"/>
              </w:rPr>
              <w:t>1.0000</w:t>
            </w:r>
          </w:p>
        </w:tc>
        <w:tc>
          <w:tcPr>
            <w:tcW w:type="dxa" w:w="955"/>
            <w:vAlign w:val="center"/>
          </w:tcPr>
          <w:p>
            <w:pPr>
              <w:spacing w:before="0" w:after="0" w:line="252" w:lineRule="auto"/>
              <w:jc w:val="center"/>
            </w:pPr>
            <w:r>
              <w:rPr>
                <w:rFonts w:ascii="Times New Roman" w:hAnsi="Times New Roman"/>
                <w:b w:val="0"/>
                <w:i w:val="0"/>
                <w:color w:val="000000"/>
                <w:sz w:val="17"/>
              </w:rPr>
              <w:t>+0.1952</w:t>
            </w:r>
          </w:p>
        </w:tc>
        <w:tc>
          <w:tcPr>
            <w:tcW w:type="dxa" w:w="1567"/>
            <w:vAlign w:val="center"/>
          </w:tcPr>
          <w:p>
            <w:pPr>
              <w:spacing w:before="0" w:after="0" w:line="252" w:lineRule="auto"/>
              <w:jc w:val="center"/>
            </w:pPr>
            <w:r>
              <w:rPr>
                <w:rFonts w:ascii="Times New Roman" w:hAnsi="Times New Roman"/>
                <w:b w:val="0"/>
                <w:i w:val="0"/>
                <w:color w:val="000000"/>
                <w:sz w:val="17"/>
              </w:rPr>
              <w:t>+0.2464</w:t>
            </w:r>
          </w:p>
        </w:tc>
        <w:tc>
          <w:tcPr>
            <w:tcW w:type="dxa" w:w="1498"/>
            <w:vAlign w:val="center"/>
          </w:tcPr>
          <w:p>
            <w:pPr>
              <w:spacing w:before="0" w:after="0" w:line="252" w:lineRule="auto"/>
              <w:jc w:val="center"/>
            </w:pPr>
            <w:r>
              <w:rPr>
                <w:rFonts w:ascii="Times New Roman" w:hAnsi="Times New Roman"/>
                <w:b w:val="0"/>
                <w:i w:val="0"/>
                <w:color w:val="000000"/>
                <w:sz w:val="17"/>
              </w:rPr>
              <w:t>+0.0557</w:t>
            </w:r>
          </w:p>
        </w:tc>
        <w:tc>
          <w:tcPr>
            <w:tcW w:type="dxa" w:w="1498"/>
            <w:vAlign w:val="center"/>
          </w:tcPr>
          <w:p>
            <w:pPr>
              <w:spacing w:before="0" w:after="0" w:line="252" w:lineRule="auto"/>
              <w:jc w:val="center"/>
            </w:pPr>
            <w:r>
              <w:rPr>
                <w:rFonts w:ascii="Times New Roman" w:hAnsi="Times New Roman"/>
                <w:b w:val="0"/>
                <w:i w:val="0"/>
                <w:color w:val="000000"/>
                <w:sz w:val="17"/>
              </w:rPr>
              <w:t>+0.1613</w:t>
            </w:r>
          </w:p>
        </w:tc>
      </w:tr>
      <w:tr>
        <w:trPr>
          <w:cantSplit/>
        </w:trPr>
        <w:tc>
          <w:tcPr>
            <w:tcW w:type="dxa" w:w="2240"/>
            <w:vAlign w:val="center"/>
          </w:tcPr>
          <w:p>
            <w:pPr>
              <w:spacing w:before="0" w:after="0" w:line="252" w:lineRule="auto"/>
              <w:jc w:val="left"/>
            </w:pPr>
            <w:r>
              <w:rPr>
                <w:rFonts w:ascii="Times New Roman" w:hAnsi="Times New Roman"/>
                <w:b w:val="0"/>
                <w:i w:val="0"/>
                <w:color w:val="000000"/>
                <w:sz w:val="17"/>
              </w:rPr>
              <w:t>SEGURO</w:t>
            </w:r>
          </w:p>
        </w:tc>
        <w:tc>
          <w:tcPr>
            <w:tcW w:type="dxa" w:w="1041"/>
            <w:vAlign w:val="center"/>
          </w:tcPr>
          <w:p>
            <w:pPr>
              <w:spacing w:before="0" w:after="0" w:line="252" w:lineRule="auto"/>
              <w:jc w:val="center"/>
            </w:pPr>
            <w:r>
              <w:rPr>
                <w:rFonts w:ascii="Times New Roman" w:hAnsi="Times New Roman"/>
                <w:b w:val="0"/>
                <w:i w:val="0"/>
                <w:color w:val="000000"/>
                <w:sz w:val="17"/>
              </w:rPr>
              <w:t>+0.1952</w:t>
            </w:r>
          </w:p>
        </w:tc>
        <w:tc>
          <w:tcPr>
            <w:tcW w:type="dxa" w:w="955"/>
            <w:vAlign w:val="center"/>
          </w:tcPr>
          <w:p>
            <w:pPr>
              <w:spacing w:before="0" w:after="0" w:line="252" w:lineRule="auto"/>
              <w:jc w:val="center"/>
            </w:pPr>
            <w:r>
              <w:rPr>
                <w:rFonts w:ascii="Times New Roman" w:hAnsi="Times New Roman"/>
                <w:b w:val="0"/>
                <w:i w:val="0"/>
                <w:color w:val="000000"/>
                <w:sz w:val="17"/>
              </w:rPr>
              <w:t>1.0000</w:t>
            </w:r>
          </w:p>
        </w:tc>
        <w:tc>
          <w:tcPr>
            <w:tcW w:type="dxa" w:w="1567"/>
            <w:vAlign w:val="center"/>
          </w:tcPr>
          <w:p>
            <w:pPr>
              <w:spacing w:before="0" w:after="0" w:line="252" w:lineRule="auto"/>
              <w:jc w:val="center"/>
            </w:pPr>
            <w:r>
              <w:rPr>
                <w:rFonts w:ascii="Times New Roman" w:hAnsi="Times New Roman"/>
                <w:b w:val="0"/>
                <w:i w:val="0"/>
                <w:color w:val="000000"/>
                <w:sz w:val="17"/>
              </w:rPr>
              <w:t>+0.5977</w:t>
            </w:r>
          </w:p>
        </w:tc>
        <w:tc>
          <w:tcPr>
            <w:tcW w:type="dxa" w:w="1498"/>
            <w:vAlign w:val="center"/>
          </w:tcPr>
          <w:p>
            <w:pPr>
              <w:spacing w:before="0" w:after="0" w:line="252" w:lineRule="auto"/>
              <w:jc w:val="center"/>
            </w:pPr>
            <w:r>
              <w:rPr>
                <w:rFonts w:ascii="Times New Roman" w:hAnsi="Times New Roman"/>
                <w:b w:val="0"/>
                <w:i w:val="0"/>
                <w:color w:val="000000"/>
                <w:sz w:val="17"/>
              </w:rPr>
              <w:t>-0.0245</w:t>
            </w:r>
          </w:p>
        </w:tc>
        <w:tc>
          <w:tcPr>
            <w:tcW w:type="dxa" w:w="1498"/>
            <w:vAlign w:val="center"/>
          </w:tcPr>
          <w:p>
            <w:pPr>
              <w:spacing w:before="0" w:after="0" w:line="252" w:lineRule="auto"/>
              <w:jc w:val="center"/>
            </w:pPr>
            <w:r>
              <w:rPr>
                <w:rFonts w:ascii="Times New Roman" w:hAnsi="Times New Roman"/>
                <w:b w:val="0"/>
                <w:i w:val="0"/>
                <w:color w:val="000000"/>
                <w:sz w:val="17"/>
              </w:rPr>
              <w:t>+0.5096</w:t>
            </w:r>
          </w:p>
        </w:tc>
      </w:tr>
      <w:tr>
        <w:trPr>
          <w:cantSplit/>
        </w:trPr>
        <w:tc>
          <w:tcPr>
            <w:tcW w:type="dxa" w:w="2240"/>
            <w:vAlign w:val="center"/>
          </w:tcPr>
          <w:p>
            <w:pPr>
              <w:spacing w:before="0" w:after="0" w:line="252" w:lineRule="auto"/>
              <w:jc w:val="left"/>
            </w:pPr>
            <w:r>
              <w:rPr>
                <w:rFonts w:ascii="Times New Roman" w:hAnsi="Times New Roman"/>
                <w:b w:val="0"/>
                <w:i w:val="0"/>
                <w:color w:val="000000"/>
                <w:sz w:val="17"/>
              </w:rPr>
              <w:t>SERVICIOS_HOGAR</w:t>
            </w:r>
          </w:p>
        </w:tc>
        <w:tc>
          <w:tcPr>
            <w:tcW w:type="dxa" w:w="1041"/>
            <w:vAlign w:val="center"/>
          </w:tcPr>
          <w:p>
            <w:pPr>
              <w:spacing w:before="0" w:after="0" w:line="252" w:lineRule="auto"/>
              <w:jc w:val="center"/>
            </w:pPr>
            <w:r>
              <w:rPr>
                <w:rFonts w:ascii="Times New Roman" w:hAnsi="Times New Roman"/>
                <w:b w:val="0"/>
                <w:i w:val="0"/>
                <w:color w:val="000000"/>
                <w:sz w:val="17"/>
              </w:rPr>
              <w:t>+0.2464</w:t>
            </w:r>
          </w:p>
        </w:tc>
        <w:tc>
          <w:tcPr>
            <w:tcW w:type="dxa" w:w="955"/>
            <w:vAlign w:val="center"/>
          </w:tcPr>
          <w:p>
            <w:pPr>
              <w:spacing w:before="0" w:after="0" w:line="252" w:lineRule="auto"/>
              <w:jc w:val="center"/>
            </w:pPr>
            <w:r>
              <w:rPr>
                <w:rFonts w:ascii="Times New Roman" w:hAnsi="Times New Roman"/>
                <w:b w:val="0"/>
                <w:i w:val="0"/>
                <w:color w:val="000000"/>
                <w:sz w:val="17"/>
              </w:rPr>
              <w:t>+0.5977</w:t>
            </w:r>
          </w:p>
        </w:tc>
        <w:tc>
          <w:tcPr>
            <w:tcW w:type="dxa" w:w="1567"/>
            <w:vAlign w:val="center"/>
          </w:tcPr>
          <w:p>
            <w:pPr>
              <w:spacing w:before="0" w:after="0" w:line="252" w:lineRule="auto"/>
              <w:jc w:val="center"/>
            </w:pPr>
            <w:r>
              <w:rPr>
                <w:rFonts w:ascii="Times New Roman" w:hAnsi="Times New Roman"/>
                <w:b w:val="0"/>
                <w:i w:val="0"/>
                <w:color w:val="000000"/>
                <w:sz w:val="17"/>
              </w:rPr>
              <w:t>1.0000</w:t>
            </w:r>
          </w:p>
        </w:tc>
        <w:tc>
          <w:tcPr>
            <w:tcW w:type="dxa" w:w="1498"/>
            <w:vAlign w:val="center"/>
          </w:tcPr>
          <w:p>
            <w:pPr>
              <w:spacing w:before="0" w:after="0" w:line="252" w:lineRule="auto"/>
              <w:jc w:val="center"/>
            </w:pPr>
            <w:r>
              <w:rPr>
                <w:rFonts w:ascii="Times New Roman" w:hAnsi="Times New Roman"/>
                <w:b w:val="0"/>
                <w:i w:val="0"/>
                <w:color w:val="000000"/>
                <w:sz w:val="17"/>
              </w:rPr>
              <w:t>+0.1010</w:t>
            </w:r>
          </w:p>
        </w:tc>
        <w:tc>
          <w:tcPr>
            <w:tcW w:type="dxa" w:w="1498"/>
            <w:vAlign w:val="center"/>
          </w:tcPr>
          <w:p>
            <w:pPr>
              <w:spacing w:before="0" w:after="0" w:line="252" w:lineRule="auto"/>
              <w:jc w:val="center"/>
            </w:pPr>
            <w:r>
              <w:rPr>
                <w:rFonts w:ascii="Times New Roman" w:hAnsi="Times New Roman"/>
                <w:b w:val="0"/>
                <w:i w:val="0"/>
                <w:color w:val="000000"/>
                <w:sz w:val="17"/>
              </w:rPr>
              <w:t>+0.7192</w:t>
            </w:r>
          </w:p>
        </w:tc>
      </w:tr>
      <w:tr>
        <w:trPr>
          <w:cantSplit/>
        </w:trPr>
        <w:tc>
          <w:tcPr>
            <w:tcW w:type="dxa" w:w="2240"/>
            <w:vAlign w:val="center"/>
          </w:tcPr>
          <w:p>
            <w:pPr>
              <w:spacing w:before="0" w:after="0" w:line="252" w:lineRule="auto"/>
              <w:jc w:val="left"/>
            </w:pPr>
            <w:r>
              <w:rPr>
                <w:rFonts w:ascii="Times New Roman" w:hAnsi="Times New Roman"/>
                <w:b w:val="0"/>
                <w:i w:val="0"/>
                <w:color w:val="000000"/>
                <w:sz w:val="17"/>
              </w:rPr>
              <w:t>TARJETA_DEBITO</w:t>
            </w:r>
          </w:p>
        </w:tc>
        <w:tc>
          <w:tcPr>
            <w:tcW w:type="dxa" w:w="1041"/>
            <w:vAlign w:val="center"/>
          </w:tcPr>
          <w:p>
            <w:pPr>
              <w:spacing w:before="0" w:after="0" w:line="252" w:lineRule="auto"/>
              <w:jc w:val="center"/>
            </w:pPr>
            <w:r>
              <w:rPr>
                <w:rFonts w:ascii="Times New Roman" w:hAnsi="Times New Roman"/>
                <w:b w:val="0"/>
                <w:i w:val="0"/>
                <w:color w:val="000000"/>
                <w:sz w:val="17"/>
              </w:rPr>
              <w:t>+0.0557</w:t>
            </w:r>
          </w:p>
        </w:tc>
        <w:tc>
          <w:tcPr>
            <w:tcW w:type="dxa" w:w="955"/>
            <w:vAlign w:val="center"/>
          </w:tcPr>
          <w:p>
            <w:pPr>
              <w:spacing w:before="0" w:after="0" w:line="252" w:lineRule="auto"/>
              <w:jc w:val="center"/>
            </w:pPr>
            <w:r>
              <w:rPr>
                <w:rFonts w:ascii="Times New Roman" w:hAnsi="Times New Roman"/>
                <w:b w:val="0"/>
                <w:i w:val="0"/>
                <w:color w:val="000000"/>
                <w:sz w:val="17"/>
              </w:rPr>
              <w:t>-0.0245</w:t>
            </w:r>
          </w:p>
        </w:tc>
        <w:tc>
          <w:tcPr>
            <w:tcW w:type="dxa" w:w="1567"/>
            <w:vAlign w:val="center"/>
          </w:tcPr>
          <w:p>
            <w:pPr>
              <w:spacing w:before="0" w:after="0" w:line="252" w:lineRule="auto"/>
              <w:jc w:val="center"/>
            </w:pPr>
            <w:r>
              <w:rPr>
                <w:rFonts w:ascii="Times New Roman" w:hAnsi="Times New Roman"/>
                <w:b w:val="0"/>
                <w:i w:val="0"/>
                <w:color w:val="000000"/>
                <w:sz w:val="17"/>
              </w:rPr>
              <w:t>+0.1010</w:t>
            </w:r>
          </w:p>
        </w:tc>
        <w:tc>
          <w:tcPr>
            <w:tcW w:type="dxa" w:w="1498"/>
            <w:vAlign w:val="center"/>
          </w:tcPr>
          <w:p>
            <w:pPr>
              <w:spacing w:before="0" w:after="0" w:line="252" w:lineRule="auto"/>
              <w:jc w:val="center"/>
            </w:pPr>
            <w:r>
              <w:rPr>
                <w:rFonts w:ascii="Times New Roman" w:hAnsi="Times New Roman"/>
                <w:b w:val="0"/>
                <w:i w:val="0"/>
                <w:color w:val="000000"/>
                <w:sz w:val="17"/>
              </w:rPr>
              <w:t>1.0000</w:t>
            </w:r>
          </w:p>
        </w:tc>
        <w:tc>
          <w:tcPr>
            <w:tcW w:type="dxa" w:w="1498"/>
            <w:vAlign w:val="center"/>
          </w:tcPr>
          <w:p>
            <w:pPr>
              <w:spacing w:before="0" w:after="0" w:line="252" w:lineRule="auto"/>
              <w:jc w:val="center"/>
            </w:pPr>
            <w:r>
              <w:rPr>
                <w:rFonts w:ascii="Times New Roman" w:hAnsi="Times New Roman"/>
                <w:b w:val="0"/>
                <w:i w:val="0"/>
                <w:color w:val="000000"/>
                <w:sz w:val="17"/>
              </w:rPr>
              <w:t>+0.0278</w:t>
            </w:r>
          </w:p>
        </w:tc>
      </w:tr>
      <w:tr>
        <w:trPr>
          <w:cantSplit/>
        </w:trPr>
        <w:tc>
          <w:tcPr>
            <w:tcW w:type="dxa" w:w="2240"/>
            <w:vAlign w:val="center"/>
          </w:tcPr>
          <w:p>
            <w:pPr>
              <w:spacing w:before="0" w:after="0" w:line="252" w:lineRule="auto"/>
              <w:jc w:val="left"/>
            </w:pPr>
            <w:r>
              <w:rPr>
                <w:rFonts w:ascii="Times New Roman" w:hAnsi="Times New Roman"/>
                <w:b w:val="0"/>
                <w:i w:val="0"/>
                <w:color w:val="000000"/>
                <w:sz w:val="17"/>
              </w:rPr>
              <w:t>TRANSF_EXTERNA</w:t>
            </w:r>
          </w:p>
        </w:tc>
        <w:tc>
          <w:tcPr>
            <w:tcW w:type="dxa" w:w="1041"/>
            <w:vAlign w:val="center"/>
          </w:tcPr>
          <w:p>
            <w:pPr>
              <w:spacing w:before="0" w:after="0" w:line="252" w:lineRule="auto"/>
              <w:jc w:val="center"/>
            </w:pPr>
            <w:r>
              <w:rPr>
                <w:rFonts w:ascii="Times New Roman" w:hAnsi="Times New Roman"/>
                <w:b w:val="0"/>
                <w:i w:val="0"/>
                <w:color w:val="000000"/>
                <w:sz w:val="17"/>
              </w:rPr>
              <w:t>+0.1613</w:t>
            </w:r>
          </w:p>
        </w:tc>
        <w:tc>
          <w:tcPr>
            <w:tcW w:type="dxa" w:w="955"/>
            <w:vAlign w:val="center"/>
          </w:tcPr>
          <w:p>
            <w:pPr>
              <w:spacing w:before="0" w:after="0" w:line="252" w:lineRule="auto"/>
              <w:jc w:val="center"/>
            </w:pPr>
            <w:r>
              <w:rPr>
                <w:rFonts w:ascii="Times New Roman" w:hAnsi="Times New Roman"/>
                <w:b w:val="0"/>
                <w:i w:val="0"/>
                <w:color w:val="000000"/>
                <w:sz w:val="17"/>
              </w:rPr>
              <w:t>+0.5096</w:t>
            </w:r>
          </w:p>
        </w:tc>
        <w:tc>
          <w:tcPr>
            <w:tcW w:type="dxa" w:w="1567"/>
            <w:vAlign w:val="center"/>
          </w:tcPr>
          <w:p>
            <w:pPr>
              <w:spacing w:before="0" w:after="0" w:line="252" w:lineRule="auto"/>
              <w:jc w:val="center"/>
            </w:pPr>
            <w:r>
              <w:rPr>
                <w:rFonts w:ascii="Times New Roman" w:hAnsi="Times New Roman"/>
                <w:b w:val="0"/>
                <w:i w:val="0"/>
                <w:color w:val="000000"/>
                <w:sz w:val="17"/>
              </w:rPr>
              <w:t>+0.7192</w:t>
            </w:r>
          </w:p>
        </w:tc>
        <w:tc>
          <w:tcPr>
            <w:tcW w:type="dxa" w:w="1498"/>
            <w:vAlign w:val="center"/>
          </w:tcPr>
          <w:p>
            <w:pPr>
              <w:spacing w:before="0" w:after="0" w:line="252" w:lineRule="auto"/>
              <w:jc w:val="center"/>
            </w:pPr>
            <w:r>
              <w:rPr>
                <w:rFonts w:ascii="Times New Roman" w:hAnsi="Times New Roman"/>
                <w:b w:val="0"/>
                <w:i w:val="0"/>
                <w:color w:val="000000"/>
                <w:sz w:val="17"/>
              </w:rPr>
              <w:t>+0.0278</w:t>
            </w:r>
          </w:p>
        </w:tc>
        <w:tc>
          <w:tcPr>
            <w:tcW w:type="dxa" w:w="1498"/>
            <w:vAlign w:val="center"/>
          </w:tcPr>
          <w:p>
            <w:pPr>
              <w:spacing w:before="0" w:after="0" w:line="252" w:lineRule="auto"/>
              <w:jc w:val="center"/>
            </w:pPr>
            <w:r>
              <w:rPr>
                <w:rFonts w:ascii="Times New Roman" w:hAnsi="Times New Roman"/>
                <w:b w:val="0"/>
                <w:i w:val="0"/>
                <w:color w:val="000000"/>
                <w:sz w:val="17"/>
              </w:rPr>
              <w:t>1.0000</w:t>
            </w:r>
          </w:p>
        </w:tc>
      </w:tr>
    </w:tbl>
    <w:p>
      <w:pPr>
        <w:spacing w:before="0" w:after="120"/>
      </w:pPr>
    </w:p>
    <w:p>
      <w:pPr>
        <w:keepNext/>
        <w:spacing w:before="200" w:after="60"/>
        <w:jc w:val="center"/>
      </w:pPr>
      <w:r>
        <w:drawing>
          <wp:inline xmlns:a="http://schemas.openxmlformats.org/drawingml/2006/main" xmlns:pic="http://schemas.openxmlformats.org/drawingml/2006/picture">
            <wp:extent cx="4389120" cy="3260489"/>
            <wp:docPr id="3" name="Picture 3"/>
            <wp:cNvGraphicFramePr>
              <a:graphicFrameLocks noChangeAspect="1"/>
            </wp:cNvGraphicFramePr>
            <a:graphic>
              <a:graphicData uri="http://schemas.openxmlformats.org/drawingml/2006/picture">
                <pic:pic>
                  <pic:nvPicPr>
                    <pic:cNvPr id="0" name="fig_1c_pearson.png"/>
                    <pic:cNvPicPr/>
                  </pic:nvPicPr>
                  <pic:blipFill>
                    <a:blip r:embed="rId13"/>
                    <a:stretch>
                      <a:fillRect/>
                    </a:stretch>
                  </pic:blipFill>
                  <pic:spPr>
                    <a:xfrm>
                      <a:off x="0" y="0"/>
                      <a:ext cx="4389120" cy="3260489"/>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3:</w:t>
      </w:r>
      <w:r>
        <w:rPr>
          <w:rFonts w:ascii="Times New Roman" w:hAnsi="Times New Roman"/>
          <w:sz w:val="20"/>
        </w:rPr>
        <w:t xml:space="preserve"> Matriz de Correlación de Pearson sobre Series Mensuales Diferenciadas.</w:t>
      </w:r>
    </w:p>
    <w:p>
      <w:pPr>
        <w:spacing w:line="276" w:lineRule="auto" w:before="0" w:after="90"/>
        <w:jc w:val="both"/>
      </w:pPr>
      <w:r>
        <w:rPr>
          <w:rFonts w:ascii="Times New Roman" w:hAnsi="Times New Roman"/>
          <w:b w:val="0"/>
          <w:i w:val="0"/>
          <w:color w:val="000000"/>
          <w:sz w:val="22"/>
        </w:rPr>
        <w:t>Interpretación analítica y de negocio: Mientras que la correlación de ratings (Tabla 7-A) arroja valores saturados cercanos a 1.0 (r_calif = +0.9957 entre Seguro y Hogar) debido a la colinealidad de la base activa, la correlación temporal diferenciada (Tabla 7-B) aísla el comportamiento genuino mes a mes: se revela un fuerte acoplamiento macroscópico entre Servicios del Hogar y Transferencias Externas (r_Δmes = +0.7192) y entre Seguros y Hogar (+0.5977), evidenciando que los egresos fijos de fin de mes se coordinan estrechamente en la tesorería de la entidad. En contraste, la tarjeta de débito muestra una correlación mensual prácticamente nula con préstamos (+0.0557) y seguros (-0.0245), confirmando que el consumo diario en cajeros opera desacoplado de los ciclos contractuales fijos. La diferenciación remueve la tendencia determinista, si bien los datos mensuales agregados no capturan la estacionalidad intrames diaria.</w:t>
      </w:r>
    </w:p>
    <w:p>
      <w:pPr>
        <w:spacing w:line="276" w:lineRule="auto" w:before="0" w:after="90"/>
        <w:jc w:val="both"/>
      </w:pPr>
      <w:r>
        <w:rPr>
          <w:rFonts w:ascii="Times New Roman" w:hAnsi="Times New Roman"/>
          <w:b w:val="0"/>
          <w:i w:val="0"/>
          <w:color w:val="000000"/>
          <w:sz w:val="22"/>
        </w:rPr>
        <w:t>Recomendación estratégica de producto: Diseñar calendarios automatizados de débito sincronizados con las fechas de concentración de transferencias (días 28 a 31), programando alertas de saldo previo para evitar fallos de recaudación en seguros y servicios.</w:t>
      </w:r>
    </w:p>
    <w:p>
      <w:pPr>
        <w:keepNext/>
        <w:spacing w:before="120" w:after="40"/>
        <w:jc w:val="left"/>
      </w:pPr>
      <w:r>
        <w:rPr>
          <w:rFonts w:ascii="Times New Roman" w:hAnsi="Times New Roman"/>
          <w:b/>
          <w:i w:val="0"/>
          <w:color w:val="000000"/>
          <w:sz w:val="22"/>
        </w:rPr>
        <w:t>Conclusión y Dictamen del Mejor Método sobre df_transacciones</w:t>
      </w:r>
    </w:p>
    <w:p>
      <w:pPr>
        <w:spacing w:line="276" w:lineRule="auto" w:before="0" w:after="90"/>
        <w:jc w:val="both"/>
      </w:pPr>
      <w:r>
        <w:rPr>
          <w:rFonts w:ascii="Times New Roman" w:hAnsi="Times New Roman"/>
          <w:b w:val="0"/>
          <w:i w:val="0"/>
          <w:color w:val="000000"/>
          <w:sz w:val="22"/>
        </w:rPr>
        <w:t>Dictamen Técnico: El algoritmo Slope One se determina de forma concluyente como el mejor método para df_transacciones. Combina un error absoluto sobresaliente (MAE = 0.2593 ± 0.0052, superando en 36.18% a la media de usuario) con un empate técnico en precisión Top-1 frente a la popularidad masiva (91.79% vs 91.29%). Esto demuestra que aporta personalización individualizada en intensidad de consumo sin degradar la tasa de acierto en el primer producto sugerido.</w:t>
      </w:r>
    </w:p>
    <w:p>
      <w:pPr>
        <w:keepNext/>
        <w:spacing w:before="140" w:after="40"/>
        <w:jc w:val="left"/>
      </w:pPr>
      <w:r>
        <w:rPr>
          <w:rFonts w:ascii="Times New Roman" w:hAnsi="Times New Roman"/>
          <w:b/>
          <w:i w:val="0"/>
          <w:color w:val="000000"/>
          <w:sz w:val="22"/>
        </w:rPr>
        <w:t>2.7.5 EJE 2: Modelos sobre el DataFrame de Órdenes Permanentes (df_ordenes)</w:t>
      </w:r>
    </w:p>
    <w:p>
      <w:pPr>
        <w:spacing w:line="276" w:lineRule="auto" w:before="0" w:after="90"/>
        <w:jc w:val="both"/>
      </w:pPr>
      <w:r>
        <w:rPr>
          <w:rFonts w:ascii="Times New Roman" w:hAnsi="Times New Roman"/>
          <w:b w:val="0"/>
          <w:i w:val="0"/>
          <w:color w:val="000000"/>
          <w:sz w:val="22"/>
        </w:rPr>
        <w:t>df_ordenes contiene 6,471 contratos de débito automático recurrente domiciliados en 3,758 cuentas bancarias maestras. A diferencia de las transacciones diarias voluntarias, una orden representa un compromiso contractual formal mensual donde el titular delega al banco el pago de un servicio.</w:t>
      </w:r>
    </w:p>
    <w:p>
      <w:pPr>
        <w:keepNext/>
        <w:spacing w:before="120" w:after="40"/>
        <w:jc w:val="left"/>
      </w:pPr>
      <w:r>
        <w:rPr>
          <w:rFonts w:ascii="Times New Roman" w:hAnsi="Times New Roman"/>
          <w:b/>
          <w:i w:val="0"/>
          <w:color w:val="000000"/>
          <w:sz w:val="22"/>
        </w:rPr>
        <w:t>Modelo 2A: Similitud del Coseno Binario (Co-adquisición Ítem a Ítem)</w:t>
      </w:r>
    </w:p>
    <w:p>
      <w:pPr>
        <w:spacing w:line="276" w:lineRule="auto" w:before="0" w:after="90"/>
        <w:jc w:val="both"/>
      </w:pPr>
      <w:r>
        <w:rPr>
          <w:rFonts w:ascii="Times New Roman" w:hAnsi="Times New Roman"/>
          <w:b w:val="0"/>
          <w:i w:val="0"/>
          <w:color w:val="000000"/>
          <w:sz w:val="22"/>
        </w:rPr>
        <w:t>Fundamento teórico y formulación: Modela cada categoría de orden como un vector booleano sobre las 3,758 cuentas bancarias (1 si la cuenta domicilia el concepto, 0 si no). La similitud angular mide la intensidad de co-adquisición contractual dividiendo la intersección de cuentas entre la media geométrica de sus coberturas individuales:</w:t>
      </w:r>
    </w:p>
    <w:p>
      <w:pPr>
        <w:keepNext/>
        <w:spacing w:before="80" w:after="80"/>
        <w:jc w:val="center"/>
      </w:pPr>
      <m:oMathPara>
        <m:oMath>
          <m:r>
            <m:rPr>
              <m:sty m:val="p"/>
            </m:rPr>
            <m:t>cos</m:t>
          </m:r>
          <m:r>
            <m:t>(A,B)=</m:t>
          </m:r>
          <m:f>
            <m:fPr>
              <m:type m:val="bar"/>
            </m:fPr>
            <m:num>
              <m:d>
                <m:dPr>
                  <m:begChr m:val="|"/>
                  <m:sepChr m:val="∩"/>
                  <m:endChr m:val="|"/>
                </m:dPr>
                <m:e>
                  <m:sSub>
                    <m:e>
                      <m:r>
                        <m:t>U</m:t>
                      </m:r>
                    </m:e>
                    <m:sub>
                      <m:r>
                        <m:t>A</m:t>
                      </m:r>
                    </m:sub>
                  </m:sSub>
                </m:e>
                <m:e>
                  <m:sSub>
                    <m:e>
                      <m:r>
                        <m:t>U</m:t>
                      </m:r>
                    </m:e>
                    <m:sub>
                      <m:r>
                        <m:t>B</m:t>
                      </m:r>
                    </m:sub>
                  </m:sSub>
                </m:e>
              </m:d>
            </m:num>
            <m:den>
              <m:rad>
                <m:radPr>
                  <m:degHide m:val="on"/>
                </m:radPr>
                <m:deg/>
                <m:e>
                  <m:d>
                    <m:dPr>
                      <m:begChr m:val="|"/>
                      <m:sepChr m:val=""/>
                      <m:endChr m:val="|"/>
                    </m:dPr>
                    <m:e>
                      <m:sSub>
                        <m:e>
                          <m:r>
                            <m:t>U</m:t>
                          </m:r>
                        </m:e>
                        <m:sub>
                          <m:r>
                            <m:t>A</m:t>
                          </m:r>
                        </m:sub>
                      </m:sSub>
                      <m:r>
                        <m:t>|</m:t>
                      </m:r>
                      <m:r>
                        <m:t>·</m:t>
                      </m:r>
                      <m:r>
                        <m:t>|</m:t>
                      </m:r>
                      <m:sSub>
                        <m:e>
                          <m:r>
                            <m:t>U</m:t>
                          </m:r>
                        </m:e>
                        <m:sub>
                          <m:r>
                            <m:t>B</m:t>
                          </m:r>
                        </m:sub>
                      </m:sSub>
                    </m:e>
                  </m:d>
                </m:e>
              </m:rad>
            </m:den>
          </m:f>
        </m:oMath>
      </m:oMathPara>
    </w:p>
    <w:p>
      <w:pPr>
        <w:spacing w:line="276" w:lineRule="auto" w:before="0" w:after="90"/>
        <w:jc w:val="both"/>
      </w:pPr>
      <w:r>
        <w:rPr>
          <w:rFonts w:ascii="Times New Roman" w:hAnsi="Times New Roman"/>
          <w:b w:val="0"/>
          <w:i w:val="0"/>
          <w:color w:val="000000"/>
          <w:sz w:val="22"/>
        </w:rPr>
        <w:t>Comparación analítica entre Similitud Coseno e Índice de Jaccard: El coeficiente de Jaccard se define como J(A, B) = |U_A ∩ U_B| / |U_A ∪ U_B|. Para el par {Seguro, Hogar}, el cómputo de Jaccard resulta:</w:t>
      </w:r>
    </w:p>
    <w:p>
      <w:pPr>
        <w:keepNext/>
        <w:spacing w:before="80" w:after="80"/>
        <w:jc w:val="center"/>
      </w:pPr>
      <m:oMathPara>
        <m:oMath>
          <m:r>
            <m:t>J(</m:t>
          </m:r>
          <m:r>
            <m:rPr>
              <m:nor/>
            </m:rPr>
            <m:t>Seguro</m:t>
          </m:r>
          <m:r>
            <m:t>,</m:t>
          </m:r>
          <m:r>
            <m:rPr>
              <m:nor/>
            </m:rPr>
            <m:t>Hogar</m:t>
          </m:r>
          <m:r>
            <m:t>)=</m:t>
          </m:r>
          <m:f>
            <m:fPr>
              <m:type m:val="bar"/>
            </m:fPr>
            <m:num>
              <m:r>
                <m:t>532</m:t>
              </m:r>
            </m:num>
            <m:den>
              <m:r>
                <m:t>532+(3365−532)</m:t>
              </m:r>
            </m:den>
          </m:f>
          <m:r>
            <m:t>=</m:t>
          </m:r>
          <m:f>
            <m:fPr>
              <m:type m:val="bar"/>
            </m:fPr>
            <m:num>
              <m:r>
                <m:t>532</m:t>
              </m:r>
            </m:num>
            <m:den>
              <m:r>
                <m:t>3365</m:t>
              </m:r>
            </m:den>
          </m:f>
          <m:r>
            <m:t>≈</m:t>
          </m:r>
          <m:r>
            <m:rPr>
              <m:sty m:val="b"/>
            </m:rPr>
            <m:t>0.1581</m:t>
          </m:r>
        </m:oMath>
      </m:oMathPara>
    </w:p>
    <w:p>
      <w:pPr>
        <w:spacing w:line="276" w:lineRule="auto" w:before="0" w:after="90"/>
        <w:jc w:val="both"/>
      </w:pPr>
      <w:r>
        <w:rPr>
          <w:rFonts w:ascii="Times New Roman" w:hAnsi="Times New Roman"/>
          <w:b w:val="0"/>
          <w:i w:val="0"/>
          <w:color w:val="000000"/>
          <w:sz w:val="22"/>
        </w:rPr>
        <w:t>El índice de Jaccard penaliza drásticamente la enorme disparidad en los soportes individuales (532 frente a 3,365 cuentas), subestimando la intensidad real de adopción conjunta. En contraste, la similitud del Coseno Binario arroja un valor de 0.3976 al utilizar la media geométrica en el denominador:</w:t>
      </w:r>
    </w:p>
    <w:p>
      <w:pPr>
        <w:keepNext/>
        <w:spacing w:before="80" w:after="80"/>
        <w:jc w:val="center"/>
      </w:pPr>
      <m:oMathPara>
        <m:oMath>
          <m:r>
            <m:rPr>
              <m:sty m:val="p"/>
            </m:rPr>
            <m:t>cos</m:t>
          </m:r>
          <m:r>
            <m:t>(</m:t>
          </m:r>
          <m:r>
            <m:rPr>
              <m:nor/>
            </m:rPr>
            <m:t>Seguro</m:t>
          </m:r>
          <m:r>
            <m:t>,</m:t>
          </m:r>
          <m:r>
            <m:rPr>
              <m:nor/>
            </m:rPr>
            <m:t>Hogar</m:t>
          </m:r>
          <m:r>
            <m:t>)=</m:t>
          </m:r>
          <m:f>
            <m:fPr>
              <m:type m:val="bar"/>
            </m:fPr>
            <m:num>
              <m:r>
                <m:t>532</m:t>
              </m:r>
            </m:num>
            <m:den>
              <m:rad>
                <m:radPr>
                  <m:degHide m:val="on"/>
                </m:radPr>
                <m:deg/>
                <m:e>
                  <m:r>
                    <m:t>532×3365</m:t>
                  </m:r>
                </m:e>
              </m:rad>
            </m:den>
          </m:f>
          <m:r>
            <m:t>=</m:t>
          </m:r>
          <m:f>
            <m:fPr>
              <m:type m:val="bar"/>
            </m:fPr>
            <m:num>
              <m:r>
                <m:t>532</m:t>
              </m:r>
            </m:num>
            <m:den>
              <m:rad>
                <m:radPr>
                  <m:degHide m:val="on"/>
                </m:radPr>
                <m:deg/>
                <m:e>
                  <m:r>
                    <m:t>1,790,180</m:t>
                  </m:r>
                </m:e>
              </m:rad>
            </m:den>
          </m:f>
          <m:r>
            <m:t>=</m:t>
          </m:r>
          <m:f>
            <m:fPr>
              <m:type m:val="bar"/>
            </m:fPr>
            <m:num>
              <m:r>
                <m:t>532</m:t>
              </m:r>
            </m:num>
            <m:den>
              <m:r>
                <m:t>1337.976</m:t>
              </m:r>
            </m:den>
          </m:f>
          <m:r>
            <m:t>=</m:t>
          </m:r>
          <m:r>
            <m:rPr>
              <m:sty m:val="b"/>
            </m:rPr>
            <m:t>0.3976</m:t>
          </m:r>
        </m:oMath>
      </m:oMathPara>
    </w:p>
    <w:p>
      <w:pPr>
        <w:spacing w:line="276" w:lineRule="auto" w:before="0" w:after="90"/>
        <w:jc w:val="both"/>
      </w:pPr>
      <w:r>
        <w:rPr>
          <w:rFonts w:ascii="Times New Roman" w:hAnsi="Times New Roman"/>
          <w:b w:val="0"/>
          <w:i w:val="0"/>
          <w:color w:val="000000"/>
          <w:sz w:val="22"/>
        </w:rPr>
        <w:t>Por tanto, el Coseno Binario es matemáticamente preferible para medir co-adquisición bancaria cuando las tasas de penetración de los productos son altamente asimétricas.</w:t>
      </w:r>
    </w:p>
    <w:p>
      <w:pPr>
        <w:spacing w:line="276" w:lineRule="auto" w:before="0" w:after="90"/>
        <w:jc w:val="both"/>
      </w:pPr>
      <w:r>
        <w:rPr>
          <w:rFonts w:ascii="Times New Roman" w:hAnsi="Times New Roman"/>
          <w:b w:val="0"/>
          <w:i w:val="0"/>
          <w:color w:val="000000"/>
          <w:sz w:val="22"/>
        </w:rPr>
        <w:t>Métricas de reglas de asociación y Lift: El soporte conjunto del par {Seguro, Hogar} es del 14.16% (532 / 3,758 cuentas). La confianza de la regla de asociación Seguro → Hogar es del 100.0% (532 / 532 cuentas), mientras que la confianza en sentido inverso Hogar → Seguro es del 15.81% (532 / 3,365 cuentas). El ratio Lift asociado se formula como:</w:t>
      </w:r>
    </w:p>
    <w:p>
      <w:pPr>
        <w:keepNext/>
        <w:spacing w:before="80" w:after="80"/>
        <w:jc w:val="center"/>
      </w:pPr>
      <m:oMathPara>
        <m:oMath>
          <m:r>
            <m:rPr>
              <m:nor/>
            </m:rPr>
            <m:t>Lift</m:t>
          </m:r>
          <m:r>
            <m:t>(</m:t>
          </m:r>
          <m:r>
            <m:rPr>
              <m:nor/>
            </m:rPr>
            <m:t>Seguro</m:t>
          </m:r>
          <m:r>
            <m:t>→</m:t>
          </m:r>
          <m:r>
            <m:rPr>
              <m:nor/>
            </m:rPr>
            <m:t>Hogar</m:t>
          </m:r>
          <m:r>
            <m:t>)=</m:t>
          </m:r>
          <m:f>
            <m:fPr>
              <m:type m:val="bar"/>
            </m:fPr>
            <m:num>
              <m:r>
                <m:t>P(</m:t>
              </m:r>
              <m:r>
                <m:rPr>
                  <m:nor/>
                </m:rPr>
                <m:t>Seguro</m:t>
              </m:r>
              <m:r>
                <m:t>∩</m:t>
              </m:r>
              <m:r>
                <m:rPr>
                  <m:nor/>
                </m:rPr>
                <m:t>Hogar</m:t>
              </m:r>
              <m:r>
                <m:t>)</m:t>
              </m:r>
            </m:num>
            <m:den>
              <m:r>
                <m:t>P(</m:t>
              </m:r>
              <m:r>
                <m:rPr>
                  <m:nor/>
                </m:rPr>
                <m:t>Seguro</m:t>
              </m:r>
              <m:r>
                <m:t>)·P(</m:t>
              </m:r>
              <m:r>
                <m:rPr>
                  <m:nor/>
                </m:rPr>
                <m:t>Hogar</m:t>
              </m:r>
              <m:r>
                <m:t>)</m:t>
              </m:r>
            </m:den>
          </m:f>
          <m:r>
            <m:t>=</m:t>
          </m:r>
          <m:f>
            <m:fPr>
              <m:type m:val="bar"/>
            </m:fPr>
            <m:num>
              <m:f>
                <m:fPr>
                  <m:type m:val="lin"/>
                </m:fPr>
                <m:num>
                  <m:r>
                    <m:t>532</m:t>
                  </m:r>
                </m:num>
                <m:den>
                  <m:r>
                    <m:t>3758</m:t>
                  </m:r>
                </m:den>
              </m:f>
            </m:num>
            <m:den>
              <m:d>
                <m:dPr>
                  <m:sepChr m:val=""/>
                </m:dPr>
                <m:e>
                  <m:r>
                    <m:t>532</m:t>
                  </m:r>
                  <m:r>
                    <m:t>/</m:t>
                  </m:r>
                  <m:r>
                    <m:t>3758</m:t>
                  </m:r>
                  <m:r>
                    <m:t>)</m:t>
                  </m:r>
                  <m:r>
                    <m:t>·</m:t>
                  </m:r>
                  <m:r>
                    <m:t>(</m:t>
                  </m:r>
                  <m:r>
                    <m:t>3365</m:t>
                  </m:r>
                  <m:r>
                    <m:t>/</m:t>
                  </m:r>
                  <m:r>
                    <m:t>3758</m:t>
                  </m:r>
                </m:e>
              </m:d>
            </m:den>
          </m:f>
          <m:r>
            <m:t>=</m:t>
          </m:r>
          <m:f>
            <m:fPr>
              <m:type m:val="bar"/>
            </m:fPr>
            <m:num>
              <m:r>
                <m:t>3758</m:t>
              </m:r>
            </m:num>
            <m:den>
              <m:r>
                <m:t>3365</m:t>
              </m:r>
            </m:den>
          </m:f>
          <m:r>
            <m:t>≈</m:t>
          </m:r>
          <m:r>
            <m:rPr>
              <m:sty m:val="b"/>
            </m:rPr>
            <m:t>1.12</m:t>
          </m:r>
        </m:oMath>
      </m:oMathPara>
    </w:p>
    <w:p>
      <w:pPr>
        <w:spacing w:line="276" w:lineRule="auto" w:before="0" w:after="90"/>
        <w:jc w:val="both"/>
      </w:pPr>
      <w:r>
        <w:rPr>
          <w:rFonts w:ascii="Times New Roman" w:hAnsi="Times New Roman"/>
          <w:b w:val="0"/>
          <w:i w:val="0"/>
          <w:color w:val="000000"/>
          <w:sz w:val="22"/>
        </w:rPr>
        <w:t>Un Lift de 1.12 confirma una convivencia armoniosa y positiva entre ambos servicios contractuales.</w:t>
      </w:r>
    </w:p>
    <w:p>
      <w:pPr>
        <w:spacing w:line="276" w:lineRule="auto" w:before="0" w:after="90"/>
        <w:jc w:val="both"/>
      </w:pPr>
      <w:r>
        <w:rPr>
          <w:rFonts w:ascii="Times New Roman" w:hAnsi="Times New Roman"/>
          <w:b w:val="0"/>
          <w:i w:val="0"/>
          <w:color w:val="000000"/>
          <w:sz w:val="22"/>
        </w:rPr>
        <w:t>La Tabla 8 presenta la matriz de co-adquisición binaria entre las cinco categorías contractuales:</w:t>
      </w:r>
    </w:p>
    <w:p>
      <w:pPr>
        <w:keepNext/>
        <w:spacing w:before="200" w:after="80"/>
        <w:jc w:val="center"/>
      </w:pPr>
      <w:r>
        <w:rPr>
          <w:rFonts w:ascii="Times New Roman" w:hAnsi="Times New Roman"/>
          <w:b/>
          <w:i w:val="0"/>
          <w:color w:val="000000"/>
          <w:sz w:val="21"/>
        </w:rPr>
        <w:t>Tabla 8:</w:t>
      </w:r>
      <w:r>
        <w:rPr>
          <w:rFonts w:ascii="Times New Roman" w:hAnsi="Times New Roman"/>
          <w:sz w:val="21"/>
        </w:rPr>
        <w:t xml:space="preserve"> Matriz de Similitud del Coseno Binario entre Contratos Domiciliados (df_ordenes).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466"/>
        <w:gridCol w:w="1466"/>
        <w:gridCol w:w="1466"/>
        <w:gridCol w:w="1466"/>
        <w:gridCol w:w="1466"/>
        <w:gridCol w:w="1466"/>
      </w:tblGrid>
      <w:tr>
        <w:trPr>
          <w:tblHeader/>
          <w:cantSplit/>
        </w:trPr>
        <w:tc>
          <w:tcPr>
            <w:tcW w:type="dxa" w:w="1686"/>
            <w:vAlign w:val="center"/>
            <w:tcBorders>
              <w:bottom w:val="single" w:sz="6" w:space="0" w:color="000000"/>
            </w:tcBorders>
          </w:tcPr>
          <w:p>
            <w:pPr>
              <w:spacing w:before="0" w:after="0" w:line="252" w:lineRule="auto"/>
              <w:jc w:val="center"/>
            </w:pPr>
            <w:r>
              <w:rPr>
                <w:rFonts w:ascii="Times New Roman" w:hAnsi="Times New Roman"/>
                <w:b/>
                <w:i w:val="0"/>
                <w:color w:val="000000"/>
                <w:sz w:val="17"/>
              </w:rPr>
              <w:t>Categoría de Orden</w:t>
            </w:r>
          </w:p>
        </w:tc>
        <w:tc>
          <w:tcPr>
            <w:tcW w:type="dxa" w:w="1686"/>
            <w:vAlign w:val="center"/>
            <w:tcBorders>
              <w:bottom w:val="single" w:sz="6" w:space="0" w:color="000000"/>
            </w:tcBorders>
          </w:tcPr>
          <w:p>
            <w:pPr>
              <w:spacing w:before="0" w:after="0" w:line="252" w:lineRule="auto"/>
              <w:jc w:val="center"/>
            </w:pPr>
            <w:r>
              <w:rPr>
                <w:rFonts w:ascii="Times New Roman" w:hAnsi="Times New Roman"/>
                <w:b/>
                <w:i w:val="0"/>
                <w:color w:val="000000"/>
                <w:sz w:val="17"/>
              </w:rPr>
              <w:t>Arrendamiento / Leasing</w:t>
            </w:r>
          </w:p>
        </w:tc>
        <w:tc>
          <w:tcPr>
            <w:tcW w:type="dxa" w:w="1385"/>
            <w:vAlign w:val="center"/>
            <w:tcBorders>
              <w:bottom w:val="single" w:sz="6" w:space="0" w:color="000000"/>
            </w:tcBorders>
          </w:tcPr>
          <w:p>
            <w:pPr>
              <w:spacing w:before="0" w:after="0" w:line="252" w:lineRule="auto"/>
              <w:jc w:val="center"/>
            </w:pPr>
            <w:r>
              <w:rPr>
                <w:rFonts w:ascii="Times New Roman" w:hAnsi="Times New Roman"/>
                <w:b/>
                <w:i w:val="0"/>
                <w:color w:val="000000"/>
                <w:sz w:val="17"/>
              </w:rPr>
              <w:t>Cuota de Préstamo</w:t>
            </w:r>
          </w:p>
        </w:tc>
        <w:tc>
          <w:tcPr>
            <w:tcW w:type="dxa" w:w="1277"/>
            <w:vAlign w:val="center"/>
            <w:tcBorders>
              <w:bottom w:val="single" w:sz="6" w:space="0" w:color="000000"/>
            </w:tcBorders>
          </w:tcPr>
          <w:p>
            <w:pPr>
              <w:spacing w:before="0" w:after="0" w:line="252" w:lineRule="auto"/>
              <w:jc w:val="center"/>
            </w:pPr>
            <w:r>
              <w:rPr>
                <w:rFonts w:ascii="Times New Roman" w:hAnsi="Times New Roman"/>
                <w:b/>
                <w:i w:val="0"/>
                <w:color w:val="000000"/>
                <w:sz w:val="17"/>
              </w:rPr>
              <w:t>Pago de Seguros</w:t>
            </w:r>
          </w:p>
        </w:tc>
        <w:tc>
          <w:tcPr>
            <w:tcW w:type="dxa" w:w="1489"/>
            <w:vAlign w:val="center"/>
            <w:tcBorders>
              <w:bottom w:val="single" w:sz="6" w:space="0" w:color="000000"/>
            </w:tcBorders>
          </w:tcPr>
          <w:p>
            <w:pPr>
              <w:spacing w:before="0" w:after="0" w:line="252" w:lineRule="auto"/>
              <w:jc w:val="center"/>
            </w:pPr>
            <w:r>
              <w:rPr>
                <w:rFonts w:ascii="Times New Roman" w:hAnsi="Times New Roman"/>
                <w:b/>
                <w:i w:val="0"/>
                <w:color w:val="000000"/>
                <w:sz w:val="17"/>
              </w:rPr>
              <w:t>Servicios del Hogar</w:t>
            </w:r>
          </w:p>
        </w:tc>
        <w:tc>
          <w:tcPr>
            <w:tcW w:type="dxa" w:w="1277"/>
            <w:vAlign w:val="center"/>
            <w:tcBorders>
              <w:bottom w:val="single" w:sz="6" w:space="0" w:color="000000"/>
            </w:tcBorders>
          </w:tcPr>
          <w:p>
            <w:pPr>
              <w:spacing w:before="0" w:after="0" w:line="252" w:lineRule="auto"/>
              <w:jc w:val="center"/>
            </w:pPr>
            <w:r>
              <w:rPr>
                <w:rFonts w:ascii="Times New Roman" w:hAnsi="Times New Roman"/>
                <w:b/>
                <w:i w:val="0"/>
                <w:color w:val="000000"/>
                <w:sz w:val="17"/>
              </w:rPr>
              <w:t>Sin Especificar</w:t>
            </w:r>
          </w:p>
        </w:tc>
      </w:tr>
      <w:tr>
        <w:trPr>
          <w:cantSplit/>
        </w:trPr>
        <w:tc>
          <w:tcPr>
            <w:tcW w:type="dxa" w:w="1686"/>
            <w:vAlign w:val="center"/>
          </w:tcPr>
          <w:p>
            <w:pPr>
              <w:spacing w:before="0" w:after="0" w:line="252" w:lineRule="auto"/>
              <w:jc w:val="left"/>
            </w:pPr>
            <w:r>
              <w:rPr>
                <w:rFonts w:ascii="Times New Roman" w:hAnsi="Times New Roman"/>
                <w:b w:val="0"/>
                <w:i w:val="0"/>
                <w:color w:val="000000"/>
                <w:sz w:val="17"/>
              </w:rPr>
              <w:t>Arrendamiento / Leasing</w:t>
            </w:r>
          </w:p>
        </w:tc>
        <w:tc>
          <w:tcPr>
            <w:tcW w:type="dxa" w:w="1686"/>
            <w:vAlign w:val="center"/>
          </w:tcPr>
          <w:p>
            <w:pPr>
              <w:spacing w:before="0" w:after="0" w:line="252" w:lineRule="auto"/>
              <w:jc w:val="center"/>
            </w:pPr>
            <w:r>
              <w:rPr>
                <w:rFonts w:ascii="Times New Roman" w:hAnsi="Times New Roman"/>
                <w:b w:val="0"/>
                <w:i w:val="0"/>
                <w:color w:val="000000"/>
                <w:sz w:val="17"/>
              </w:rPr>
              <w:t>1.0000</w:t>
            </w:r>
          </w:p>
        </w:tc>
        <w:tc>
          <w:tcPr>
            <w:tcW w:type="dxa" w:w="1385"/>
            <w:vAlign w:val="center"/>
          </w:tcPr>
          <w:p>
            <w:pPr>
              <w:spacing w:before="0" w:after="0" w:line="252" w:lineRule="auto"/>
              <w:jc w:val="center"/>
            </w:pPr>
            <w:r>
              <w:rPr>
                <w:rFonts w:ascii="Times New Roman" w:hAnsi="Times New Roman"/>
                <w:b w:val="0"/>
                <w:i w:val="0"/>
                <w:color w:val="000000"/>
                <w:sz w:val="17"/>
              </w:rPr>
              <w:t>0.0000</w:t>
            </w:r>
          </w:p>
        </w:tc>
        <w:tc>
          <w:tcPr>
            <w:tcW w:type="dxa" w:w="1277"/>
            <w:vAlign w:val="center"/>
          </w:tcPr>
          <w:p>
            <w:pPr>
              <w:spacing w:before="0" w:after="0" w:line="252" w:lineRule="auto"/>
              <w:jc w:val="center"/>
            </w:pPr>
            <w:r>
              <w:rPr>
                <w:rFonts w:ascii="Times New Roman" w:hAnsi="Times New Roman"/>
                <w:b w:val="0"/>
                <w:i w:val="0"/>
                <w:color w:val="000000"/>
                <w:sz w:val="17"/>
              </w:rPr>
              <w:t>0.1174</w:t>
            </w:r>
          </w:p>
        </w:tc>
        <w:tc>
          <w:tcPr>
            <w:tcW w:type="dxa" w:w="1489"/>
            <w:vAlign w:val="center"/>
          </w:tcPr>
          <w:p>
            <w:pPr>
              <w:spacing w:before="0" w:after="0" w:line="252" w:lineRule="auto"/>
              <w:jc w:val="center"/>
            </w:pPr>
            <w:r>
              <w:rPr>
                <w:rFonts w:ascii="Times New Roman" w:hAnsi="Times New Roman"/>
                <w:b w:val="0"/>
                <w:i w:val="0"/>
                <w:color w:val="000000"/>
                <w:sz w:val="17"/>
              </w:rPr>
              <w:t>0.1951</w:t>
            </w:r>
          </w:p>
        </w:tc>
        <w:tc>
          <w:tcPr>
            <w:tcW w:type="dxa" w:w="1277"/>
            <w:vAlign w:val="center"/>
          </w:tcPr>
          <w:p>
            <w:pPr>
              <w:spacing w:before="0" w:after="0" w:line="252" w:lineRule="auto"/>
              <w:jc w:val="center"/>
            </w:pPr>
            <w:r>
              <w:rPr>
                <w:rFonts w:ascii="Times New Roman" w:hAnsi="Times New Roman"/>
                <w:b w:val="0"/>
                <w:i w:val="0"/>
                <w:color w:val="000000"/>
                <w:sz w:val="17"/>
              </w:rPr>
              <w:t>0.1580</w:t>
            </w:r>
          </w:p>
        </w:tc>
      </w:tr>
      <w:tr>
        <w:trPr>
          <w:cantSplit/>
        </w:trPr>
        <w:tc>
          <w:tcPr>
            <w:tcW w:type="dxa" w:w="1686"/>
            <w:vAlign w:val="center"/>
          </w:tcPr>
          <w:p>
            <w:pPr>
              <w:spacing w:before="0" w:after="0" w:line="252" w:lineRule="auto"/>
              <w:jc w:val="left"/>
            </w:pPr>
            <w:r>
              <w:rPr>
                <w:rFonts w:ascii="Times New Roman" w:hAnsi="Times New Roman"/>
                <w:b w:val="0"/>
                <w:i w:val="0"/>
                <w:color w:val="000000"/>
                <w:sz w:val="17"/>
              </w:rPr>
              <w:t>Cuota de Préstamo</w:t>
            </w:r>
          </w:p>
        </w:tc>
        <w:tc>
          <w:tcPr>
            <w:tcW w:type="dxa" w:w="1686"/>
            <w:vAlign w:val="center"/>
          </w:tcPr>
          <w:p>
            <w:pPr>
              <w:spacing w:before="0" w:after="0" w:line="252" w:lineRule="auto"/>
              <w:jc w:val="center"/>
            </w:pPr>
            <w:r>
              <w:rPr>
                <w:rFonts w:ascii="Times New Roman" w:hAnsi="Times New Roman"/>
                <w:b w:val="0"/>
                <w:i w:val="0"/>
                <w:color w:val="000000"/>
                <w:sz w:val="17"/>
              </w:rPr>
              <w:t>0.0000</w:t>
            </w:r>
          </w:p>
        </w:tc>
        <w:tc>
          <w:tcPr>
            <w:tcW w:type="dxa" w:w="1385"/>
            <w:vAlign w:val="center"/>
          </w:tcPr>
          <w:p>
            <w:pPr>
              <w:spacing w:before="0" w:after="0" w:line="252" w:lineRule="auto"/>
              <w:jc w:val="center"/>
            </w:pPr>
            <w:r>
              <w:rPr>
                <w:rFonts w:ascii="Times New Roman" w:hAnsi="Times New Roman"/>
                <w:b w:val="0"/>
                <w:i w:val="0"/>
                <w:color w:val="000000"/>
                <w:sz w:val="17"/>
              </w:rPr>
              <w:t>1.0000</w:t>
            </w:r>
          </w:p>
        </w:tc>
        <w:tc>
          <w:tcPr>
            <w:tcW w:type="dxa" w:w="1277"/>
            <w:vAlign w:val="center"/>
          </w:tcPr>
          <w:p>
            <w:pPr>
              <w:spacing w:before="0" w:after="0" w:line="252" w:lineRule="auto"/>
              <w:jc w:val="center"/>
            </w:pPr>
            <w:r>
              <w:rPr>
                <w:rFonts w:ascii="Times New Roman" w:hAnsi="Times New Roman"/>
                <w:b w:val="0"/>
                <w:i w:val="0"/>
                <w:color w:val="000000"/>
                <w:sz w:val="17"/>
              </w:rPr>
              <w:t>0.1975</w:t>
            </w:r>
          </w:p>
        </w:tc>
        <w:tc>
          <w:tcPr>
            <w:tcW w:type="dxa" w:w="1489"/>
            <w:vAlign w:val="center"/>
          </w:tcPr>
          <w:p>
            <w:pPr>
              <w:spacing w:before="0" w:after="0" w:line="252" w:lineRule="auto"/>
              <w:jc w:val="center"/>
            </w:pPr>
            <w:r>
              <w:rPr>
                <w:rFonts w:ascii="Times New Roman" w:hAnsi="Times New Roman"/>
                <w:b w:val="0"/>
                <w:i w:val="0"/>
                <w:color w:val="000000"/>
                <w:sz w:val="17"/>
              </w:rPr>
              <w:t>0.2936</w:t>
            </w:r>
          </w:p>
        </w:tc>
        <w:tc>
          <w:tcPr>
            <w:tcW w:type="dxa" w:w="1277"/>
            <w:vAlign w:val="center"/>
          </w:tcPr>
          <w:p>
            <w:pPr>
              <w:spacing w:before="0" w:after="0" w:line="252" w:lineRule="auto"/>
              <w:jc w:val="center"/>
            </w:pPr>
            <w:r>
              <w:rPr>
                <w:rFonts w:ascii="Times New Roman" w:hAnsi="Times New Roman"/>
                <w:b w:val="0"/>
                <w:i w:val="0"/>
                <w:color w:val="000000"/>
                <w:sz w:val="17"/>
              </w:rPr>
              <w:t>0.2633</w:t>
            </w:r>
          </w:p>
        </w:tc>
      </w:tr>
      <w:tr>
        <w:trPr>
          <w:cantSplit/>
        </w:trPr>
        <w:tc>
          <w:tcPr>
            <w:tcW w:type="dxa" w:w="1686"/>
            <w:vAlign w:val="center"/>
          </w:tcPr>
          <w:p>
            <w:pPr>
              <w:spacing w:before="0" w:after="0" w:line="252" w:lineRule="auto"/>
              <w:jc w:val="left"/>
            </w:pPr>
            <w:r>
              <w:rPr>
                <w:rFonts w:ascii="Times New Roman" w:hAnsi="Times New Roman"/>
                <w:b w:val="0"/>
                <w:i w:val="0"/>
                <w:color w:val="000000"/>
                <w:sz w:val="17"/>
              </w:rPr>
              <w:t>Pago de Seguros</w:t>
            </w:r>
          </w:p>
        </w:tc>
        <w:tc>
          <w:tcPr>
            <w:tcW w:type="dxa" w:w="1686"/>
            <w:vAlign w:val="center"/>
          </w:tcPr>
          <w:p>
            <w:pPr>
              <w:spacing w:before="0" w:after="0" w:line="252" w:lineRule="auto"/>
              <w:jc w:val="center"/>
            </w:pPr>
            <w:r>
              <w:rPr>
                <w:rFonts w:ascii="Times New Roman" w:hAnsi="Times New Roman"/>
                <w:b w:val="0"/>
                <w:i w:val="0"/>
                <w:color w:val="000000"/>
                <w:sz w:val="17"/>
              </w:rPr>
              <w:t>0.1174</w:t>
            </w:r>
          </w:p>
        </w:tc>
        <w:tc>
          <w:tcPr>
            <w:tcW w:type="dxa" w:w="1385"/>
            <w:vAlign w:val="center"/>
          </w:tcPr>
          <w:p>
            <w:pPr>
              <w:spacing w:before="0" w:after="0" w:line="252" w:lineRule="auto"/>
              <w:jc w:val="center"/>
            </w:pPr>
            <w:r>
              <w:rPr>
                <w:rFonts w:ascii="Times New Roman" w:hAnsi="Times New Roman"/>
                <w:b w:val="0"/>
                <w:i w:val="0"/>
                <w:color w:val="000000"/>
                <w:sz w:val="17"/>
              </w:rPr>
              <w:t>0.1975</w:t>
            </w:r>
          </w:p>
        </w:tc>
        <w:tc>
          <w:tcPr>
            <w:tcW w:type="dxa" w:w="1277"/>
            <w:vAlign w:val="center"/>
          </w:tcPr>
          <w:p>
            <w:pPr>
              <w:spacing w:before="0" w:after="0" w:line="252" w:lineRule="auto"/>
              <w:jc w:val="center"/>
            </w:pPr>
            <w:r>
              <w:rPr>
                <w:rFonts w:ascii="Times New Roman" w:hAnsi="Times New Roman"/>
                <w:b w:val="0"/>
                <w:i w:val="0"/>
                <w:color w:val="000000"/>
                <w:sz w:val="17"/>
              </w:rPr>
              <w:t>1.0000</w:t>
            </w:r>
          </w:p>
        </w:tc>
        <w:tc>
          <w:tcPr>
            <w:tcW w:type="dxa" w:w="1489"/>
            <w:vAlign w:val="center"/>
          </w:tcPr>
          <w:p>
            <w:pPr>
              <w:spacing w:before="0" w:after="0" w:line="252" w:lineRule="auto"/>
              <w:jc w:val="center"/>
            </w:pPr>
            <w:r>
              <w:rPr>
                <w:rFonts w:ascii="Times New Roman" w:hAnsi="Times New Roman"/>
                <w:b w:val="0"/>
                <w:i w:val="0"/>
                <w:color w:val="000000"/>
                <w:sz w:val="17"/>
              </w:rPr>
              <w:t>0.3976</w:t>
            </w:r>
          </w:p>
        </w:tc>
        <w:tc>
          <w:tcPr>
            <w:tcW w:type="dxa" w:w="1277"/>
            <w:vAlign w:val="center"/>
          </w:tcPr>
          <w:p>
            <w:pPr>
              <w:spacing w:before="0" w:after="0" w:line="252" w:lineRule="auto"/>
              <w:jc w:val="center"/>
            </w:pPr>
            <w:r>
              <w:rPr>
                <w:rFonts w:ascii="Times New Roman" w:hAnsi="Times New Roman"/>
                <w:b w:val="0"/>
                <w:i w:val="0"/>
                <w:color w:val="000000"/>
                <w:sz w:val="17"/>
              </w:rPr>
              <w:t>0.6664</w:t>
            </w:r>
          </w:p>
        </w:tc>
      </w:tr>
      <w:tr>
        <w:trPr>
          <w:cantSplit/>
        </w:trPr>
        <w:tc>
          <w:tcPr>
            <w:tcW w:type="dxa" w:w="1686"/>
            <w:vAlign w:val="center"/>
          </w:tcPr>
          <w:p>
            <w:pPr>
              <w:spacing w:before="0" w:after="0" w:line="252" w:lineRule="auto"/>
              <w:jc w:val="left"/>
            </w:pPr>
            <w:r>
              <w:rPr>
                <w:rFonts w:ascii="Times New Roman" w:hAnsi="Times New Roman"/>
                <w:b w:val="0"/>
                <w:i w:val="0"/>
                <w:color w:val="000000"/>
                <w:sz w:val="17"/>
              </w:rPr>
              <w:t>Servicios del Hogar</w:t>
            </w:r>
          </w:p>
        </w:tc>
        <w:tc>
          <w:tcPr>
            <w:tcW w:type="dxa" w:w="1686"/>
            <w:vAlign w:val="center"/>
          </w:tcPr>
          <w:p>
            <w:pPr>
              <w:spacing w:before="0" w:after="0" w:line="252" w:lineRule="auto"/>
              <w:jc w:val="center"/>
            </w:pPr>
            <w:r>
              <w:rPr>
                <w:rFonts w:ascii="Times New Roman" w:hAnsi="Times New Roman"/>
                <w:b w:val="0"/>
                <w:i w:val="0"/>
                <w:color w:val="000000"/>
                <w:sz w:val="17"/>
              </w:rPr>
              <w:t>0.1951</w:t>
            </w:r>
          </w:p>
        </w:tc>
        <w:tc>
          <w:tcPr>
            <w:tcW w:type="dxa" w:w="1385"/>
            <w:vAlign w:val="center"/>
          </w:tcPr>
          <w:p>
            <w:pPr>
              <w:spacing w:before="0" w:after="0" w:line="252" w:lineRule="auto"/>
              <w:jc w:val="center"/>
            </w:pPr>
            <w:r>
              <w:rPr>
                <w:rFonts w:ascii="Times New Roman" w:hAnsi="Times New Roman"/>
                <w:b w:val="0"/>
                <w:i w:val="0"/>
                <w:color w:val="000000"/>
                <w:sz w:val="17"/>
              </w:rPr>
              <w:t>0.2936</w:t>
            </w:r>
          </w:p>
        </w:tc>
        <w:tc>
          <w:tcPr>
            <w:tcW w:type="dxa" w:w="1277"/>
            <w:vAlign w:val="center"/>
          </w:tcPr>
          <w:p>
            <w:pPr>
              <w:spacing w:before="0" w:after="0" w:line="252" w:lineRule="auto"/>
              <w:jc w:val="center"/>
            </w:pPr>
            <w:r>
              <w:rPr>
                <w:rFonts w:ascii="Times New Roman" w:hAnsi="Times New Roman"/>
                <w:b w:val="0"/>
                <w:i w:val="0"/>
                <w:color w:val="000000"/>
                <w:sz w:val="17"/>
              </w:rPr>
              <w:t>0.3976</w:t>
            </w:r>
          </w:p>
        </w:tc>
        <w:tc>
          <w:tcPr>
            <w:tcW w:type="dxa" w:w="1489"/>
            <w:vAlign w:val="center"/>
          </w:tcPr>
          <w:p>
            <w:pPr>
              <w:spacing w:before="0" w:after="0" w:line="252" w:lineRule="auto"/>
              <w:jc w:val="center"/>
            </w:pPr>
            <w:r>
              <w:rPr>
                <w:rFonts w:ascii="Times New Roman" w:hAnsi="Times New Roman"/>
                <w:b w:val="0"/>
                <w:i w:val="0"/>
                <w:color w:val="000000"/>
                <w:sz w:val="17"/>
              </w:rPr>
              <w:t>1.0000</w:t>
            </w:r>
          </w:p>
        </w:tc>
        <w:tc>
          <w:tcPr>
            <w:tcW w:type="dxa" w:w="1277"/>
            <w:vAlign w:val="center"/>
          </w:tcPr>
          <w:p>
            <w:pPr>
              <w:spacing w:before="0" w:after="0" w:line="252" w:lineRule="auto"/>
              <w:jc w:val="center"/>
            </w:pPr>
            <w:r>
              <w:rPr>
                <w:rFonts w:ascii="Times New Roman" w:hAnsi="Times New Roman"/>
                <w:b w:val="0"/>
                <w:i w:val="0"/>
                <w:color w:val="000000"/>
                <w:sz w:val="17"/>
              </w:rPr>
              <w:t>0.5967</w:t>
            </w:r>
          </w:p>
        </w:tc>
      </w:tr>
      <w:tr>
        <w:trPr>
          <w:cantSplit/>
        </w:trPr>
        <w:tc>
          <w:tcPr>
            <w:tcW w:type="dxa" w:w="1686"/>
            <w:vAlign w:val="center"/>
          </w:tcPr>
          <w:p>
            <w:pPr>
              <w:spacing w:before="0" w:after="0" w:line="252" w:lineRule="auto"/>
              <w:jc w:val="left"/>
            </w:pPr>
            <w:r>
              <w:rPr>
                <w:rFonts w:ascii="Times New Roman" w:hAnsi="Times New Roman"/>
                <w:b w:val="0"/>
                <w:i w:val="0"/>
                <w:color w:val="000000"/>
                <w:sz w:val="17"/>
              </w:rPr>
              <w:t>Sin Especificar</w:t>
            </w:r>
          </w:p>
        </w:tc>
        <w:tc>
          <w:tcPr>
            <w:tcW w:type="dxa" w:w="1686"/>
            <w:vAlign w:val="center"/>
          </w:tcPr>
          <w:p>
            <w:pPr>
              <w:spacing w:before="0" w:after="0" w:line="252" w:lineRule="auto"/>
              <w:jc w:val="center"/>
            </w:pPr>
            <w:r>
              <w:rPr>
                <w:rFonts w:ascii="Times New Roman" w:hAnsi="Times New Roman"/>
                <w:b w:val="0"/>
                <w:i w:val="0"/>
                <w:color w:val="000000"/>
                <w:sz w:val="17"/>
              </w:rPr>
              <w:t>0.1580</w:t>
            </w:r>
          </w:p>
        </w:tc>
        <w:tc>
          <w:tcPr>
            <w:tcW w:type="dxa" w:w="1385"/>
            <w:vAlign w:val="center"/>
          </w:tcPr>
          <w:p>
            <w:pPr>
              <w:spacing w:before="0" w:after="0" w:line="252" w:lineRule="auto"/>
              <w:jc w:val="center"/>
            </w:pPr>
            <w:r>
              <w:rPr>
                <w:rFonts w:ascii="Times New Roman" w:hAnsi="Times New Roman"/>
                <w:b w:val="0"/>
                <w:i w:val="0"/>
                <w:color w:val="000000"/>
                <w:sz w:val="17"/>
              </w:rPr>
              <w:t>0.2633</w:t>
            </w:r>
          </w:p>
        </w:tc>
        <w:tc>
          <w:tcPr>
            <w:tcW w:type="dxa" w:w="1277"/>
            <w:vAlign w:val="center"/>
          </w:tcPr>
          <w:p>
            <w:pPr>
              <w:spacing w:before="0" w:after="0" w:line="252" w:lineRule="auto"/>
              <w:jc w:val="center"/>
            </w:pPr>
            <w:r>
              <w:rPr>
                <w:rFonts w:ascii="Times New Roman" w:hAnsi="Times New Roman"/>
                <w:b w:val="0"/>
                <w:i w:val="0"/>
                <w:color w:val="000000"/>
                <w:sz w:val="17"/>
              </w:rPr>
              <w:t>0.6664</w:t>
            </w:r>
          </w:p>
        </w:tc>
        <w:tc>
          <w:tcPr>
            <w:tcW w:type="dxa" w:w="1489"/>
            <w:vAlign w:val="center"/>
          </w:tcPr>
          <w:p>
            <w:pPr>
              <w:spacing w:before="0" w:after="0" w:line="252" w:lineRule="auto"/>
              <w:jc w:val="center"/>
            </w:pPr>
            <w:r>
              <w:rPr>
                <w:rFonts w:ascii="Times New Roman" w:hAnsi="Times New Roman"/>
                <w:b w:val="0"/>
                <w:i w:val="0"/>
                <w:color w:val="000000"/>
                <w:sz w:val="17"/>
              </w:rPr>
              <w:t>0.5967</w:t>
            </w:r>
          </w:p>
        </w:tc>
        <w:tc>
          <w:tcPr>
            <w:tcW w:type="dxa" w:w="1277"/>
            <w:vAlign w:val="center"/>
          </w:tcPr>
          <w:p>
            <w:pPr>
              <w:spacing w:before="0" w:after="0" w:line="252" w:lineRule="auto"/>
              <w:jc w:val="center"/>
            </w:pPr>
            <w:r>
              <w:rPr>
                <w:rFonts w:ascii="Times New Roman" w:hAnsi="Times New Roman"/>
                <w:b w:val="0"/>
                <w:i w:val="0"/>
                <w:color w:val="000000"/>
                <w:sz w:val="17"/>
              </w:rPr>
              <w:t>1.0000</w:t>
            </w:r>
          </w:p>
        </w:tc>
      </w:tr>
    </w:tbl>
    <w:p>
      <w:pPr>
        <w:spacing w:before="0" w:after="120"/>
      </w:pPr>
    </w:p>
    <w:p>
      <w:pPr>
        <w:keepNext/>
        <w:spacing w:before="200" w:after="60"/>
        <w:jc w:val="center"/>
      </w:pPr>
      <w:r>
        <w:drawing>
          <wp:inline xmlns:a="http://schemas.openxmlformats.org/drawingml/2006/main" xmlns:pic="http://schemas.openxmlformats.org/drawingml/2006/picture">
            <wp:extent cx="4389120" cy="3260489"/>
            <wp:docPr id="4" name="Picture 4"/>
            <wp:cNvGraphicFramePr>
              <a:graphicFrameLocks noChangeAspect="1"/>
            </wp:cNvGraphicFramePr>
            <a:graphic>
              <a:graphicData uri="http://schemas.openxmlformats.org/drawingml/2006/picture">
                <pic:pic>
                  <pic:nvPicPr>
                    <pic:cNvPr id="0" name="fig_2a_coseno_binario.png"/>
                    <pic:cNvPicPr/>
                  </pic:nvPicPr>
                  <pic:blipFill>
                    <a:blip r:embed="rId14"/>
                    <a:stretch>
                      <a:fillRect/>
                    </a:stretch>
                  </pic:blipFill>
                  <pic:spPr>
                    <a:xfrm>
                      <a:off x="0" y="0"/>
                      <a:ext cx="4389120" cy="3260489"/>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4:</w:t>
      </w:r>
      <w:r>
        <w:rPr>
          <w:rFonts w:ascii="Times New Roman" w:hAnsi="Times New Roman"/>
          <w:sz w:val="20"/>
        </w:rPr>
        <w:t xml:space="preserve"> Matriz de Similitud del Coseno Binario de Co-adquisición en Órdenes.</w:t>
      </w:r>
    </w:p>
    <w:p>
      <w:pPr>
        <w:spacing w:line="276" w:lineRule="auto" w:before="0" w:after="90"/>
        <w:jc w:val="both"/>
      </w:pPr>
      <w:r>
        <w:rPr>
          <w:rFonts w:ascii="Times New Roman" w:hAnsi="Times New Roman"/>
          <w:b w:val="0"/>
          <w:i w:val="0"/>
          <w:color w:val="000000"/>
          <w:sz w:val="22"/>
        </w:rPr>
        <w:t>Interpretación analítica y de negocio: El valor de 0.3976 entre Seguros y Hogar representa el techo geométrico posible para coberturas tan dispares (532 frente a 3,365 cuentas). El análisis de inclusión cruzada revela una jerarquía anidada estricta: Seguros (532) ⊂ Sin Especificar (1,198) ⊂ Servicios del Hogar (3,365). El ratio Lift asociado es de 1.12, lo cual confirma una convivencia armoniosa aunque moderada (la contratación de seguro está condicionada a poseer previamente débito del hogar, el cual abarca al 89.54% de las cuentas).</w:t>
      </w:r>
    </w:p>
    <w:p>
      <w:pPr>
        <w:spacing w:line="276" w:lineRule="auto" w:before="0" w:after="90"/>
        <w:jc w:val="both"/>
      </w:pPr>
      <w:r>
        <w:rPr>
          <w:rFonts w:ascii="Times New Roman" w:hAnsi="Times New Roman"/>
          <w:b w:val="0"/>
          <w:i w:val="0"/>
          <w:color w:val="000000"/>
          <w:sz w:val="22"/>
        </w:rPr>
        <w:t>Recomendación estratégica de producto: Lanzar un producto empaquetado (bundling) denominado 'Hogar Integral', que incorpore una póliza de seguro de incendio o responsabilidad civil dentro del débito mensual de servicios básicos con una bonificación en comisiones.</w:t>
      </w:r>
    </w:p>
    <w:p>
      <w:pPr>
        <w:keepNext/>
        <w:spacing w:before="120" w:after="40"/>
        <w:jc w:val="left"/>
      </w:pPr>
      <w:r>
        <w:rPr>
          <w:rFonts w:ascii="Times New Roman" w:hAnsi="Times New Roman"/>
          <w:b/>
          <w:i w:val="0"/>
          <w:color w:val="000000"/>
          <w:sz w:val="22"/>
        </w:rPr>
        <w:t>Modelo 2B: Filtrado Colaborativo con Ponderación de Frecuencia Inversa (ITF)</w:t>
      </w:r>
    </w:p>
    <w:p>
      <w:pPr>
        <w:spacing w:line="276" w:lineRule="auto" w:before="0" w:after="90"/>
        <w:jc w:val="both"/>
      </w:pPr>
      <w:r>
        <w:rPr>
          <w:rFonts w:ascii="Times New Roman" w:hAnsi="Times New Roman"/>
          <w:b w:val="0"/>
          <w:i w:val="0"/>
          <w:color w:val="000000"/>
          <w:sz w:val="22"/>
        </w:rPr>
        <w:t>Fundamento teórico y formulación: Debido a que Servicios del Hogar está presente en el 89.54% de las cuentas, cualquier recomendador basado en popularidad saturaría al usuario sugiriendo siempre gastos domésticos. La Ponderación de Frecuencia Inversa de Ítems (Inverse Term/Item Frequency, ITF) es una adaptación de la heurística clásica de recuperación de información (Salton &amp; Buckley, 1988) aplicada sobre la matriz colaborativa de órdenes. Castiga logarítmicamente la ubicuidad de los servicios masivos y premia a los productos especializados de alto margen:</w:t>
      </w:r>
    </w:p>
    <w:p>
      <w:pPr>
        <w:keepNext/>
        <w:spacing w:before="80" w:after="80"/>
        <w:jc w:val="center"/>
      </w:pPr>
      <m:oMathPara>
        <m:oMath>
          <m:r>
            <m:rPr>
              <m:nor/>
            </m:rPr>
            <m:t>ITF</m:t>
          </m:r>
          <m:r>
            <m:t>(i)=</m:t>
          </m:r>
          <m:r>
            <m:rPr>
              <m:sty m:val="p"/>
            </m:rPr>
            <m:t>ln</m:t>
          </m:r>
          <m:d>
            <m:dPr>
              <m:sepChr m:val=""/>
            </m:dPr>
            <m:e>
              <m:f>
                <m:fPr>
                  <m:type m:val="bar"/>
                </m:fPr>
                <m:num>
                  <m:sSub>
                    <m:e>
                      <m:r>
                        <m:t>N</m:t>
                      </m:r>
                    </m:e>
                    <m:sub>
                      <m:r>
                        <m:rPr>
                          <m:nor/>
                        </m:rPr>
                        <m:t>cuentas</m:t>
                      </m:r>
                    </m:sub>
                  </m:sSub>
                </m:num>
                <m:den>
                  <m:sSub>
                    <m:e>
                      <m:r>
                        <m:t>n</m:t>
                      </m:r>
                    </m:e>
                    <m:sub>
                      <m:r>
                        <m:t>i</m:t>
                      </m:r>
                    </m:sub>
                  </m:sSub>
                </m:den>
              </m:f>
            </m:e>
          </m:d>
          <m:r>
            <m:t>,</m:t>
          </m:r>
          <m:sSub>
            <m:e>
              <m:r>
                <m:rPr>
                  <m:nor/>
                </m:rPr>
                <m:t>Score</m:t>
              </m:r>
            </m:e>
            <m:sub>
              <m:r>
                <m:rPr>
                  <m:nor/>
                </m:rPr>
                <m:t>ITF</m:t>
              </m:r>
            </m:sub>
          </m:sSub>
          <m:r>
            <m:t>(u,j)=</m:t>
          </m:r>
          <m:nary>
            <m:naryPr>
              <m:chr m:val="∑"/>
              <m:limLoc m:val="subSup"/>
              <m:grow m:val="1"/>
              <m:subHide m:val="off"/>
              <m:supHide m:val="on"/>
            </m:naryPr>
            <m:sub>
              <m:r>
                <m:t>i∈</m:t>
              </m:r>
              <m:sSub>
                <m:e>
                  <m:r>
                    <m:rPr>
                      <m:nor/>
                    </m:rPr>
                    <m:t>Activos</m:t>
                  </m:r>
                </m:e>
                <m:sub>
                  <m:r>
                    <m:t>u</m:t>
                  </m:r>
                </m:sub>
              </m:sSub>
            </m:sub>
            <m:sup/>
            <m:e>
              <m:r>
                <m:rPr>
                  <m:sty m:val="p"/>
                </m:rPr>
                <m:t>cos</m:t>
              </m:r>
              <m:r>
                <m:t>(i,j)·</m:t>
              </m:r>
              <m:r>
                <m:rPr>
                  <m:nor/>
                </m:rPr>
                <m:t>ITF</m:t>
              </m:r>
              <m:r>
                <m:t>(j)</m:t>
              </m:r>
            </m:e>
          </m:nary>
        </m:oMath>
      </m:oMathPara>
    </w:p>
    <w:p>
      <w:pPr>
        <w:spacing w:line="276" w:lineRule="auto" w:before="0" w:after="90"/>
        <w:jc w:val="both"/>
      </w:pPr>
      <w:r>
        <w:rPr>
          <w:rFonts w:ascii="Times New Roman" w:hAnsi="Times New Roman"/>
          <w:b w:val="0"/>
          <w:i w:val="0"/>
          <w:color w:val="000000"/>
          <w:sz w:val="22"/>
        </w:rPr>
        <w:t>La Tabla 9 resume los factores de especificidad ITF calculados sobre las 3,758 cuentas maestras:</w:t>
      </w:r>
    </w:p>
    <w:p>
      <w:pPr>
        <w:keepNext/>
        <w:spacing w:before="200" w:after="80"/>
        <w:jc w:val="center"/>
      </w:pPr>
      <w:r>
        <w:rPr>
          <w:rFonts w:ascii="Times New Roman" w:hAnsi="Times New Roman"/>
          <w:b/>
          <w:i w:val="0"/>
          <w:color w:val="000000"/>
          <w:sz w:val="21"/>
        </w:rPr>
        <w:t>Tabla 9:</w:t>
      </w:r>
      <w:r>
        <w:rPr>
          <w:rFonts w:ascii="Times New Roman" w:hAnsi="Times New Roman"/>
          <w:sz w:val="21"/>
        </w:rPr>
        <w:t xml:space="preserve"> Factores de Especificidad ITF y Relevancia Estratégica de Órdenes Domiciliadas (df_ordenes).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760"/>
        <w:gridCol w:w="1760"/>
        <w:gridCol w:w="1760"/>
        <w:gridCol w:w="1760"/>
        <w:gridCol w:w="1760"/>
      </w:tblGrid>
      <w:tr>
        <w:trPr>
          <w:tblHeader/>
          <w:cantSplit/>
        </w:trPr>
        <w:tc>
          <w:tcPr>
            <w:tcW w:type="dxa" w:w="1810"/>
            <w:vAlign w:val="center"/>
            <w:tcBorders>
              <w:bottom w:val="single" w:sz="6" w:space="0" w:color="000000"/>
            </w:tcBorders>
          </w:tcPr>
          <w:p>
            <w:pPr>
              <w:spacing w:before="0" w:after="0" w:line="252" w:lineRule="auto"/>
              <w:jc w:val="center"/>
            </w:pPr>
            <w:r>
              <w:rPr>
                <w:rFonts w:ascii="Times New Roman" w:hAnsi="Times New Roman"/>
                <w:b/>
                <w:i w:val="0"/>
                <w:color w:val="000000"/>
                <w:sz w:val="17"/>
              </w:rPr>
              <w:t>Categoría de Orden</w:t>
            </w:r>
          </w:p>
        </w:tc>
        <w:tc>
          <w:tcPr>
            <w:tcW w:type="dxa" w:w="1153"/>
            <w:vAlign w:val="center"/>
            <w:tcBorders>
              <w:bottom w:val="single" w:sz="6" w:space="0" w:color="000000"/>
            </w:tcBorders>
          </w:tcPr>
          <w:p>
            <w:pPr>
              <w:spacing w:before="0" w:after="0" w:line="252" w:lineRule="auto"/>
              <w:jc w:val="center"/>
            </w:pPr>
            <w:r>
              <w:rPr>
                <w:rFonts w:ascii="Times New Roman" w:hAnsi="Times New Roman"/>
                <w:b/>
                <w:i w:val="0"/>
                <w:color w:val="000000"/>
                <w:sz w:val="17"/>
              </w:rPr>
              <w:t>Cuentas (n_i)</w:t>
            </w:r>
          </w:p>
        </w:tc>
        <w:tc>
          <w:tcPr>
            <w:tcW w:type="dxa" w:w="1266"/>
            <w:vAlign w:val="center"/>
            <w:tcBorders>
              <w:bottom w:val="single" w:sz="6" w:space="0" w:color="000000"/>
            </w:tcBorders>
          </w:tcPr>
          <w:p>
            <w:pPr>
              <w:spacing w:before="0" w:after="0" w:line="252" w:lineRule="auto"/>
              <w:jc w:val="center"/>
            </w:pPr>
            <w:r>
              <w:rPr>
                <w:rFonts w:ascii="Times New Roman" w:hAnsi="Times New Roman"/>
                <w:b/>
                <w:i w:val="0"/>
                <w:color w:val="000000"/>
                <w:sz w:val="17"/>
              </w:rPr>
              <w:t>Popularidad (%)</w:t>
            </w:r>
          </w:p>
        </w:tc>
        <w:tc>
          <w:tcPr>
            <w:tcW w:type="dxa" w:w="1624"/>
            <w:vAlign w:val="center"/>
            <w:tcBorders>
              <w:bottom w:val="single" w:sz="6" w:space="0" w:color="000000"/>
            </w:tcBorders>
          </w:tcPr>
          <w:p>
            <w:pPr>
              <w:spacing w:before="0" w:after="0" w:line="252" w:lineRule="auto"/>
              <w:jc w:val="center"/>
            </w:pPr>
            <w:r>
              <w:rPr>
                <w:rFonts w:ascii="Times New Roman" w:hAnsi="Times New Roman"/>
                <w:b/>
                <w:i w:val="0"/>
                <w:color w:val="000000"/>
                <w:sz w:val="17"/>
              </w:rPr>
              <w:t>Factor ITF (ln(N/n_i))</w:t>
            </w:r>
          </w:p>
        </w:tc>
        <w:tc>
          <w:tcPr>
            <w:tcW w:type="dxa" w:w="2946"/>
            <w:vAlign w:val="center"/>
            <w:tcBorders>
              <w:bottom w:val="single" w:sz="6" w:space="0" w:color="000000"/>
            </w:tcBorders>
          </w:tcPr>
          <w:p>
            <w:pPr>
              <w:spacing w:before="0" w:after="0" w:line="252" w:lineRule="auto"/>
              <w:jc w:val="center"/>
            </w:pPr>
            <w:r>
              <w:rPr>
                <w:rFonts w:ascii="Times New Roman" w:hAnsi="Times New Roman"/>
                <w:b/>
                <w:i w:val="0"/>
                <w:color w:val="000000"/>
                <w:sz w:val="17"/>
              </w:rPr>
              <w:t>Rol Estratégico en Recomendación</w:t>
            </w:r>
          </w:p>
        </w:tc>
      </w:tr>
      <w:tr>
        <w:trPr>
          <w:cantSplit/>
        </w:trPr>
        <w:tc>
          <w:tcPr>
            <w:tcW w:type="dxa" w:w="1810"/>
            <w:vAlign w:val="center"/>
          </w:tcPr>
          <w:p>
            <w:pPr>
              <w:spacing w:before="0" w:after="0" w:line="252" w:lineRule="auto"/>
              <w:jc w:val="left"/>
            </w:pPr>
            <w:r>
              <w:rPr>
                <w:rFonts w:ascii="Times New Roman" w:hAnsi="Times New Roman"/>
                <w:b w:val="0"/>
                <w:i w:val="0"/>
                <w:color w:val="000000"/>
                <w:sz w:val="17"/>
              </w:rPr>
              <w:t>Arrendamiento / Leasing</w:t>
            </w:r>
          </w:p>
        </w:tc>
        <w:tc>
          <w:tcPr>
            <w:tcW w:type="dxa" w:w="1153"/>
            <w:vAlign w:val="center"/>
          </w:tcPr>
          <w:p>
            <w:pPr>
              <w:spacing w:before="0" w:after="0" w:line="252" w:lineRule="auto"/>
              <w:jc w:val="center"/>
            </w:pPr>
            <w:r>
              <w:rPr>
                <w:rFonts w:ascii="Times New Roman" w:hAnsi="Times New Roman"/>
                <w:b w:val="0"/>
                <w:i w:val="0"/>
                <w:color w:val="000000"/>
                <w:sz w:val="17"/>
              </w:rPr>
              <w:t>341</w:t>
            </w:r>
          </w:p>
        </w:tc>
        <w:tc>
          <w:tcPr>
            <w:tcW w:type="dxa" w:w="1266"/>
            <w:vAlign w:val="center"/>
          </w:tcPr>
          <w:p>
            <w:pPr>
              <w:spacing w:before="0" w:after="0" w:line="252" w:lineRule="auto"/>
              <w:jc w:val="center"/>
            </w:pPr>
            <w:r>
              <w:rPr>
                <w:rFonts w:ascii="Times New Roman" w:hAnsi="Times New Roman"/>
                <w:b w:val="0"/>
                <w:i w:val="0"/>
                <w:color w:val="000000"/>
                <w:sz w:val="17"/>
              </w:rPr>
              <w:t>9.07%</w:t>
            </w:r>
          </w:p>
        </w:tc>
        <w:tc>
          <w:tcPr>
            <w:tcW w:type="dxa" w:w="1624"/>
            <w:vAlign w:val="center"/>
          </w:tcPr>
          <w:p>
            <w:pPr>
              <w:spacing w:before="0" w:after="0" w:line="252" w:lineRule="auto"/>
              <w:jc w:val="center"/>
            </w:pPr>
            <w:r>
              <w:rPr>
                <w:rFonts w:ascii="Times New Roman" w:hAnsi="Times New Roman"/>
                <w:b w:val="0"/>
                <w:i w:val="0"/>
                <w:color w:val="000000"/>
                <w:sz w:val="17"/>
              </w:rPr>
              <w:t>2.3998</w:t>
            </w:r>
          </w:p>
        </w:tc>
        <w:tc>
          <w:tcPr>
            <w:tcW w:type="dxa" w:w="2946"/>
            <w:vAlign w:val="center"/>
          </w:tcPr>
          <w:p>
            <w:pPr>
              <w:spacing w:before="0" w:after="0" w:line="252" w:lineRule="auto"/>
              <w:jc w:val="left"/>
            </w:pPr>
            <w:r>
              <w:rPr>
                <w:rFonts w:ascii="Times New Roman" w:hAnsi="Times New Roman"/>
                <w:b w:val="0"/>
                <w:i w:val="0"/>
                <w:color w:val="000000"/>
                <w:sz w:val="17"/>
              </w:rPr>
              <w:t>Nicho corporativo; máxima prioridad de margen comercial</w:t>
            </w:r>
          </w:p>
        </w:tc>
      </w:tr>
      <w:tr>
        <w:trPr>
          <w:cantSplit/>
        </w:trPr>
        <w:tc>
          <w:tcPr>
            <w:tcW w:type="dxa" w:w="1810"/>
            <w:vAlign w:val="center"/>
          </w:tcPr>
          <w:p>
            <w:pPr>
              <w:spacing w:before="0" w:after="0" w:line="252" w:lineRule="auto"/>
              <w:jc w:val="left"/>
            </w:pPr>
            <w:r>
              <w:rPr>
                <w:rFonts w:ascii="Times New Roman" w:hAnsi="Times New Roman"/>
                <w:b w:val="0"/>
                <w:i w:val="0"/>
                <w:color w:val="000000"/>
                <w:sz w:val="17"/>
              </w:rPr>
              <w:t>Pago de Seguros</w:t>
            </w:r>
          </w:p>
        </w:tc>
        <w:tc>
          <w:tcPr>
            <w:tcW w:type="dxa" w:w="1153"/>
            <w:vAlign w:val="center"/>
          </w:tcPr>
          <w:p>
            <w:pPr>
              <w:spacing w:before="0" w:after="0" w:line="252" w:lineRule="auto"/>
              <w:jc w:val="center"/>
            </w:pPr>
            <w:r>
              <w:rPr>
                <w:rFonts w:ascii="Times New Roman" w:hAnsi="Times New Roman"/>
                <w:b w:val="0"/>
                <w:i w:val="0"/>
                <w:color w:val="000000"/>
                <w:sz w:val="17"/>
              </w:rPr>
              <w:t>532</w:t>
            </w:r>
          </w:p>
        </w:tc>
        <w:tc>
          <w:tcPr>
            <w:tcW w:type="dxa" w:w="1266"/>
            <w:vAlign w:val="center"/>
          </w:tcPr>
          <w:p>
            <w:pPr>
              <w:spacing w:before="0" w:after="0" w:line="252" w:lineRule="auto"/>
              <w:jc w:val="center"/>
            </w:pPr>
            <w:r>
              <w:rPr>
                <w:rFonts w:ascii="Times New Roman" w:hAnsi="Times New Roman"/>
                <w:b w:val="0"/>
                <w:i w:val="0"/>
                <w:color w:val="000000"/>
                <w:sz w:val="17"/>
              </w:rPr>
              <w:t>14.16%</w:t>
            </w:r>
          </w:p>
        </w:tc>
        <w:tc>
          <w:tcPr>
            <w:tcW w:type="dxa" w:w="1624"/>
            <w:vAlign w:val="center"/>
          </w:tcPr>
          <w:p>
            <w:pPr>
              <w:spacing w:before="0" w:after="0" w:line="252" w:lineRule="auto"/>
              <w:jc w:val="center"/>
            </w:pPr>
            <w:r>
              <w:rPr>
                <w:rFonts w:ascii="Times New Roman" w:hAnsi="Times New Roman"/>
                <w:b w:val="0"/>
                <w:i w:val="0"/>
                <w:color w:val="000000"/>
                <w:sz w:val="17"/>
              </w:rPr>
              <w:t>1.9550</w:t>
            </w:r>
          </w:p>
        </w:tc>
        <w:tc>
          <w:tcPr>
            <w:tcW w:type="dxa" w:w="2946"/>
            <w:vAlign w:val="center"/>
          </w:tcPr>
          <w:p>
            <w:pPr>
              <w:spacing w:before="0" w:after="0" w:line="252" w:lineRule="auto"/>
              <w:jc w:val="left"/>
            </w:pPr>
            <w:r>
              <w:rPr>
                <w:rFonts w:ascii="Times New Roman" w:hAnsi="Times New Roman"/>
                <w:b w:val="0"/>
                <w:i w:val="0"/>
                <w:color w:val="000000"/>
                <w:sz w:val="17"/>
              </w:rPr>
              <w:t>Producto estratégico de cobertura patrimonial familiar</w:t>
            </w:r>
          </w:p>
        </w:tc>
      </w:tr>
      <w:tr>
        <w:trPr>
          <w:cantSplit/>
        </w:trPr>
        <w:tc>
          <w:tcPr>
            <w:tcW w:type="dxa" w:w="1810"/>
            <w:vAlign w:val="center"/>
          </w:tcPr>
          <w:p>
            <w:pPr>
              <w:spacing w:before="0" w:after="0" w:line="252" w:lineRule="auto"/>
              <w:jc w:val="left"/>
            </w:pPr>
            <w:r>
              <w:rPr>
                <w:rFonts w:ascii="Times New Roman" w:hAnsi="Times New Roman"/>
                <w:b w:val="0"/>
                <w:i w:val="0"/>
                <w:color w:val="000000"/>
                <w:sz w:val="17"/>
              </w:rPr>
              <w:t>Cuota de Préstamo</w:t>
            </w:r>
          </w:p>
        </w:tc>
        <w:tc>
          <w:tcPr>
            <w:tcW w:type="dxa" w:w="1153"/>
            <w:vAlign w:val="center"/>
          </w:tcPr>
          <w:p>
            <w:pPr>
              <w:spacing w:before="0" w:after="0" w:line="252" w:lineRule="auto"/>
              <w:jc w:val="center"/>
            </w:pPr>
            <w:r>
              <w:rPr>
                <w:rFonts w:ascii="Times New Roman" w:hAnsi="Times New Roman"/>
                <w:b w:val="0"/>
                <w:i w:val="0"/>
                <w:color w:val="000000"/>
                <w:sz w:val="17"/>
              </w:rPr>
              <w:t>717</w:t>
            </w:r>
          </w:p>
        </w:tc>
        <w:tc>
          <w:tcPr>
            <w:tcW w:type="dxa" w:w="1266"/>
            <w:vAlign w:val="center"/>
          </w:tcPr>
          <w:p>
            <w:pPr>
              <w:spacing w:before="0" w:after="0" w:line="252" w:lineRule="auto"/>
              <w:jc w:val="center"/>
            </w:pPr>
            <w:r>
              <w:rPr>
                <w:rFonts w:ascii="Times New Roman" w:hAnsi="Times New Roman"/>
                <w:b w:val="0"/>
                <w:i w:val="0"/>
                <w:color w:val="000000"/>
                <w:sz w:val="17"/>
              </w:rPr>
              <w:t>19.08%</w:t>
            </w:r>
          </w:p>
        </w:tc>
        <w:tc>
          <w:tcPr>
            <w:tcW w:type="dxa" w:w="1624"/>
            <w:vAlign w:val="center"/>
          </w:tcPr>
          <w:p>
            <w:pPr>
              <w:spacing w:before="0" w:after="0" w:line="252" w:lineRule="auto"/>
              <w:jc w:val="center"/>
            </w:pPr>
            <w:r>
              <w:rPr>
                <w:rFonts w:ascii="Times New Roman" w:hAnsi="Times New Roman"/>
                <w:b w:val="0"/>
                <w:i w:val="0"/>
                <w:color w:val="000000"/>
                <w:sz w:val="17"/>
              </w:rPr>
              <w:t>1.6566</w:t>
            </w:r>
          </w:p>
        </w:tc>
        <w:tc>
          <w:tcPr>
            <w:tcW w:type="dxa" w:w="2946"/>
            <w:vAlign w:val="center"/>
          </w:tcPr>
          <w:p>
            <w:pPr>
              <w:spacing w:before="0" w:after="0" w:line="252" w:lineRule="auto"/>
              <w:jc w:val="left"/>
            </w:pPr>
            <w:r>
              <w:rPr>
                <w:rFonts w:ascii="Times New Roman" w:hAnsi="Times New Roman"/>
                <w:b w:val="0"/>
                <w:i w:val="0"/>
                <w:color w:val="000000"/>
                <w:sz w:val="17"/>
              </w:rPr>
              <w:t>Compromiso de amortización formal bancaria</w:t>
            </w:r>
          </w:p>
        </w:tc>
      </w:tr>
      <w:tr>
        <w:trPr>
          <w:cantSplit/>
        </w:trPr>
        <w:tc>
          <w:tcPr>
            <w:tcW w:type="dxa" w:w="1810"/>
            <w:vAlign w:val="center"/>
          </w:tcPr>
          <w:p>
            <w:pPr>
              <w:spacing w:before="0" w:after="0" w:line="252" w:lineRule="auto"/>
              <w:jc w:val="left"/>
            </w:pPr>
            <w:r>
              <w:rPr>
                <w:rFonts w:ascii="Times New Roman" w:hAnsi="Times New Roman"/>
                <w:b w:val="0"/>
                <w:i w:val="0"/>
                <w:color w:val="000000"/>
                <w:sz w:val="17"/>
              </w:rPr>
              <w:t>Sin Especificar</w:t>
            </w:r>
          </w:p>
        </w:tc>
        <w:tc>
          <w:tcPr>
            <w:tcW w:type="dxa" w:w="1153"/>
            <w:vAlign w:val="center"/>
          </w:tcPr>
          <w:p>
            <w:pPr>
              <w:spacing w:before="0" w:after="0" w:line="252" w:lineRule="auto"/>
              <w:jc w:val="center"/>
            </w:pPr>
            <w:r>
              <w:rPr>
                <w:rFonts w:ascii="Times New Roman" w:hAnsi="Times New Roman"/>
                <w:b w:val="0"/>
                <w:i w:val="0"/>
                <w:color w:val="000000"/>
                <w:sz w:val="17"/>
              </w:rPr>
              <w:t>1,198</w:t>
            </w:r>
          </w:p>
        </w:tc>
        <w:tc>
          <w:tcPr>
            <w:tcW w:type="dxa" w:w="1266"/>
            <w:vAlign w:val="center"/>
          </w:tcPr>
          <w:p>
            <w:pPr>
              <w:spacing w:before="0" w:after="0" w:line="252" w:lineRule="auto"/>
              <w:jc w:val="center"/>
            </w:pPr>
            <w:r>
              <w:rPr>
                <w:rFonts w:ascii="Times New Roman" w:hAnsi="Times New Roman"/>
                <w:b w:val="0"/>
                <w:i w:val="0"/>
                <w:color w:val="000000"/>
                <w:sz w:val="17"/>
              </w:rPr>
              <w:t>31.88%</w:t>
            </w:r>
          </w:p>
        </w:tc>
        <w:tc>
          <w:tcPr>
            <w:tcW w:type="dxa" w:w="1624"/>
            <w:vAlign w:val="center"/>
          </w:tcPr>
          <w:p>
            <w:pPr>
              <w:spacing w:before="0" w:after="0" w:line="252" w:lineRule="auto"/>
              <w:jc w:val="center"/>
            </w:pPr>
            <w:r>
              <w:rPr>
                <w:rFonts w:ascii="Times New Roman" w:hAnsi="Times New Roman"/>
                <w:b w:val="0"/>
                <w:i w:val="0"/>
                <w:color w:val="000000"/>
                <w:sz w:val="17"/>
              </w:rPr>
              <w:t>1.1432</w:t>
            </w:r>
          </w:p>
        </w:tc>
        <w:tc>
          <w:tcPr>
            <w:tcW w:type="dxa" w:w="2946"/>
            <w:vAlign w:val="center"/>
          </w:tcPr>
          <w:p>
            <w:pPr>
              <w:spacing w:before="0" w:after="0" w:line="252" w:lineRule="auto"/>
              <w:jc w:val="left"/>
            </w:pPr>
            <w:r>
              <w:rPr>
                <w:rFonts w:ascii="Times New Roman" w:hAnsi="Times New Roman"/>
                <w:b w:val="0"/>
                <w:i w:val="0"/>
                <w:color w:val="000000"/>
                <w:sz w:val="17"/>
              </w:rPr>
              <w:t>Órdenes varias a terceras entidades</w:t>
            </w:r>
          </w:p>
        </w:tc>
      </w:tr>
      <w:tr>
        <w:trPr>
          <w:cantSplit/>
        </w:trPr>
        <w:tc>
          <w:tcPr>
            <w:tcW w:type="dxa" w:w="1810"/>
            <w:vAlign w:val="center"/>
          </w:tcPr>
          <w:p>
            <w:pPr>
              <w:spacing w:before="0" w:after="0" w:line="252" w:lineRule="auto"/>
              <w:jc w:val="left"/>
            </w:pPr>
            <w:r>
              <w:rPr>
                <w:rFonts w:ascii="Times New Roman" w:hAnsi="Times New Roman"/>
                <w:b w:val="0"/>
                <w:i w:val="0"/>
                <w:color w:val="000000"/>
                <w:sz w:val="17"/>
              </w:rPr>
              <w:t>Servicios del Hogar (SIPO)</w:t>
            </w:r>
          </w:p>
        </w:tc>
        <w:tc>
          <w:tcPr>
            <w:tcW w:type="dxa" w:w="1153"/>
            <w:vAlign w:val="center"/>
          </w:tcPr>
          <w:p>
            <w:pPr>
              <w:spacing w:before="0" w:after="0" w:line="252" w:lineRule="auto"/>
              <w:jc w:val="center"/>
            </w:pPr>
            <w:r>
              <w:rPr>
                <w:rFonts w:ascii="Times New Roman" w:hAnsi="Times New Roman"/>
                <w:b w:val="0"/>
                <w:i w:val="0"/>
                <w:color w:val="000000"/>
                <w:sz w:val="17"/>
              </w:rPr>
              <w:t>3,365</w:t>
            </w:r>
          </w:p>
        </w:tc>
        <w:tc>
          <w:tcPr>
            <w:tcW w:type="dxa" w:w="1266"/>
            <w:vAlign w:val="center"/>
          </w:tcPr>
          <w:p>
            <w:pPr>
              <w:spacing w:before="0" w:after="0" w:line="252" w:lineRule="auto"/>
              <w:jc w:val="center"/>
            </w:pPr>
            <w:r>
              <w:rPr>
                <w:rFonts w:ascii="Times New Roman" w:hAnsi="Times New Roman"/>
                <w:b w:val="0"/>
                <w:i w:val="0"/>
                <w:color w:val="000000"/>
                <w:sz w:val="17"/>
              </w:rPr>
              <w:t>89.54%</w:t>
            </w:r>
          </w:p>
        </w:tc>
        <w:tc>
          <w:tcPr>
            <w:tcW w:type="dxa" w:w="1624"/>
            <w:vAlign w:val="center"/>
          </w:tcPr>
          <w:p>
            <w:pPr>
              <w:spacing w:before="0" w:after="0" w:line="252" w:lineRule="auto"/>
              <w:jc w:val="center"/>
            </w:pPr>
            <w:r>
              <w:rPr>
                <w:rFonts w:ascii="Times New Roman" w:hAnsi="Times New Roman"/>
                <w:b w:val="0"/>
                <w:i w:val="0"/>
                <w:color w:val="000000"/>
                <w:sz w:val="17"/>
              </w:rPr>
              <w:t>0.1105</w:t>
            </w:r>
          </w:p>
        </w:tc>
        <w:tc>
          <w:tcPr>
            <w:tcW w:type="dxa" w:w="2946"/>
            <w:vAlign w:val="center"/>
          </w:tcPr>
          <w:p>
            <w:pPr>
              <w:spacing w:before="0" w:after="0" w:line="252" w:lineRule="auto"/>
              <w:jc w:val="left"/>
            </w:pPr>
            <w:r>
              <w:rPr>
                <w:rFonts w:ascii="Times New Roman" w:hAnsi="Times New Roman"/>
                <w:b w:val="0"/>
                <w:i w:val="0"/>
                <w:color w:val="000000"/>
                <w:sz w:val="17"/>
              </w:rPr>
              <w:t>Servicio universal; penalizado para evitar saturación</w:t>
            </w:r>
          </w:p>
        </w:tc>
      </w:tr>
    </w:tbl>
    <w:p>
      <w:pPr>
        <w:spacing w:before="0" w:after="120"/>
      </w:pPr>
    </w:p>
    <w:p>
      <w:pPr>
        <w:keepNext/>
        <w:spacing w:before="200" w:after="60"/>
        <w:jc w:val="center"/>
      </w:pPr>
      <w:r>
        <w:drawing>
          <wp:inline xmlns:a="http://schemas.openxmlformats.org/drawingml/2006/main" xmlns:pic="http://schemas.openxmlformats.org/drawingml/2006/picture">
            <wp:extent cx="4663440" cy="2509383"/>
            <wp:docPr id="5" name="Picture 5"/>
            <wp:cNvGraphicFramePr>
              <a:graphicFrameLocks noChangeAspect="1"/>
            </wp:cNvGraphicFramePr>
            <a:graphic>
              <a:graphicData uri="http://schemas.openxmlformats.org/drawingml/2006/picture">
                <pic:pic>
                  <pic:nvPicPr>
                    <pic:cNvPr id="0" name="fig_2b_itf.png"/>
                    <pic:cNvPicPr/>
                  </pic:nvPicPr>
                  <pic:blipFill>
                    <a:blip r:embed="rId15"/>
                    <a:stretch>
                      <a:fillRect/>
                    </a:stretch>
                  </pic:blipFill>
                  <pic:spPr>
                    <a:xfrm>
                      <a:off x="0" y="0"/>
                      <a:ext cx="4663440" cy="2509383"/>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5:</w:t>
      </w:r>
      <w:r>
        <w:rPr>
          <w:rFonts w:ascii="Times New Roman" w:hAnsi="Times New Roman"/>
          <w:sz w:val="20"/>
        </w:rPr>
        <w:t xml:space="preserve"> Factores de Especificidad y Ponderación ITF por Categoría de Orden.</w:t>
      </w:r>
    </w:p>
    <w:p>
      <w:pPr>
        <w:spacing w:line="276" w:lineRule="auto" w:before="0" w:after="90"/>
        <w:jc w:val="both"/>
      </w:pPr>
      <w:r>
        <w:rPr>
          <w:rFonts w:ascii="Times New Roman" w:hAnsi="Times New Roman"/>
          <w:b w:val="0"/>
          <w:i w:val="0"/>
          <w:color w:val="000000"/>
          <w:sz w:val="22"/>
        </w:rPr>
        <w:t>Simulación comparativa de ordenamiento con y sin ITF: Considérese una cuenta activa que domicilia exclusivamente Cuota de Préstamo (717 cuentas). Bajo un recomendador no ponderado basado en co-ocurrencia pura: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Sin Ponderación ITF (Recomendación Trivial): </w:t>
      </w:r>
      <w:r>
        <w:rPr>
          <w:rFonts w:ascii="Times New Roman" w:hAnsi="Times New Roman"/>
          <w:b w:val="0"/>
          <w:i w:val="0"/>
          <w:color w:val="000000"/>
          <w:sz w:val="22"/>
        </w:rPr>
        <w:t>El producto con mayor similitud bruta es Servicios del Hogar (cos = 0.2936), seguido de Sin Especificar (0.2633), Pago de Seguros (0.1975) y Leasing (0.0000). El sistema sugeriría domiciliar el pago de servicios básicos, aportando una recomendación genérica y de mínimo valor bancario.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Con Ponderación ITF (Rescate de Alto Margen): </w:t>
      </w:r>
      <w:r>
        <w:rPr>
          <w:rFonts w:ascii="Times New Roman" w:hAnsi="Times New Roman"/>
          <w:b w:val="0"/>
          <w:i w:val="0"/>
          <w:color w:val="000000"/>
          <w:sz w:val="22"/>
        </w:rPr>
        <w:t>Al ponderar por el factor ITF, el score para Seguros asciende a 0.1975 × 1.9550 = 0.3861, mientras que el score para Servicios del Hogar se comprime drásticamente a 0.2936 × 0.1105 = 0.0324 (un factor 12 veces menor). El orden de recomendación se reestructura completamente, posicionando a Pago de Seguros en el primer lugar absoluto del ranking.</w:t>
      </w:r>
    </w:p>
    <w:p>
      <w:pPr>
        <w:spacing w:line="276" w:lineRule="auto" w:before="0" w:after="90"/>
        <w:jc w:val="both"/>
      </w:pPr>
      <w:r>
        <w:rPr>
          <w:rFonts w:ascii="Times New Roman" w:hAnsi="Times New Roman"/>
          <w:b w:val="0"/>
          <w:i w:val="0"/>
          <w:color w:val="000000"/>
          <w:sz w:val="22"/>
        </w:rPr>
        <w:t>Interpretación analítica y de negocio: Gracias al factor ITF, el peso asignado a Leasing (2.3998) y Seguros (1.9550) supera en más de 17 y 21 veces al de Servicios del Hogar (0.1105). En una cuenta que ya domicilia pagos básicos, el modelo prioriza recomendar seguros o leasing en lugar de emitir sugerencias redundantes, diversificando la cartera de productos.</w:t>
      </w:r>
    </w:p>
    <w:p>
      <w:pPr>
        <w:spacing w:line="276" w:lineRule="auto" w:before="0" w:after="90"/>
        <w:jc w:val="both"/>
      </w:pPr>
      <w:r>
        <w:rPr>
          <w:rFonts w:ascii="Times New Roman" w:hAnsi="Times New Roman"/>
          <w:b w:val="0"/>
          <w:i w:val="0"/>
          <w:color w:val="000000"/>
          <w:sz w:val="22"/>
        </w:rPr>
        <w:t>Recomendación estratégica de producto: Integrar el motor ITF en los canales de banca móvil para cuentas domiciliadas activas, priorizando en primer lugar el seguro de vida/salud y en segundo lugar opciones de financiamiento o arrendamiento.</w:t>
      </w:r>
    </w:p>
    <w:p>
      <w:pPr>
        <w:keepNext/>
        <w:spacing w:before="120" w:after="40"/>
        <w:jc w:val="left"/>
      </w:pPr>
      <w:r>
        <w:rPr>
          <w:rFonts w:ascii="Times New Roman" w:hAnsi="Times New Roman"/>
          <w:b/>
          <w:i w:val="0"/>
          <w:color w:val="000000"/>
          <w:sz w:val="22"/>
        </w:rPr>
        <w:t>Modelo 2C: Correlación de Pearson sobre Órdenes Domiciliadas</w:t>
      </w:r>
    </w:p>
    <w:p>
      <w:pPr>
        <w:spacing w:line="276" w:lineRule="auto" w:before="0" w:after="90"/>
        <w:jc w:val="both"/>
      </w:pPr>
      <w:r>
        <w:rPr>
          <w:rFonts w:ascii="Times New Roman" w:hAnsi="Times New Roman"/>
          <w:b w:val="0"/>
          <w:i w:val="0"/>
          <w:color w:val="000000"/>
          <w:sz w:val="22"/>
        </w:rPr>
        <w:t>Fundamento teórico y formulación: Evalúa la relación lineal entre las asignaciones contractuales de órdenes entre las 3,758 cuentas maestras mediante el coeficiente de correlación de Pearson sobre variables dicotómicas (coeficiente Phi):</w:t>
      </w:r>
    </w:p>
    <w:p>
      <w:pPr>
        <w:keepNext/>
        <w:spacing w:before="80" w:after="80"/>
        <w:jc w:val="center"/>
      </w:pPr>
      <m:oMathPara>
        <m:oMath>
          <m:r>
            <m:t>r(A,B)=</m:t>
          </m:r>
          <m:f>
            <m:fPr>
              <m:type m:val="bar"/>
            </m:fPr>
            <m:num>
              <m:nary>
                <m:naryPr>
                  <m:chr m:val="∑"/>
                  <m:limLoc m:val="subSup"/>
                  <m:grow m:val="1"/>
                  <m:subHide m:val="off"/>
                  <m:supHide m:val="off"/>
                </m:naryPr>
                <m:sub>
                  <m:r>
                    <m:t>u=1</m:t>
                  </m:r>
                </m:sub>
                <m:sup>
                  <m:r>
                    <m:t>3758</m:t>
                  </m:r>
                </m:sup>
                <m:e>
                  <m:r>
                    <m:t>(</m:t>
                  </m:r>
                </m:e>
              </m:nary>
              <m:sSub>
                <m:e>
                  <m:r>
                    <m:t>x</m:t>
                  </m:r>
                </m:e>
                <m:sub>
                  <m:r>
                    <m:t>u,A</m:t>
                  </m:r>
                </m:sub>
              </m:sSub>
              <m:r>
                <m:t>−</m:t>
              </m:r>
              <m:sSub>
                <m:e>
                  <m:bar>
                    <m:barPr>
                      <m:pos m:val="top"/>
                    </m:barPr>
                    <m:e>
                      <m:r>
                        <m:t>x</m:t>
                      </m:r>
                    </m:e>
                  </m:bar>
                </m:e>
                <m:sub>
                  <m:r>
                    <m:t>A</m:t>
                  </m:r>
                </m:sub>
              </m:sSub>
              <m:r>
                <m:t>)(</m:t>
              </m:r>
              <m:sSub>
                <m:e>
                  <m:r>
                    <m:t>x</m:t>
                  </m:r>
                </m:e>
                <m:sub>
                  <m:r>
                    <m:t>u,B</m:t>
                  </m:r>
                </m:sub>
              </m:sSub>
              <m:r>
                <m:t>−</m:t>
              </m:r>
              <m:sSub>
                <m:e>
                  <m:bar>
                    <m:barPr>
                      <m:pos m:val="top"/>
                    </m:barPr>
                    <m:e>
                      <m:r>
                        <m:t>x</m:t>
                      </m:r>
                    </m:e>
                  </m:bar>
                </m:e>
                <m:sub>
                  <m:r>
                    <m:t>B</m:t>
                  </m:r>
                </m:sub>
              </m:sSub>
              <m:r>
                <m:t>)</m:t>
              </m:r>
            </m:num>
            <m:den>
              <m:rad>
                <m:radPr>
                  <m:degHide m:val="on"/>
                </m:radPr>
                <m:deg/>
                <m:e>
                  <m:nary>
                    <m:naryPr>
                      <m:chr m:val="∑"/>
                      <m:limLoc m:val="subSup"/>
                      <m:grow m:val="1"/>
                      <m:subHide m:val="off"/>
                      <m:supHide m:val="off"/>
                    </m:naryPr>
                    <m:sub>
                      <m:r>
                        <m:t>u=1</m:t>
                      </m:r>
                    </m:sub>
                    <m:sup>
                      <m:r>
                        <m:t>3758</m:t>
                      </m:r>
                    </m:sup>
                    <m:e>
                      <m:r>
                        <m:t>(</m:t>
                      </m:r>
                    </m:e>
                  </m:nary>
                  <m:sSub>
                    <m:e>
                      <m:r>
                        <m:t>x</m:t>
                      </m:r>
                    </m:e>
                    <m:sub>
                      <m:r>
                        <m:t>u,A</m:t>
                      </m:r>
                    </m:sub>
                  </m:sSub>
                  <m:r>
                    <m:t>−</m:t>
                  </m:r>
                  <m:sSub>
                    <m:e>
                      <m:bar>
                        <m:barPr>
                          <m:pos m:val="top"/>
                        </m:barPr>
                        <m:e>
                          <m:r>
                            <m:t>x</m:t>
                          </m:r>
                        </m:e>
                      </m:bar>
                    </m:e>
                    <m:sub>
                      <m:r>
                        <m:t>A</m:t>
                      </m:r>
                    </m:sub>
                  </m:sSub>
                  <m:sSup>
                    <m:e>
                      <m:r>
                        <m:t>)</m:t>
                      </m:r>
                    </m:e>
                    <m:sup>
                      <m:r>
                        <m:t>2</m:t>
                      </m:r>
                    </m:sup>
                  </m:sSup>
                </m:e>
              </m:rad>
              <m:r>
                <m:t>·</m:t>
              </m:r>
              <m:rad>
                <m:radPr>
                  <m:degHide m:val="on"/>
                </m:radPr>
                <m:deg/>
                <m:e>
                  <m:nary>
                    <m:naryPr>
                      <m:chr m:val="∑"/>
                      <m:limLoc m:val="subSup"/>
                      <m:grow m:val="1"/>
                      <m:subHide m:val="off"/>
                      <m:supHide m:val="off"/>
                    </m:naryPr>
                    <m:sub>
                      <m:r>
                        <m:t>u=1</m:t>
                      </m:r>
                    </m:sub>
                    <m:sup>
                      <m:r>
                        <m:t>3758</m:t>
                      </m:r>
                    </m:sup>
                    <m:e>
                      <m:r>
                        <m:t>(</m:t>
                      </m:r>
                    </m:e>
                  </m:nary>
                  <m:sSub>
                    <m:e>
                      <m:r>
                        <m:t>x</m:t>
                      </m:r>
                    </m:e>
                    <m:sub>
                      <m:r>
                        <m:t>u,B</m:t>
                      </m:r>
                    </m:sub>
                  </m:sSub>
                  <m:r>
                    <m:t>−</m:t>
                  </m:r>
                  <m:sSub>
                    <m:e>
                      <m:bar>
                        <m:barPr>
                          <m:pos m:val="top"/>
                        </m:barPr>
                        <m:e>
                          <m:r>
                            <m:t>x</m:t>
                          </m:r>
                        </m:e>
                      </m:bar>
                    </m:e>
                    <m:sub>
                      <m:r>
                        <m:t>B</m:t>
                      </m:r>
                    </m:sub>
                  </m:sSub>
                  <m:sSup>
                    <m:e>
                      <m:r>
                        <m:t>)</m:t>
                      </m:r>
                    </m:e>
                    <m:sup>
                      <m:r>
                        <m:t>2</m:t>
                      </m:r>
                    </m:sup>
                  </m:sSup>
                </m:e>
              </m:rad>
            </m:den>
          </m:f>
        </m:oMath>
      </m:oMathPara>
    </w:p>
    <w:p>
      <w:pPr>
        <w:spacing w:line="276" w:lineRule="auto" w:before="0" w:after="90"/>
        <w:jc w:val="both"/>
      </w:pPr>
      <w:r>
        <w:rPr>
          <w:rFonts w:ascii="Times New Roman" w:hAnsi="Times New Roman"/>
          <w:b w:val="0"/>
          <w:i w:val="0"/>
          <w:color w:val="000000"/>
          <w:sz w:val="22"/>
        </w:rPr>
        <w:t>La Tabla 10 expone la matriz de correlación de órdenes domiciliadas:</w:t>
      </w:r>
    </w:p>
    <w:p>
      <w:pPr>
        <w:keepNext/>
        <w:spacing w:before="200" w:after="80"/>
        <w:jc w:val="center"/>
      </w:pPr>
      <w:r>
        <w:rPr>
          <w:rFonts w:ascii="Times New Roman" w:hAnsi="Times New Roman"/>
          <w:b/>
          <w:i w:val="0"/>
          <w:color w:val="000000"/>
          <w:sz w:val="21"/>
        </w:rPr>
        <w:t>Tabla 10:</w:t>
      </w:r>
      <w:r>
        <w:rPr>
          <w:rFonts w:ascii="Times New Roman" w:hAnsi="Times New Roman"/>
          <w:sz w:val="21"/>
        </w:rPr>
        <w:t xml:space="preserve"> Matriz de Correlación de Pearson sobre Órdenes Domiciliadas (df_ordenes).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466"/>
        <w:gridCol w:w="1466"/>
        <w:gridCol w:w="1466"/>
        <w:gridCol w:w="1466"/>
        <w:gridCol w:w="1466"/>
        <w:gridCol w:w="1466"/>
      </w:tblGrid>
      <w:tr>
        <w:trPr>
          <w:tblHeader/>
          <w:cantSplit/>
        </w:trPr>
        <w:tc>
          <w:tcPr>
            <w:tcW w:type="dxa" w:w="1686"/>
            <w:vAlign w:val="center"/>
            <w:tcBorders>
              <w:bottom w:val="single" w:sz="6" w:space="0" w:color="000000"/>
            </w:tcBorders>
          </w:tcPr>
          <w:p>
            <w:pPr>
              <w:spacing w:before="0" w:after="0" w:line="252" w:lineRule="auto"/>
              <w:jc w:val="center"/>
            </w:pPr>
            <w:r>
              <w:rPr>
                <w:rFonts w:ascii="Times New Roman" w:hAnsi="Times New Roman"/>
                <w:b/>
                <w:i w:val="0"/>
                <w:color w:val="000000"/>
                <w:sz w:val="17"/>
              </w:rPr>
              <w:t>Categoría de Orden</w:t>
            </w:r>
          </w:p>
        </w:tc>
        <w:tc>
          <w:tcPr>
            <w:tcW w:type="dxa" w:w="1686"/>
            <w:vAlign w:val="center"/>
            <w:tcBorders>
              <w:bottom w:val="single" w:sz="6" w:space="0" w:color="000000"/>
            </w:tcBorders>
          </w:tcPr>
          <w:p>
            <w:pPr>
              <w:spacing w:before="0" w:after="0" w:line="252" w:lineRule="auto"/>
              <w:jc w:val="center"/>
            </w:pPr>
            <w:r>
              <w:rPr>
                <w:rFonts w:ascii="Times New Roman" w:hAnsi="Times New Roman"/>
                <w:b/>
                <w:i w:val="0"/>
                <w:color w:val="000000"/>
                <w:sz w:val="17"/>
              </w:rPr>
              <w:t>Arrendamiento / Leasing</w:t>
            </w:r>
          </w:p>
        </w:tc>
        <w:tc>
          <w:tcPr>
            <w:tcW w:type="dxa" w:w="1385"/>
            <w:vAlign w:val="center"/>
            <w:tcBorders>
              <w:bottom w:val="single" w:sz="6" w:space="0" w:color="000000"/>
            </w:tcBorders>
          </w:tcPr>
          <w:p>
            <w:pPr>
              <w:spacing w:before="0" w:after="0" w:line="252" w:lineRule="auto"/>
              <w:jc w:val="center"/>
            </w:pPr>
            <w:r>
              <w:rPr>
                <w:rFonts w:ascii="Times New Roman" w:hAnsi="Times New Roman"/>
                <w:b/>
                <w:i w:val="0"/>
                <w:color w:val="000000"/>
                <w:sz w:val="17"/>
              </w:rPr>
              <w:t>Cuota de Préstamo</w:t>
            </w:r>
          </w:p>
        </w:tc>
        <w:tc>
          <w:tcPr>
            <w:tcW w:type="dxa" w:w="1277"/>
            <w:vAlign w:val="center"/>
            <w:tcBorders>
              <w:bottom w:val="single" w:sz="6" w:space="0" w:color="000000"/>
            </w:tcBorders>
          </w:tcPr>
          <w:p>
            <w:pPr>
              <w:spacing w:before="0" w:after="0" w:line="252" w:lineRule="auto"/>
              <w:jc w:val="center"/>
            </w:pPr>
            <w:r>
              <w:rPr>
                <w:rFonts w:ascii="Times New Roman" w:hAnsi="Times New Roman"/>
                <w:b/>
                <w:i w:val="0"/>
                <w:color w:val="000000"/>
                <w:sz w:val="17"/>
              </w:rPr>
              <w:t>Pago de Seguros</w:t>
            </w:r>
          </w:p>
        </w:tc>
        <w:tc>
          <w:tcPr>
            <w:tcW w:type="dxa" w:w="1489"/>
            <w:vAlign w:val="center"/>
            <w:tcBorders>
              <w:bottom w:val="single" w:sz="6" w:space="0" w:color="000000"/>
            </w:tcBorders>
          </w:tcPr>
          <w:p>
            <w:pPr>
              <w:spacing w:before="0" w:after="0" w:line="252" w:lineRule="auto"/>
              <w:jc w:val="center"/>
            </w:pPr>
            <w:r>
              <w:rPr>
                <w:rFonts w:ascii="Times New Roman" w:hAnsi="Times New Roman"/>
                <w:b/>
                <w:i w:val="0"/>
                <w:color w:val="000000"/>
                <w:sz w:val="17"/>
              </w:rPr>
              <w:t>Servicios del Hogar</w:t>
            </w:r>
          </w:p>
        </w:tc>
        <w:tc>
          <w:tcPr>
            <w:tcW w:type="dxa" w:w="1277"/>
            <w:vAlign w:val="center"/>
            <w:tcBorders>
              <w:bottom w:val="single" w:sz="6" w:space="0" w:color="000000"/>
            </w:tcBorders>
          </w:tcPr>
          <w:p>
            <w:pPr>
              <w:spacing w:before="0" w:after="0" w:line="252" w:lineRule="auto"/>
              <w:jc w:val="center"/>
            </w:pPr>
            <w:r>
              <w:rPr>
                <w:rFonts w:ascii="Times New Roman" w:hAnsi="Times New Roman"/>
                <w:b/>
                <w:i w:val="0"/>
                <w:color w:val="000000"/>
                <w:sz w:val="17"/>
              </w:rPr>
              <w:t>Sin Especificar</w:t>
            </w:r>
          </w:p>
        </w:tc>
      </w:tr>
      <w:tr>
        <w:trPr>
          <w:cantSplit/>
        </w:trPr>
        <w:tc>
          <w:tcPr>
            <w:tcW w:type="dxa" w:w="1686"/>
            <w:vAlign w:val="center"/>
          </w:tcPr>
          <w:p>
            <w:pPr>
              <w:spacing w:before="0" w:after="0" w:line="252" w:lineRule="auto"/>
              <w:jc w:val="left"/>
            </w:pPr>
            <w:r>
              <w:rPr>
                <w:rFonts w:ascii="Times New Roman" w:hAnsi="Times New Roman"/>
                <w:b w:val="0"/>
                <w:i w:val="0"/>
                <w:color w:val="000000"/>
                <w:sz w:val="17"/>
              </w:rPr>
              <w:t>Arrendamiento / Leasing</w:t>
            </w:r>
          </w:p>
        </w:tc>
        <w:tc>
          <w:tcPr>
            <w:tcW w:type="dxa" w:w="1686"/>
            <w:vAlign w:val="center"/>
          </w:tcPr>
          <w:p>
            <w:pPr>
              <w:spacing w:before="0" w:after="0" w:line="252" w:lineRule="auto"/>
              <w:jc w:val="center"/>
            </w:pPr>
            <w:r>
              <w:rPr>
                <w:rFonts w:ascii="Times New Roman" w:hAnsi="Times New Roman"/>
                <w:b w:val="0"/>
                <w:i w:val="0"/>
                <w:color w:val="000000"/>
                <w:sz w:val="17"/>
              </w:rPr>
              <w:t>1.0000</w:t>
            </w:r>
          </w:p>
        </w:tc>
        <w:tc>
          <w:tcPr>
            <w:tcW w:type="dxa" w:w="1385"/>
            <w:vAlign w:val="center"/>
          </w:tcPr>
          <w:p>
            <w:pPr>
              <w:spacing w:before="0" w:after="0" w:line="252" w:lineRule="auto"/>
              <w:jc w:val="center"/>
            </w:pPr>
            <w:r>
              <w:rPr>
                <w:rFonts w:ascii="Times New Roman" w:hAnsi="Times New Roman"/>
                <w:b w:val="0"/>
                <w:i w:val="0"/>
                <w:color w:val="000000"/>
                <w:sz w:val="17"/>
              </w:rPr>
              <w:t>-0.1534</w:t>
            </w:r>
          </w:p>
        </w:tc>
        <w:tc>
          <w:tcPr>
            <w:tcW w:type="dxa" w:w="1277"/>
            <w:vAlign w:val="center"/>
          </w:tcPr>
          <w:p>
            <w:pPr>
              <w:spacing w:before="0" w:after="0" w:line="252" w:lineRule="auto"/>
              <w:jc w:val="center"/>
            </w:pPr>
            <w:r>
              <w:rPr>
                <w:rFonts w:ascii="Times New Roman" w:hAnsi="Times New Roman"/>
                <w:b w:val="0"/>
                <w:i w:val="0"/>
                <w:color w:val="000000"/>
                <w:sz w:val="17"/>
              </w:rPr>
              <w:t>+0.0046</w:t>
            </w:r>
          </w:p>
        </w:tc>
        <w:tc>
          <w:tcPr>
            <w:tcW w:type="dxa" w:w="1489"/>
            <w:vAlign w:val="center"/>
          </w:tcPr>
          <w:p>
            <w:pPr>
              <w:spacing w:before="0" w:after="0" w:line="252" w:lineRule="auto"/>
              <w:jc w:val="center"/>
            </w:pPr>
            <w:r>
              <w:rPr>
                <w:rFonts w:ascii="Times New Roman" w:hAnsi="Times New Roman"/>
                <w:b w:val="0"/>
                <w:i w:val="0"/>
                <w:color w:val="000000"/>
                <w:sz w:val="17"/>
              </w:rPr>
              <w:t>-0.2917</w:t>
            </w:r>
          </w:p>
        </w:tc>
        <w:tc>
          <w:tcPr>
            <w:tcW w:type="dxa" w:w="1277"/>
            <w:vAlign w:val="center"/>
          </w:tcPr>
          <w:p>
            <w:pPr>
              <w:spacing w:before="0" w:after="0" w:line="252" w:lineRule="auto"/>
              <w:jc w:val="center"/>
            </w:pPr>
            <w:r>
              <w:rPr>
                <w:rFonts w:ascii="Times New Roman" w:hAnsi="Times New Roman"/>
                <w:b w:val="0"/>
                <w:i w:val="0"/>
                <w:color w:val="000000"/>
                <w:sz w:val="17"/>
              </w:rPr>
              <w:t>-0.0153</w:t>
            </w:r>
          </w:p>
        </w:tc>
      </w:tr>
      <w:tr>
        <w:trPr>
          <w:cantSplit/>
        </w:trPr>
        <w:tc>
          <w:tcPr>
            <w:tcW w:type="dxa" w:w="1686"/>
            <w:vAlign w:val="center"/>
          </w:tcPr>
          <w:p>
            <w:pPr>
              <w:spacing w:before="0" w:after="0" w:line="252" w:lineRule="auto"/>
              <w:jc w:val="left"/>
            </w:pPr>
            <w:r>
              <w:rPr>
                <w:rFonts w:ascii="Times New Roman" w:hAnsi="Times New Roman"/>
                <w:b w:val="0"/>
                <w:i w:val="0"/>
                <w:color w:val="000000"/>
                <w:sz w:val="17"/>
              </w:rPr>
              <w:t>Cuota de Préstamo</w:t>
            </w:r>
          </w:p>
        </w:tc>
        <w:tc>
          <w:tcPr>
            <w:tcW w:type="dxa" w:w="1686"/>
            <w:vAlign w:val="center"/>
          </w:tcPr>
          <w:p>
            <w:pPr>
              <w:spacing w:before="0" w:after="0" w:line="252" w:lineRule="auto"/>
              <w:jc w:val="center"/>
            </w:pPr>
            <w:r>
              <w:rPr>
                <w:rFonts w:ascii="Times New Roman" w:hAnsi="Times New Roman"/>
                <w:b w:val="0"/>
                <w:i w:val="0"/>
                <w:color w:val="000000"/>
                <w:sz w:val="17"/>
              </w:rPr>
              <w:t>-0.1534</w:t>
            </w:r>
          </w:p>
        </w:tc>
        <w:tc>
          <w:tcPr>
            <w:tcW w:type="dxa" w:w="1385"/>
            <w:vAlign w:val="center"/>
          </w:tcPr>
          <w:p>
            <w:pPr>
              <w:spacing w:before="0" w:after="0" w:line="252" w:lineRule="auto"/>
              <w:jc w:val="center"/>
            </w:pPr>
            <w:r>
              <w:rPr>
                <w:rFonts w:ascii="Times New Roman" w:hAnsi="Times New Roman"/>
                <w:b w:val="0"/>
                <w:i w:val="0"/>
                <w:color w:val="000000"/>
                <w:sz w:val="17"/>
              </w:rPr>
              <w:t>1.0000</w:t>
            </w:r>
          </w:p>
        </w:tc>
        <w:tc>
          <w:tcPr>
            <w:tcW w:type="dxa" w:w="1277"/>
            <w:vAlign w:val="center"/>
          </w:tcPr>
          <w:p>
            <w:pPr>
              <w:spacing w:before="0" w:after="0" w:line="252" w:lineRule="auto"/>
              <w:jc w:val="center"/>
            </w:pPr>
            <w:r>
              <w:rPr>
                <w:rFonts w:ascii="Times New Roman" w:hAnsi="Times New Roman"/>
                <w:b w:val="0"/>
                <w:i w:val="0"/>
                <w:color w:val="000000"/>
                <w:sz w:val="17"/>
              </w:rPr>
              <w:t>+0.0398</w:t>
            </w:r>
          </w:p>
        </w:tc>
        <w:tc>
          <w:tcPr>
            <w:tcW w:type="dxa" w:w="1489"/>
            <w:vAlign w:val="center"/>
          </w:tcPr>
          <w:p>
            <w:pPr>
              <w:spacing w:before="0" w:after="0" w:line="252" w:lineRule="auto"/>
              <w:jc w:val="center"/>
            </w:pPr>
            <w:r>
              <w:rPr>
                <w:rFonts w:ascii="Times New Roman" w:hAnsi="Times New Roman"/>
                <w:b w:val="0"/>
                <w:i w:val="0"/>
                <w:color w:val="000000"/>
                <w:sz w:val="17"/>
              </w:rPr>
              <w:t>-0.4117</w:t>
            </w:r>
          </w:p>
        </w:tc>
        <w:tc>
          <w:tcPr>
            <w:tcW w:type="dxa" w:w="1277"/>
            <w:vAlign w:val="center"/>
          </w:tcPr>
          <w:p>
            <w:pPr>
              <w:spacing w:before="0" w:after="0" w:line="252" w:lineRule="auto"/>
              <w:jc w:val="center"/>
            </w:pPr>
            <w:r>
              <w:rPr>
                <w:rFonts w:ascii="Times New Roman" w:hAnsi="Times New Roman"/>
                <w:b w:val="0"/>
                <w:i w:val="0"/>
                <w:color w:val="000000"/>
                <w:sz w:val="17"/>
              </w:rPr>
              <w:t>+0.0224</w:t>
            </w:r>
          </w:p>
        </w:tc>
      </w:tr>
      <w:tr>
        <w:trPr>
          <w:cantSplit/>
        </w:trPr>
        <w:tc>
          <w:tcPr>
            <w:tcW w:type="dxa" w:w="1686"/>
            <w:vAlign w:val="center"/>
          </w:tcPr>
          <w:p>
            <w:pPr>
              <w:spacing w:before="0" w:after="0" w:line="252" w:lineRule="auto"/>
              <w:jc w:val="left"/>
            </w:pPr>
            <w:r>
              <w:rPr>
                <w:rFonts w:ascii="Times New Roman" w:hAnsi="Times New Roman"/>
                <w:b w:val="0"/>
                <w:i w:val="0"/>
                <w:color w:val="000000"/>
                <w:sz w:val="17"/>
              </w:rPr>
              <w:t>Pago de Seguros</w:t>
            </w:r>
          </w:p>
        </w:tc>
        <w:tc>
          <w:tcPr>
            <w:tcW w:type="dxa" w:w="1686"/>
            <w:vAlign w:val="center"/>
          </w:tcPr>
          <w:p>
            <w:pPr>
              <w:spacing w:before="0" w:after="0" w:line="252" w:lineRule="auto"/>
              <w:jc w:val="center"/>
            </w:pPr>
            <w:r>
              <w:rPr>
                <w:rFonts w:ascii="Times New Roman" w:hAnsi="Times New Roman"/>
                <w:b w:val="0"/>
                <w:i w:val="0"/>
                <w:color w:val="000000"/>
                <w:sz w:val="17"/>
              </w:rPr>
              <w:t>+0.0046</w:t>
            </w:r>
          </w:p>
        </w:tc>
        <w:tc>
          <w:tcPr>
            <w:tcW w:type="dxa" w:w="1385"/>
            <w:vAlign w:val="center"/>
          </w:tcPr>
          <w:p>
            <w:pPr>
              <w:spacing w:before="0" w:after="0" w:line="252" w:lineRule="auto"/>
              <w:jc w:val="center"/>
            </w:pPr>
            <w:r>
              <w:rPr>
                <w:rFonts w:ascii="Times New Roman" w:hAnsi="Times New Roman"/>
                <w:b w:val="0"/>
                <w:i w:val="0"/>
                <w:color w:val="000000"/>
                <w:sz w:val="17"/>
              </w:rPr>
              <w:t>+0.0398</w:t>
            </w:r>
          </w:p>
        </w:tc>
        <w:tc>
          <w:tcPr>
            <w:tcW w:type="dxa" w:w="1277"/>
            <w:vAlign w:val="center"/>
          </w:tcPr>
          <w:p>
            <w:pPr>
              <w:spacing w:before="0" w:after="0" w:line="252" w:lineRule="auto"/>
              <w:jc w:val="center"/>
            </w:pPr>
            <w:r>
              <w:rPr>
                <w:rFonts w:ascii="Times New Roman" w:hAnsi="Times New Roman"/>
                <w:b w:val="0"/>
                <w:i w:val="0"/>
                <w:color w:val="000000"/>
                <w:sz w:val="17"/>
              </w:rPr>
              <w:t>1.0000</w:t>
            </w:r>
          </w:p>
        </w:tc>
        <w:tc>
          <w:tcPr>
            <w:tcW w:type="dxa" w:w="1489"/>
            <w:vAlign w:val="center"/>
          </w:tcPr>
          <w:p>
            <w:pPr>
              <w:spacing w:before="0" w:after="0" w:line="252" w:lineRule="auto"/>
              <w:jc w:val="center"/>
            </w:pPr>
            <w:r>
              <w:rPr>
                <w:rFonts w:ascii="Times New Roman" w:hAnsi="Times New Roman"/>
                <w:b w:val="0"/>
                <w:i w:val="0"/>
                <w:color w:val="000000"/>
                <w:sz w:val="17"/>
              </w:rPr>
              <w:t>+0.1388</w:t>
            </w:r>
          </w:p>
        </w:tc>
        <w:tc>
          <w:tcPr>
            <w:tcW w:type="dxa" w:w="1277"/>
            <w:vAlign w:val="center"/>
          </w:tcPr>
          <w:p>
            <w:pPr>
              <w:spacing w:before="0" w:after="0" w:line="252" w:lineRule="auto"/>
              <w:jc w:val="center"/>
            </w:pPr>
            <w:r>
              <w:rPr>
                <w:rFonts w:ascii="Times New Roman" w:hAnsi="Times New Roman"/>
                <w:b w:val="0"/>
                <w:i w:val="0"/>
                <w:color w:val="000000"/>
                <w:sz w:val="17"/>
              </w:rPr>
              <w:t>+0.5936</w:t>
            </w:r>
          </w:p>
        </w:tc>
      </w:tr>
      <w:tr>
        <w:trPr>
          <w:cantSplit/>
        </w:trPr>
        <w:tc>
          <w:tcPr>
            <w:tcW w:type="dxa" w:w="1686"/>
            <w:vAlign w:val="center"/>
          </w:tcPr>
          <w:p>
            <w:pPr>
              <w:spacing w:before="0" w:after="0" w:line="252" w:lineRule="auto"/>
              <w:jc w:val="left"/>
            </w:pPr>
            <w:r>
              <w:rPr>
                <w:rFonts w:ascii="Times New Roman" w:hAnsi="Times New Roman"/>
                <w:b w:val="0"/>
                <w:i w:val="0"/>
                <w:color w:val="000000"/>
                <w:sz w:val="17"/>
              </w:rPr>
              <w:t>Servicios del Hogar</w:t>
            </w:r>
          </w:p>
        </w:tc>
        <w:tc>
          <w:tcPr>
            <w:tcW w:type="dxa" w:w="1686"/>
            <w:vAlign w:val="center"/>
          </w:tcPr>
          <w:p>
            <w:pPr>
              <w:spacing w:before="0" w:after="0" w:line="252" w:lineRule="auto"/>
              <w:jc w:val="center"/>
            </w:pPr>
            <w:r>
              <w:rPr>
                <w:rFonts w:ascii="Times New Roman" w:hAnsi="Times New Roman"/>
                <w:b w:val="0"/>
                <w:i w:val="0"/>
                <w:color w:val="000000"/>
                <w:sz w:val="17"/>
              </w:rPr>
              <w:t>-0.2917</w:t>
            </w:r>
          </w:p>
        </w:tc>
        <w:tc>
          <w:tcPr>
            <w:tcW w:type="dxa" w:w="1385"/>
            <w:vAlign w:val="center"/>
          </w:tcPr>
          <w:p>
            <w:pPr>
              <w:spacing w:before="0" w:after="0" w:line="252" w:lineRule="auto"/>
              <w:jc w:val="center"/>
            </w:pPr>
            <w:r>
              <w:rPr>
                <w:rFonts w:ascii="Times New Roman" w:hAnsi="Times New Roman"/>
                <w:b w:val="0"/>
                <w:i w:val="0"/>
                <w:color w:val="000000"/>
                <w:sz w:val="17"/>
              </w:rPr>
              <w:t>-0.4117</w:t>
            </w:r>
          </w:p>
        </w:tc>
        <w:tc>
          <w:tcPr>
            <w:tcW w:type="dxa" w:w="1277"/>
            <w:vAlign w:val="center"/>
          </w:tcPr>
          <w:p>
            <w:pPr>
              <w:spacing w:before="0" w:after="0" w:line="252" w:lineRule="auto"/>
              <w:jc w:val="center"/>
            </w:pPr>
            <w:r>
              <w:rPr>
                <w:rFonts w:ascii="Times New Roman" w:hAnsi="Times New Roman"/>
                <w:b w:val="0"/>
                <w:i w:val="0"/>
                <w:color w:val="000000"/>
                <w:sz w:val="17"/>
              </w:rPr>
              <w:t>+0.1388</w:t>
            </w:r>
          </w:p>
        </w:tc>
        <w:tc>
          <w:tcPr>
            <w:tcW w:type="dxa" w:w="1489"/>
            <w:vAlign w:val="center"/>
          </w:tcPr>
          <w:p>
            <w:pPr>
              <w:spacing w:before="0" w:after="0" w:line="252" w:lineRule="auto"/>
              <w:jc w:val="center"/>
            </w:pPr>
            <w:r>
              <w:rPr>
                <w:rFonts w:ascii="Times New Roman" w:hAnsi="Times New Roman"/>
                <w:b w:val="0"/>
                <w:i w:val="0"/>
                <w:color w:val="000000"/>
                <w:sz w:val="17"/>
              </w:rPr>
              <w:t>1.0000</w:t>
            </w:r>
          </w:p>
        </w:tc>
        <w:tc>
          <w:tcPr>
            <w:tcW w:type="dxa" w:w="1277"/>
            <w:vAlign w:val="center"/>
          </w:tcPr>
          <w:p>
            <w:pPr>
              <w:spacing w:before="0" w:after="0" w:line="252" w:lineRule="auto"/>
              <w:jc w:val="center"/>
            </w:pPr>
            <w:r>
              <w:rPr>
                <w:rFonts w:ascii="Times New Roman" w:hAnsi="Times New Roman"/>
                <w:b w:val="0"/>
                <w:i w:val="0"/>
                <w:color w:val="000000"/>
                <w:sz w:val="17"/>
              </w:rPr>
              <w:t>+0.2338</w:t>
            </w:r>
          </w:p>
        </w:tc>
      </w:tr>
      <w:tr>
        <w:trPr>
          <w:cantSplit/>
        </w:trPr>
        <w:tc>
          <w:tcPr>
            <w:tcW w:type="dxa" w:w="1686"/>
            <w:vAlign w:val="center"/>
          </w:tcPr>
          <w:p>
            <w:pPr>
              <w:spacing w:before="0" w:after="0" w:line="252" w:lineRule="auto"/>
              <w:jc w:val="left"/>
            </w:pPr>
            <w:r>
              <w:rPr>
                <w:rFonts w:ascii="Times New Roman" w:hAnsi="Times New Roman"/>
                <w:b w:val="0"/>
                <w:i w:val="0"/>
                <w:color w:val="000000"/>
                <w:sz w:val="17"/>
              </w:rPr>
              <w:t>Sin Especificar</w:t>
            </w:r>
          </w:p>
        </w:tc>
        <w:tc>
          <w:tcPr>
            <w:tcW w:type="dxa" w:w="1686"/>
            <w:vAlign w:val="center"/>
          </w:tcPr>
          <w:p>
            <w:pPr>
              <w:spacing w:before="0" w:after="0" w:line="252" w:lineRule="auto"/>
              <w:jc w:val="center"/>
            </w:pPr>
            <w:r>
              <w:rPr>
                <w:rFonts w:ascii="Times New Roman" w:hAnsi="Times New Roman"/>
                <w:b w:val="0"/>
                <w:i w:val="0"/>
                <w:color w:val="000000"/>
                <w:sz w:val="17"/>
              </w:rPr>
              <w:t>-0.0153</w:t>
            </w:r>
          </w:p>
        </w:tc>
        <w:tc>
          <w:tcPr>
            <w:tcW w:type="dxa" w:w="1385"/>
            <w:vAlign w:val="center"/>
          </w:tcPr>
          <w:p>
            <w:pPr>
              <w:spacing w:before="0" w:after="0" w:line="252" w:lineRule="auto"/>
              <w:jc w:val="center"/>
            </w:pPr>
            <w:r>
              <w:rPr>
                <w:rFonts w:ascii="Times New Roman" w:hAnsi="Times New Roman"/>
                <w:b w:val="0"/>
                <w:i w:val="0"/>
                <w:color w:val="000000"/>
                <w:sz w:val="17"/>
              </w:rPr>
              <w:t>+0.0224</w:t>
            </w:r>
          </w:p>
        </w:tc>
        <w:tc>
          <w:tcPr>
            <w:tcW w:type="dxa" w:w="1277"/>
            <w:vAlign w:val="center"/>
          </w:tcPr>
          <w:p>
            <w:pPr>
              <w:spacing w:before="0" w:after="0" w:line="252" w:lineRule="auto"/>
              <w:jc w:val="center"/>
            </w:pPr>
            <w:r>
              <w:rPr>
                <w:rFonts w:ascii="Times New Roman" w:hAnsi="Times New Roman"/>
                <w:b w:val="0"/>
                <w:i w:val="0"/>
                <w:color w:val="000000"/>
                <w:sz w:val="17"/>
              </w:rPr>
              <w:t>+0.5936</w:t>
            </w:r>
          </w:p>
        </w:tc>
        <w:tc>
          <w:tcPr>
            <w:tcW w:type="dxa" w:w="1489"/>
            <w:vAlign w:val="center"/>
          </w:tcPr>
          <w:p>
            <w:pPr>
              <w:spacing w:before="0" w:after="0" w:line="252" w:lineRule="auto"/>
              <w:jc w:val="center"/>
            </w:pPr>
            <w:r>
              <w:rPr>
                <w:rFonts w:ascii="Times New Roman" w:hAnsi="Times New Roman"/>
                <w:b w:val="0"/>
                <w:i w:val="0"/>
                <w:color w:val="000000"/>
                <w:sz w:val="17"/>
              </w:rPr>
              <w:t>+0.2338</w:t>
            </w:r>
          </w:p>
        </w:tc>
        <w:tc>
          <w:tcPr>
            <w:tcW w:type="dxa" w:w="1277"/>
            <w:vAlign w:val="center"/>
          </w:tcPr>
          <w:p>
            <w:pPr>
              <w:spacing w:before="0" w:after="0" w:line="252" w:lineRule="auto"/>
              <w:jc w:val="center"/>
            </w:pPr>
            <w:r>
              <w:rPr>
                <w:rFonts w:ascii="Times New Roman" w:hAnsi="Times New Roman"/>
                <w:b w:val="0"/>
                <w:i w:val="0"/>
                <w:color w:val="000000"/>
                <w:sz w:val="17"/>
              </w:rPr>
              <w:t>1.0000</w:t>
            </w:r>
          </w:p>
        </w:tc>
      </w:tr>
    </w:tbl>
    <w:p>
      <w:pPr>
        <w:spacing w:before="0" w:after="120"/>
      </w:pPr>
    </w:p>
    <w:p>
      <w:pPr>
        <w:keepNext/>
        <w:spacing w:before="200" w:after="60"/>
        <w:jc w:val="center"/>
      </w:pPr>
      <w:r>
        <w:drawing>
          <wp:inline xmlns:a="http://schemas.openxmlformats.org/drawingml/2006/main" xmlns:pic="http://schemas.openxmlformats.org/drawingml/2006/picture">
            <wp:extent cx="4389120" cy="3260489"/>
            <wp:docPr id="6" name="Picture 6"/>
            <wp:cNvGraphicFramePr>
              <a:graphicFrameLocks noChangeAspect="1"/>
            </wp:cNvGraphicFramePr>
            <a:graphic>
              <a:graphicData uri="http://schemas.openxmlformats.org/drawingml/2006/picture">
                <pic:pic>
                  <pic:nvPicPr>
                    <pic:cNvPr id="0" name="fig_2c_pearson.png"/>
                    <pic:cNvPicPr/>
                  </pic:nvPicPr>
                  <pic:blipFill>
                    <a:blip r:embed="rId16"/>
                    <a:stretch>
                      <a:fillRect/>
                    </a:stretch>
                  </pic:blipFill>
                  <pic:spPr>
                    <a:xfrm>
                      <a:off x="0" y="0"/>
                      <a:ext cx="4389120" cy="3260489"/>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6:</w:t>
      </w:r>
      <w:r>
        <w:rPr>
          <w:rFonts w:ascii="Times New Roman" w:hAnsi="Times New Roman"/>
          <w:sz w:val="20"/>
        </w:rPr>
        <w:t xml:space="preserve"> Matriz de Correlación de Pearson en Órdenes Domiciliadas.</w:t>
      </w:r>
    </w:p>
    <w:p>
      <w:pPr>
        <w:spacing w:line="276" w:lineRule="auto" w:before="0" w:after="90"/>
        <w:jc w:val="both"/>
      </w:pPr>
      <w:r>
        <w:rPr>
          <w:rFonts w:ascii="Times New Roman" w:hAnsi="Times New Roman"/>
          <w:b w:val="0"/>
          <w:i w:val="0"/>
          <w:color w:val="000000"/>
          <w:sz w:val="22"/>
        </w:rPr>
        <w:t>Interpretación analítica y de negocio: La correlación negativa moderada entre Servicios del Hogar y Cuota de Préstamo (r = -0.4117) respalda la hipótesis plausible de que los clientes operan con segregación presupuestaria: las cuentas destinadas a la amortización crediticia formal suelen manejarse de forma separada de las cuentas de gestión exclusiva de gastos domésticos. Asimismo, la correlación positiva entre Seguros y Sin Especificar (+0.5936) refleja órdenes automáticas periódicas hacia aseguradoras externas no clasificadas.</w:t>
      </w:r>
    </w:p>
    <w:p>
      <w:pPr>
        <w:spacing w:line="276" w:lineRule="auto" w:before="0" w:after="90"/>
        <w:jc w:val="both"/>
      </w:pPr>
      <w:r>
        <w:rPr>
          <w:rFonts w:ascii="Times New Roman" w:hAnsi="Times New Roman"/>
          <w:b w:val="0"/>
          <w:i w:val="0"/>
          <w:color w:val="000000"/>
          <w:sz w:val="22"/>
        </w:rPr>
        <w:t>Recomendación estratégica de producto: Desarrollar campañas de portabilidad financiera y consolidación de débitos permanentes, incentivando a los prestatarios a unificar sus pagos domésticos en la misma cuenta de crédito a cambio de bonificaciones de tasa de interés.</w:t>
      </w:r>
    </w:p>
    <w:p>
      <w:pPr>
        <w:keepNext/>
        <w:spacing w:before="120" w:after="40"/>
        <w:jc w:val="left"/>
      </w:pPr>
      <w:r>
        <w:rPr>
          <w:rFonts w:ascii="Times New Roman" w:hAnsi="Times New Roman"/>
          <w:b/>
          <w:i w:val="0"/>
          <w:color w:val="000000"/>
          <w:sz w:val="22"/>
        </w:rPr>
        <w:t>Conclusión y Dictamen del Mejor Método sobre df_ordenes</w:t>
      </w:r>
    </w:p>
    <w:p>
      <w:pPr>
        <w:spacing w:line="276" w:lineRule="auto" w:before="0" w:after="90"/>
        <w:jc w:val="both"/>
      </w:pPr>
      <w:r>
        <w:rPr>
          <w:rFonts w:ascii="Times New Roman" w:hAnsi="Times New Roman"/>
          <w:b w:val="0"/>
          <w:i w:val="0"/>
          <w:color w:val="000000"/>
          <w:sz w:val="22"/>
        </w:rPr>
        <w:t>Dictamen Técnico: El Filtrado Colaborativo con Ponderación ITF (Modelo 2B) es el método superior para df_ordenes. Elimina el monopolio de servicios básicos (89.54% de cuentas) y rescata productos de alto valor como Seguros y Leasing con una cobertura del 83.5% sobre las cuentas domiciliadas.</w:t>
      </w:r>
    </w:p>
    <w:p>
      <w:pPr>
        <w:keepNext/>
        <w:spacing w:before="140" w:after="40"/>
        <w:jc w:val="left"/>
      </w:pPr>
      <w:r>
        <w:rPr>
          <w:rFonts w:ascii="Times New Roman" w:hAnsi="Times New Roman"/>
          <w:b/>
          <w:i w:val="0"/>
          <w:color w:val="000000"/>
          <w:sz w:val="22"/>
        </w:rPr>
        <w:t>2.7.6 EJE 3: Modelos sobre el DataFrame de Préstamos (df_prestamos)</w:t>
      </w:r>
    </w:p>
    <w:p>
      <w:pPr>
        <w:spacing w:line="276" w:lineRule="auto" w:before="0" w:after="90"/>
        <w:jc w:val="both"/>
      </w:pPr>
      <w:r>
        <w:rPr>
          <w:rFonts w:ascii="Times New Roman" w:hAnsi="Times New Roman"/>
          <w:b w:val="0"/>
          <w:i w:val="0"/>
          <w:color w:val="000000"/>
          <w:sz w:val="22"/>
        </w:rPr>
        <w:t>df_prestamos reúne 682 contratos formales de crédito con montos desembolsados (4,980 a 590,820 CZK), plazos de amortización (12 a 60 meses), cuotas y estatus oficial de pago. Dado que en banca comercial un cliente casi invariablemente posee un único crédito activo, la co-adquisición entre créditos es nula (card(S(j,i)) ≈ 0), haciendo inviable el filtrado colaborativo tradicional.</w:t>
      </w:r>
    </w:p>
    <w:p>
      <w:pPr>
        <w:keepNext/>
        <w:spacing w:before="120" w:after="40"/>
        <w:jc w:val="left"/>
      </w:pPr>
      <w:r>
        <w:rPr>
          <w:rFonts w:ascii="Times New Roman" w:hAnsi="Times New Roman"/>
          <w:b/>
          <w:i w:val="0"/>
          <w:color w:val="000000"/>
          <w:sz w:val="22"/>
        </w:rPr>
        <w:t>Modelo 3A: Filtrado Basado en Contenidos con TF-IDF sobre Cláusulas Contractuales</w:t>
      </w:r>
    </w:p>
    <w:p>
      <w:pPr>
        <w:spacing w:line="276" w:lineRule="auto" w:before="0" w:after="90"/>
        <w:jc w:val="both"/>
      </w:pPr>
      <w:r>
        <w:rPr>
          <w:rFonts w:ascii="Times New Roman" w:hAnsi="Times New Roman"/>
          <w:b w:val="0"/>
          <w:i w:val="0"/>
          <w:color w:val="000000"/>
          <w:sz w:val="22"/>
        </w:rPr>
        <w:t>Fundamento teórico y formulación: Modela los términos textuales y condiciones de 8 productos arquetípicos de cartera (P01 a P08) mediante la ponderación TF-IDF con suavizado logarítmico, calculando la similitud semántica mediante el coseno vectorial:</w:t>
      </w:r>
    </w:p>
    <w:p>
      <w:pPr>
        <w:keepNext/>
        <w:spacing w:before="80" w:after="80"/>
        <w:jc w:val="center"/>
      </w:pPr>
      <m:oMathPara>
        <m:oMath>
          <m:r>
            <m:rPr>
              <m:nor/>
            </m:rPr>
            <m:t>tf-idf</m:t>
          </m:r>
          <m:r>
            <m:t>(t,d)=</m:t>
          </m:r>
          <m:r>
            <m:rPr>
              <m:nor/>
            </m:rPr>
            <m:t>tf</m:t>
          </m:r>
          <m:r>
            <m:t>(t,d)·</m:t>
          </m:r>
          <m:d>
            <m:dPr>
              <m:begChr m:val="["/>
              <m:sepChr m:val="+"/>
              <m:endChr m:val="]"/>
            </m:dPr>
            <m:e>
              <m:r>
                <m:rPr>
                  <m:sty m:val="p"/>
                </m:rPr>
                <m:t>ln</m:t>
              </m:r>
              <m:d>
                <m:dPr>
                  <m:sepChr m:val=""/>
                </m:dPr>
                <m:e>
                  <m:f>
                    <m:fPr>
                      <m:type m:val="bar"/>
                    </m:fPr>
                    <m:num>
                      <m:r>
                        <m:t>1+n</m:t>
                      </m:r>
                    </m:num>
                    <m:den>
                      <m:r>
                        <m:t>1+</m:t>
                      </m:r>
                      <m:r>
                        <m:rPr>
                          <m:nor/>
                        </m:rPr>
                        <m:t>df</m:t>
                      </m:r>
                      <m:r>
                        <m:t>(t)</m:t>
                      </m:r>
                    </m:den>
                  </m:f>
                </m:e>
              </m:d>
            </m:e>
            <m:e>
              <m:r>
                <m:t>1</m:t>
              </m:r>
            </m:e>
          </m:d>
          <m:r>
            <m:t>,</m:t>
          </m:r>
          <m:r>
            <m:rPr>
              <m:sty m:val="p"/>
            </m:rPr>
            <m:t>cos</m:t>
          </m:r>
          <m:r>
            <m:t>(</m:t>
          </m:r>
          <m:sSub>
            <m:e>
              <m:limUpp>
                <m:e>
                  <m:r>
                    <m:t>c</m:t>
                  </m:r>
                </m:e>
                <m:lim>
                  <m:r>
                    <m:t>→</m:t>
                  </m:r>
                </m:lim>
              </m:limUpp>
            </m:e>
            <m:sub>
              <m:r>
                <m:t>i</m:t>
              </m:r>
            </m:sub>
          </m:sSub>
          <m:r>
            <m:t>,</m:t>
          </m:r>
          <m:sSub>
            <m:e>
              <m:limUpp>
                <m:e>
                  <m:r>
                    <m:t>c</m:t>
                  </m:r>
                </m:e>
                <m:lim>
                  <m:r>
                    <m:t>→</m:t>
                  </m:r>
                </m:lim>
              </m:limUpp>
            </m:e>
            <m:sub>
              <m:r>
                <m:t>j</m:t>
              </m:r>
            </m:sub>
          </m:sSub>
          <m:r>
            <m:t>)=</m:t>
          </m:r>
          <m:f>
            <m:fPr>
              <m:type m:val="bar"/>
            </m:fPr>
            <m:num>
              <m:sSub>
                <m:e>
                  <m:limUpp>
                    <m:e>
                      <m:r>
                        <m:t>c</m:t>
                      </m:r>
                    </m:e>
                    <m:lim>
                      <m:r>
                        <m:t>→</m:t>
                      </m:r>
                    </m:lim>
                  </m:limUpp>
                </m:e>
                <m:sub>
                  <m:r>
                    <m:t>i</m:t>
                  </m:r>
                </m:sub>
              </m:sSub>
              <m:r>
                <m:t>·</m:t>
              </m:r>
              <m:sSub>
                <m:e>
                  <m:limUpp>
                    <m:e>
                      <m:r>
                        <m:t>c</m:t>
                      </m:r>
                    </m:e>
                    <m:lim>
                      <m:r>
                        <m:t>→</m:t>
                      </m:r>
                    </m:lim>
                  </m:limUpp>
                </m:e>
                <m:sub>
                  <m:r>
                    <m:t>j</m:t>
                  </m:r>
                </m:sub>
              </m:sSub>
            </m:num>
            <m:den>
              <m:d>
                <m:dPr>
                  <m:begChr m:val="‖"/>
                  <m:sepChr m:val="‖"/>
                  <m:endChr m:val="‖"/>
                </m:dPr>
                <m:e/>
                <m:e/>
                <m:e/>
              </m:d>
            </m:den>
          </m:f>
        </m:oMath>
      </m:oMathPara>
    </w:p>
    <w:p>
      <w:pPr>
        <w:spacing w:line="276" w:lineRule="auto" w:before="0" w:after="90"/>
        <w:jc w:val="both"/>
      </w:pPr>
      <w:r>
        <w:rPr>
          <w:rFonts w:ascii="Times New Roman" w:hAnsi="Times New Roman"/>
          <w:b w:val="0"/>
          <w:i w:val="0"/>
          <w:color w:val="000000"/>
          <w:sz w:val="22"/>
        </w:rPr>
        <w:t>Ingeniería de características textuales: El corpus analítico se estructuró a partir de los documentos legales y fichas técnicas de los 8 productos de cartera. Tras un preprocesamiento de tokenización, lematización léxica y eliminación de palabras vacías (stopwords financieras en checo y español), se extrajo un vocabulario de 48 descriptores normativos clave (ej. amortización, colateral, desgravamen, hipoteca, vehicular, solvencia, pyme, desembolso, plazo, tasa). La vectorización con normalización L2 proyecta cada contrato en una esfera unitaria en R^48, permitiendo medir la afinidad temática libre de sesgos por longitud del texto.</w:t>
      </w:r>
    </w:p>
    <w:p>
      <w:pPr>
        <w:spacing w:line="276" w:lineRule="auto" w:before="0" w:after="90"/>
        <w:jc w:val="both"/>
      </w:pPr>
      <w:r>
        <w:rPr>
          <w:rFonts w:ascii="Times New Roman" w:hAnsi="Times New Roman"/>
          <w:b w:val="0"/>
          <w:i w:val="0"/>
          <w:color w:val="000000"/>
          <w:sz w:val="22"/>
        </w:rPr>
        <w:t>La Tabla 11 expone la matriz de similitud léxica TF-IDF entre los 8 contratos de cartera:</w:t>
      </w:r>
    </w:p>
    <w:p>
      <w:pPr>
        <w:keepNext/>
        <w:spacing w:before="200" w:after="80"/>
        <w:jc w:val="center"/>
      </w:pPr>
      <w:r>
        <w:rPr>
          <w:rFonts w:ascii="Times New Roman" w:hAnsi="Times New Roman"/>
          <w:b/>
          <w:i w:val="0"/>
          <w:color w:val="000000"/>
          <w:sz w:val="21"/>
        </w:rPr>
        <w:t>Tabla 11:</w:t>
      </w:r>
      <w:r>
        <w:rPr>
          <w:rFonts w:ascii="Times New Roman" w:hAnsi="Times New Roman"/>
          <w:sz w:val="21"/>
        </w:rPr>
        <w:t xml:space="preserve"> Matriz de Similitud Coseno TF-IDF entre Cláusulas Contractuales de Cartera (df_prestamos).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978"/>
        <w:gridCol w:w="978"/>
        <w:gridCol w:w="978"/>
        <w:gridCol w:w="978"/>
        <w:gridCol w:w="978"/>
        <w:gridCol w:w="978"/>
        <w:gridCol w:w="978"/>
        <w:gridCol w:w="978"/>
        <w:gridCol w:w="978"/>
      </w:tblGrid>
      <w:tr>
        <w:trPr>
          <w:tblHeader/>
          <w:cantSplit/>
        </w:trPr>
        <w:tc>
          <w:tcPr>
            <w:tcW w:type="dxa" w:w="1980"/>
            <w:vAlign w:val="center"/>
            <w:tcBorders>
              <w:bottom w:val="single" w:sz="6" w:space="0" w:color="000000"/>
            </w:tcBorders>
          </w:tcPr>
          <w:p>
            <w:pPr>
              <w:spacing w:before="0" w:after="0" w:line="252" w:lineRule="auto"/>
              <w:jc w:val="center"/>
            </w:pPr>
            <w:r>
              <w:rPr>
                <w:rFonts w:ascii="Times New Roman" w:hAnsi="Times New Roman"/>
                <w:b/>
                <w:i w:val="0"/>
                <w:color w:val="000000"/>
                <w:sz w:val="16"/>
              </w:rPr>
              <w:t>Producto Contractual</w:t>
            </w:r>
          </w:p>
        </w:tc>
        <w:tc>
          <w:tcPr>
            <w:tcW w:type="dxa" w:w="861"/>
            <w:vAlign w:val="center"/>
            <w:tcBorders>
              <w:bottom w:val="single" w:sz="6" w:space="0" w:color="000000"/>
            </w:tcBorders>
          </w:tcPr>
          <w:p>
            <w:pPr>
              <w:spacing w:before="0" w:after="0" w:line="252" w:lineRule="auto"/>
              <w:jc w:val="center"/>
            </w:pPr>
            <w:r>
              <w:rPr>
                <w:rFonts w:ascii="Times New Roman" w:hAnsi="Times New Roman"/>
                <w:b/>
                <w:i w:val="0"/>
                <w:color w:val="000000"/>
                <w:sz w:val="16"/>
              </w:rPr>
              <w:t>P_Personal</w:t>
            </w:r>
          </w:p>
        </w:tc>
        <w:tc>
          <w:tcPr>
            <w:tcW w:type="dxa" w:w="861"/>
            <w:vAlign w:val="center"/>
            <w:tcBorders>
              <w:bottom w:val="single" w:sz="6" w:space="0" w:color="000000"/>
            </w:tcBorders>
          </w:tcPr>
          <w:p>
            <w:pPr>
              <w:spacing w:before="0" w:after="0" w:line="252" w:lineRule="auto"/>
              <w:jc w:val="center"/>
            </w:pPr>
            <w:r>
              <w:rPr>
                <w:rFonts w:ascii="Times New Roman" w:hAnsi="Times New Roman"/>
                <w:b/>
                <w:i w:val="0"/>
                <w:color w:val="000000"/>
                <w:sz w:val="16"/>
              </w:rPr>
              <w:t>C_Familiar</w:t>
            </w:r>
          </w:p>
        </w:tc>
        <w:tc>
          <w:tcPr>
            <w:tcW w:type="dxa" w:w="804"/>
            <w:vAlign w:val="center"/>
            <w:tcBorders>
              <w:bottom w:val="single" w:sz="6" w:space="0" w:color="000000"/>
            </w:tcBorders>
          </w:tcPr>
          <w:p>
            <w:pPr>
              <w:spacing w:before="0" w:after="0" w:line="252" w:lineRule="auto"/>
              <w:jc w:val="center"/>
            </w:pPr>
            <w:r>
              <w:rPr>
                <w:rFonts w:ascii="Times New Roman" w:hAnsi="Times New Roman"/>
                <w:b/>
                <w:i w:val="0"/>
                <w:color w:val="000000"/>
                <w:sz w:val="16"/>
              </w:rPr>
              <w:t>P_Hipotec</w:t>
            </w:r>
          </w:p>
        </w:tc>
        <w:tc>
          <w:tcPr>
            <w:tcW w:type="dxa" w:w="916"/>
            <w:vAlign w:val="center"/>
            <w:tcBorders>
              <w:bottom w:val="single" w:sz="6" w:space="0" w:color="000000"/>
            </w:tcBorders>
          </w:tcPr>
          <w:p>
            <w:pPr>
              <w:spacing w:before="0" w:after="0" w:line="252" w:lineRule="auto"/>
              <w:jc w:val="center"/>
            </w:pPr>
            <w:r>
              <w:rPr>
                <w:rFonts w:ascii="Times New Roman" w:hAnsi="Times New Roman"/>
                <w:b/>
                <w:i w:val="0"/>
                <w:color w:val="000000"/>
                <w:sz w:val="16"/>
              </w:rPr>
              <w:t>C_Comercial</w:t>
            </w:r>
          </w:p>
        </w:tc>
        <w:tc>
          <w:tcPr>
            <w:tcW w:type="dxa" w:w="916"/>
            <w:vAlign w:val="center"/>
            <w:tcBorders>
              <w:bottom w:val="single" w:sz="6" w:space="0" w:color="000000"/>
            </w:tcBorders>
          </w:tcPr>
          <w:p>
            <w:pPr>
              <w:spacing w:before="0" w:after="0" w:line="252" w:lineRule="auto"/>
              <w:jc w:val="center"/>
            </w:pPr>
            <w:r>
              <w:rPr>
                <w:rFonts w:ascii="Times New Roman" w:hAnsi="Times New Roman"/>
                <w:b/>
                <w:i w:val="0"/>
                <w:color w:val="000000"/>
                <w:sz w:val="16"/>
              </w:rPr>
              <w:t>S_VidaSalud</w:t>
            </w:r>
          </w:p>
        </w:tc>
        <w:tc>
          <w:tcPr>
            <w:tcW w:type="dxa" w:w="916"/>
            <w:vAlign w:val="center"/>
            <w:tcBorders>
              <w:bottom w:val="single" w:sz="6" w:space="0" w:color="000000"/>
            </w:tcBorders>
          </w:tcPr>
          <w:p>
            <w:pPr>
              <w:spacing w:before="0" w:after="0" w:line="252" w:lineRule="auto"/>
              <w:jc w:val="center"/>
            </w:pPr>
            <w:r>
              <w:rPr>
                <w:rFonts w:ascii="Times New Roman" w:hAnsi="Times New Roman"/>
                <w:b/>
                <w:i w:val="0"/>
                <w:color w:val="000000"/>
                <w:sz w:val="16"/>
              </w:rPr>
              <w:t>S_Desgravam</w:t>
            </w:r>
          </w:p>
        </w:tc>
        <w:tc>
          <w:tcPr>
            <w:tcW w:type="dxa" w:w="861"/>
            <w:vAlign w:val="center"/>
            <w:tcBorders>
              <w:bottom w:val="single" w:sz="6" w:space="0" w:color="000000"/>
            </w:tcBorders>
          </w:tcPr>
          <w:p>
            <w:pPr>
              <w:spacing w:before="0" w:after="0" w:line="252" w:lineRule="auto"/>
              <w:jc w:val="center"/>
            </w:pPr>
            <w:r>
              <w:rPr>
                <w:rFonts w:ascii="Times New Roman" w:hAnsi="Times New Roman"/>
                <w:b/>
                <w:i w:val="0"/>
                <w:color w:val="000000"/>
                <w:sz w:val="16"/>
              </w:rPr>
              <w:t>SIPO_Hogar</w:t>
            </w:r>
          </w:p>
        </w:tc>
        <w:tc>
          <w:tcPr>
            <w:tcW w:type="dxa" w:w="683"/>
            <w:vAlign w:val="center"/>
            <w:tcBorders>
              <w:bottom w:val="single" w:sz="6" w:space="0" w:color="000000"/>
            </w:tcBorders>
          </w:tcPr>
          <w:p>
            <w:pPr>
              <w:spacing w:before="0" w:after="0" w:line="252" w:lineRule="auto"/>
              <w:jc w:val="center"/>
            </w:pPr>
            <w:r>
              <w:rPr>
                <w:rFonts w:ascii="Times New Roman" w:hAnsi="Times New Roman"/>
                <w:b/>
                <w:i w:val="0"/>
                <w:color w:val="000000"/>
                <w:sz w:val="16"/>
              </w:rPr>
              <w:t>Leasing</w:t>
            </w:r>
          </w:p>
        </w:tc>
      </w:tr>
      <w:tr>
        <w:trPr>
          <w:cantSplit/>
        </w:trPr>
        <w:tc>
          <w:tcPr>
            <w:tcW w:type="dxa" w:w="1980"/>
            <w:vAlign w:val="center"/>
          </w:tcPr>
          <w:p>
            <w:pPr>
              <w:spacing w:before="0" w:after="0" w:line="252" w:lineRule="auto"/>
              <w:jc w:val="left"/>
            </w:pPr>
            <w:r>
              <w:rPr>
                <w:rFonts w:ascii="Times New Roman" w:hAnsi="Times New Roman"/>
                <w:b w:val="0"/>
                <w:i w:val="0"/>
                <w:color w:val="000000"/>
                <w:sz w:val="16"/>
              </w:rPr>
              <w:t>Prestamo Personal Express (P01)</w:t>
            </w:r>
          </w:p>
        </w:tc>
        <w:tc>
          <w:tcPr>
            <w:tcW w:type="dxa" w:w="861"/>
            <w:vAlign w:val="center"/>
          </w:tcPr>
          <w:p>
            <w:pPr>
              <w:spacing w:before="0" w:after="0" w:line="252" w:lineRule="auto"/>
              <w:jc w:val="center"/>
            </w:pPr>
            <w:r>
              <w:rPr>
                <w:rFonts w:ascii="Times New Roman" w:hAnsi="Times New Roman"/>
                <w:b w:val="0"/>
                <w:i w:val="0"/>
                <w:color w:val="000000"/>
                <w:sz w:val="16"/>
              </w:rPr>
              <w:t>1.0000</w:t>
            </w:r>
          </w:p>
        </w:tc>
        <w:tc>
          <w:tcPr>
            <w:tcW w:type="dxa" w:w="861"/>
            <w:vAlign w:val="center"/>
          </w:tcPr>
          <w:p>
            <w:pPr>
              <w:spacing w:before="0" w:after="0" w:line="252" w:lineRule="auto"/>
              <w:jc w:val="center"/>
            </w:pPr>
            <w:r>
              <w:rPr>
                <w:rFonts w:ascii="Times New Roman" w:hAnsi="Times New Roman"/>
                <w:b w:val="0"/>
                <w:i w:val="0"/>
                <w:color w:val="000000"/>
                <w:sz w:val="16"/>
              </w:rPr>
              <w:t>0.1611</w:t>
            </w:r>
          </w:p>
        </w:tc>
        <w:tc>
          <w:tcPr>
            <w:tcW w:type="dxa" w:w="804"/>
            <w:vAlign w:val="center"/>
          </w:tcPr>
          <w:p>
            <w:pPr>
              <w:spacing w:before="0" w:after="0" w:line="252" w:lineRule="auto"/>
              <w:jc w:val="center"/>
            </w:pPr>
            <w:r>
              <w:rPr>
                <w:rFonts w:ascii="Times New Roman" w:hAnsi="Times New Roman"/>
                <w:b w:val="0"/>
                <w:i w:val="0"/>
                <w:color w:val="000000"/>
                <w:sz w:val="16"/>
              </w:rPr>
              <w:t>0.1257</w:t>
            </w:r>
          </w:p>
        </w:tc>
        <w:tc>
          <w:tcPr>
            <w:tcW w:type="dxa" w:w="916"/>
            <w:vAlign w:val="center"/>
          </w:tcPr>
          <w:p>
            <w:pPr>
              <w:spacing w:before="0" w:after="0" w:line="252" w:lineRule="auto"/>
              <w:jc w:val="center"/>
            </w:pPr>
            <w:r>
              <w:rPr>
                <w:rFonts w:ascii="Times New Roman" w:hAnsi="Times New Roman"/>
                <w:b w:val="0"/>
                <w:i w:val="0"/>
                <w:color w:val="000000"/>
                <w:sz w:val="16"/>
              </w:rPr>
              <w:t>0.0909</w:t>
            </w:r>
          </w:p>
        </w:tc>
        <w:tc>
          <w:tcPr>
            <w:tcW w:type="dxa" w:w="916"/>
            <w:vAlign w:val="center"/>
          </w:tcPr>
          <w:p>
            <w:pPr>
              <w:spacing w:before="0" w:after="0" w:line="252" w:lineRule="auto"/>
              <w:jc w:val="center"/>
            </w:pPr>
            <w:r>
              <w:rPr>
                <w:rFonts w:ascii="Times New Roman" w:hAnsi="Times New Roman"/>
                <w:b w:val="0"/>
                <w:i w:val="0"/>
                <w:color w:val="000000"/>
                <w:sz w:val="16"/>
              </w:rPr>
              <w:t>0.0409</w:t>
            </w:r>
          </w:p>
        </w:tc>
        <w:tc>
          <w:tcPr>
            <w:tcW w:type="dxa" w:w="916"/>
            <w:vAlign w:val="center"/>
          </w:tcPr>
          <w:p>
            <w:pPr>
              <w:spacing w:before="0" w:after="0" w:line="252" w:lineRule="auto"/>
              <w:jc w:val="center"/>
            </w:pPr>
            <w:r>
              <w:rPr>
                <w:rFonts w:ascii="Times New Roman" w:hAnsi="Times New Roman"/>
                <w:b w:val="0"/>
                <w:i w:val="0"/>
                <w:color w:val="000000"/>
                <w:sz w:val="16"/>
              </w:rPr>
              <w:t>0.0000</w:t>
            </w:r>
          </w:p>
        </w:tc>
        <w:tc>
          <w:tcPr>
            <w:tcW w:type="dxa" w:w="861"/>
            <w:vAlign w:val="center"/>
          </w:tcPr>
          <w:p>
            <w:pPr>
              <w:spacing w:before="0" w:after="0" w:line="252" w:lineRule="auto"/>
              <w:jc w:val="center"/>
            </w:pPr>
            <w:r>
              <w:rPr>
                <w:rFonts w:ascii="Times New Roman" w:hAnsi="Times New Roman"/>
                <w:b w:val="0"/>
                <w:i w:val="0"/>
                <w:color w:val="000000"/>
                <w:sz w:val="16"/>
              </w:rPr>
              <w:t>0.0244</w:t>
            </w:r>
          </w:p>
        </w:tc>
        <w:tc>
          <w:tcPr>
            <w:tcW w:type="dxa" w:w="683"/>
            <w:vAlign w:val="center"/>
          </w:tcPr>
          <w:p>
            <w:pPr>
              <w:spacing w:before="0" w:after="0" w:line="252" w:lineRule="auto"/>
              <w:jc w:val="center"/>
            </w:pPr>
            <w:r>
              <w:rPr>
                <w:rFonts w:ascii="Times New Roman" w:hAnsi="Times New Roman"/>
                <w:b w:val="0"/>
                <w:i w:val="0"/>
                <w:color w:val="000000"/>
                <w:sz w:val="16"/>
              </w:rPr>
              <w:t>0.0251</w:t>
            </w:r>
          </w:p>
        </w:tc>
      </w:tr>
      <w:tr>
        <w:trPr>
          <w:cantSplit/>
        </w:trPr>
        <w:tc>
          <w:tcPr>
            <w:tcW w:type="dxa" w:w="1980"/>
            <w:vAlign w:val="center"/>
          </w:tcPr>
          <w:p>
            <w:pPr>
              <w:spacing w:before="0" w:after="0" w:line="252" w:lineRule="auto"/>
              <w:jc w:val="left"/>
            </w:pPr>
            <w:r>
              <w:rPr>
                <w:rFonts w:ascii="Times New Roman" w:hAnsi="Times New Roman"/>
                <w:b w:val="0"/>
                <w:i w:val="0"/>
                <w:color w:val="000000"/>
                <w:sz w:val="16"/>
              </w:rPr>
              <w:t>Credito Consumo Familiar (P02)</w:t>
            </w:r>
          </w:p>
        </w:tc>
        <w:tc>
          <w:tcPr>
            <w:tcW w:type="dxa" w:w="861"/>
            <w:vAlign w:val="center"/>
          </w:tcPr>
          <w:p>
            <w:pPr>
              <w:spacing w:before="0" w:after="0" w:line="252" w:lineRule="auto"/>
              <w:jc w:val="center"/>
            </w:pPr>
            <w:r>
              <w:rPr>
                <w:rFonts w:ascii="Times New Roman" w:hAnsi="Times New Roman"/>
                <w:b w:val="0"/>
                <w:i w:val="0"/>
                <w:color w:val="000000"/>
                <w:sz w:val="16"/>
              </w:rPr>
              <w:t>0.1611</w:t>
            </w:r>
          </w:p>
        </w:tc>
        <w:tc>
          <w:tcPr>
            <w:tcW w:type="dxa" w:w="861"/>
            <w:vAlign w:val="center"/>
          </w:tcPr>
          <w:p>
            <w:pPr>
              <w:spacing w:before="0" w:after="0" w:line="252" w:lineRule="auto"/>
              <w:jc w:val="center"/>
            </w:pPr>
            <w:r>
              <w:rPr>
                <w:rFonts w:ascii="Times New Roman" w:hAnsi="Times New Roman"/>
                <w:b w:val="0"/>
                <w:i w:val="0"/>
                <w:color w:val="000000"/>
                <w:sz w:val="16"/>
              </w:rPr>
              <w:t>1.0000</w:t>
            </w:r>
          </w:p>
        </w:tc>
        <w:tc>
          <w:tcPr>
            <w:tcW w:type="dxa" w:w="804"/>
            <w:vAlign w:val="center"/>
          </w:tcPr>
          <w:p>
            <w:pPr>
              <w:spacing w:before="0" w:after="0" w:line="252" w:lineRule="auto"/>
              <w:jc w:val="center"/>
            </w:pPr>
            <w:r>
              <w:rPr>
                <w:rFonts w:ascii="Times New Roman" w:hAnsi="Times New Roman"/>
                <w:b w:val="0"/>
                <w:i w:val="0"/>
                <w:color w:val="000000"/>
                <w:sz w:val="16"/>
              </w:rPr>
              <w:t>0.1193</w:t>
            </w:r>
          </w:p>
        </w:tc>
        <w:tc>
          <w:tcPr>
            <w:tcW w:type="dxa" w:w="916"/>
            <w:vAlign w:val="center"/>
          </w:tcPr>
          <w:p>
            <w:pPr>
              <w:spacing w:before="0" w:after="0" w:line="252" w:lineRule="auto"/>
              <w:jc w:val="center"/>
            </w:pPr>
            <w:r>
              <w:rPr>
                <w:rFonts w:ascii="Times New Roman" w:hAnsi="Times New Roman"/>
                <w:b w:val="0"/>
                <w:i w:val="0"/>
                <w:color w:val="000000"/>
                <w:sz w:val="16"/>
              </w:rPr>
              <w:t>0.0863</w:t>
            </w:r>
          </w:p>
        </w:tc>
        <w:tc>
          <w:tcPr>
            <w:tcW w:type="dxa" w:w="916"/>
            <w:vAlign w:val="center"/>
          </w:tcPr>
          <w:p>
            <w:pPr>
              <w:spacing w:before="0" w:after="0" w:line="252" w:lineRule="auto"/>
              <w:jc w:val="center"/>
            </w:pPr>
            <w:r>
              <w:rPr>
                <w:rFonts w:ascii="Times New Roman" w:hAnsi="Times New Roman"/>
                <w:b w:val="0"/>
                <w:i w:val="0"/>
                <w:color w:val="000000"/>
                <w:sz w:val="16"/>
              </w:rPr>
              <w:t>0.2116</w:t>
            </w:r>
          </w:p>
        </w:tc>
        <w:tc>
          <w:tcPr>
            <w:tcW w:type="dxa" w:w="916"/>
            <w:vAlign w:val="center"/>
          </w:tcPr>
          <w:p>
            <w:pPr>
              <w:spacing w:before="0" w:after="0" w:line="252" w:lineRule="auto"/>
              <w:jc w:val="center"/>
            </w:pPr>
            <w:r>
              <w:rPr>
                <w:rFonts w:ascii="Times New Roman" w:hAnsi="Times New Roman"/>
                <w:b w:val="0"/>
                <w:i w:val="0"/>
                <w:color w:val="000000"/>
                <w:sz w:val="16"/>
              </w:rPr>
              <w:t>0.0321</w:t>
            </w:r>
          </w:p>
        </w:tc>
        <w:tc>
          <w:tcPr>
            <w:tcW w:type="dxa" w:w="861"/>
            <w:vAlign w:val="center"/>
          </w:tcPr>
          <w:p>
            <w:pPr>
              <w:spacing w:before="0" w:after="0" w:line="252" w:lineRule="auto"/>
              <w:jc w:val="center"/>
            </w:pPr>
            <w:r>
              <w:rPr>
                <w:rFonts w:ascii="Times New Roman" w:hAnsi="Times New Roman"/>
                <w:b w:val="0"/>
                <w:i w:val="0"/>
                <w:color w:val="000000"/>
                <w:sz w:val="16"/>
              </w:rPr>
              <w:t>0.0616</w:t>
            </w:r>
          </w:p>
        </w:tc>
        <w:tc>
          <w:tcPr>
            <w:tcW w:type="dxa" w:w="683"/>
            <w:vAlign w:val="center"/>
          </w:tcPr>
          <w:p>
            <w:pPr>
              <w:spacing w:before="0" w:after="0" w:line="252" w:lineRule="auto"/>
              <w:jc w:val="center"/>
            </w:pPr>
            <w:r>
              <w:rPr>
                <w:rFonts w:ascii="Times New Roman" w:hAnsi="Times New Roman"/>
                <w:b w:val="0"/>
                <w:i w:val="0"/>
                <w:color w:val="000000"/>
                <w:sz w:val="16"/>
              </w:rPr>
              <w:t>0.0541</w:t>
            </w:r>
          </w:p>
        </w:tc>
      </w:tr>
      <w:tr>
        <w:trPr>
          <w:cantSplit/>
        </w:trPr>
        <w:tc>
          <w:tcPr>
            <w:tcW w:type="dxa" w:w="1980"/>
            <w:vAlign w:val="center"/>
          </w:tcPr>
          <w:p>
            <w:pPr>
              <w:spacing w:before="0" w:after="0" w:line="252" w:lineRule="auto"/>
              <w:jc w:val="left"/>
            </w:pPr>
            <w:r>
              <w:rPr>
                <w:rFonts w:ascii="Times New Roman" w:hAnsi="Times New Roman"/>
                <w:b w:val="0"/>
                <w:i w:val="0"/>
                <w:color w:val="000000"/>
                <w:sz w:val="16"/>
              </w:rPr>
              <w:t>Prestamo Hipotecario Vivienda (P03)</w:t>
            </w:r>
          </w:p>
        </w:tc>
        <w:tc>
          <w:tcPr>
            <w:tcW w:type="dxa" w:w="861"/>
            <w:vAlign w:val="center"/>
          </w:tcPr>
          <w:p>
            <w:pPr>
              <w:spacing w:before="0" w:after="0" w:line="252" w:lineRule="auto"/>
              <w:jc w:val="center"/>
            </w:pPr>
            <w:r>
              <w:rPr>
                <w:rFonts w:ascii="Times New Roman" w:hAnsi="Times New Roman"/>
                <w:b w:val="0"/>
                <w:i w:val="0"/>
                <w:color w:val="000000"/>
                <w:sz w:val="16"/>
              </w:rPr>
              <w:t>0.1257</w:t>
            </w:r>
          </w:p>
        </w:tc>
        <w:tc>
          <w:tcPr>
            <w:tcW w:type="dxa" w:w="861"/>
            <w:vAlign w:val="center"/>
          </w:tcPr>
          <w:p>
            <w:pPr>
              <w:spacing w:before="0" w:after="0" w:line="252" w:lineRule="auto"/>
              <w:jc w:val="center"/>
            </w:pPr>
            <w:r>
              <w:rPr>
                <w:rFonts w:ascii="Times New Roman" w:hAnsi="Times New Roman"/>
                <w:b w:val="0"/>
                <w:i w:val="0"/>
                <w:color w:val="000000"/>
                <w:sz w:val="16"/>
              </w:rPr>
              <w:t>0.1193</w:t>
            </w:r>
          </w:p>
        </w:tc>
        <w:tc>
          <w:tcPr>
            <w:tcW w:type="dxa" w:w="804"/>
            <w:vAlign w:val="center"/>
          </w:tcPr>
          <w:p>
            <w:pPr>
              <w:spacing w:before="0" w:after="0" w:line="252" w:lineRule="auto"/>
              <w:jc w:val="center"/>
            </w:pPr>
            <w:r>
              <w:rPr>
                <w:rFonts w:ascii="Times New Roman" w:hAnsi="Times New Roman"/>
                <w:b w:val="0"/>
                <w:i w:val="0"/>
                <w:color w:val="000000"/>
                <w:sz w:val="16"/>
              </w:rPr>
              <w:t>1.0000</w:t>
            </w:r>
          </w:p>
        </w:tc>
        <w:tc>
          <w:tcPr>
            <w:tcW w:type="dxa" w:w="916"/>
            <w:vAlign w:val="center"/>
          </w:tcPr>
          <w:p>
            <w:pPr>
              <w:spacing w:before="0" w:after="0" w:line="252" w:lineRule="auto"/>
              <w:jc w:val="center"/>
            </w:pPr>
            <w:r>
              <w:rPr>
                <w:rFonts w:ascii="Times New Roman" w:hAnsi="Times New Roman"/>
                <w:b w:val="0"/>
                <w:i w:val="0"/>
                <w:color w:val="000000"/>
                <w:sz w:val="16"/>
              </w:rPr>
              <w:t>0.1432</w:t>
            </w:r>
          </w:p>
        </w:tc>
        <w:tc>
          <w:tcPr>
            <w:tcW w:type="dxa" w:w="916"/>
            <w:vAlign w:val="center"/>
          </w:tcPr>
          <w:p>
            <w:pPr>
              <w:spacing w:before="0" w:after="0" w:line="252" w:lineRule="auto"/>
              <w:jc w:val="center"/>
            </w:pPr>
            <w:r>
              <w:rPr>
                <w:rFonts w:ascii="Times New Roman" w:hAnsi="Times New Roman"/>
                <w:b w:val="0"/>
                <w:i w:val="0"/>
                <w:color w:val="000000"/>
                <w:sz w:val="16"/>
              </w:rPr>
              <w:t>0.0407</w:t>
            </w:r>
          </w:p>
        </w:tc>
        <w:tc>
          <w:tcPr>
            <w:tcW w:type="dxa" w:w="916"/>
            <w:vAlign w:val="center"/>
          </w:tcPr>
          <w:p>
            <w:pPr>
              <w:spacing w:before="0" w:after="0" w:line="252" w:lineRule="auto"/>
              <w:jc w:val="center"/>
            </w:pPr>
            <w:r>
              <w:rPr>
                <w:rFonts w:ascii="Times New Roman" w:hAnsi="Times New Roman"/>
                <w:b w:val="0"/>
                <w:i w:val="0"/>
                <w:color w:val="000000"/>
                <w:sz w:val="16"/>
              </w:rPr>
              <w:t>0.1026</w:t>
            </w:r>
          </w:p>
        </w:tc>
        <w:tc>
          <w:tcPr>
            <w:tcW w:type="dxa" w:w="861"/>
            <w:vAlign w:val="center"/>
          </w:tcPr>
          <w:p>
            <w:pPr>
              <w:spacing w:before="0" w:after="0" w:line="252" w:lineRule="auto"/>
              <w:jc w:val="center"/>
            </w:pPr>
            <w:r>
              <w:rPr>
                <w:rFonts w:ascii="Times New Roman" w:hAnsi="Times New Roman"/>
                <w:b w:val="0"/>
                <w:i w:val="0"/>
                <w:color w:val="000000"/>
                <w:sz w:val="16"/>
              </w:rPr>
              <w:t>0.0243</w:t>
            </w:r>
          </w:p>
        </w:tc>
        <w:tc>
          <w:tcPr>
            <w:tcW w:type="dxa" w:w="683"/>
            <w:vAlign w:val="center"/>
          </w:tcPr>
          <w:p>
            <w:pPr>
              <w:spacing w:before="0" w:after="0" w:line="252" w:lineRule="auto"/>
              <w:jc w:val="center"/>
            </w:pPr>
            <w:r>
              <w:rPr>
                <w:rFonts w:ascii="Times New Roman" w:hAnsi="Times New Roman"/>
                <w:b w:val="0"/>
                <w:i w:val="0"/>
                <w:color w:val="000000"/>
                <w:sz w:val="16"/>
              </w:rPr>
              <w:t>0.0806</w:t>
            </w:r>
          </w:p>
        </w:tc>
      </w:tr>
      <w:tr>
        <w:trPr>
          <w:cantSplit/>
        </w:trPr>
        <w:tc>
          <w:tcPr>
            <w:tcW w:type="dxa" w:w="1980"/>
            <w:vAlign w:val="center"/>
          </w:tcPr>
          <w:p>
            <w:pPr>
              <w:spacing w:before="0" w:after="0" w:line="252" w:lineRule="auto"/>
              <w:jc w:val="left"/>
            </w:pPr>
            <w:r>
              <w:rPr>
                <w:rFonts w:ascii="Times New Roman" w:hAnsi="Times New Roman"/>
                <w:b w:val="0"/>
                <w:i w:val="0"/>
                <w:color w:val="000000"/>
                <w:sz w:val="16"/>
              </w:rPr>
              <w:t>Credito Comercial PyME (P04)</w:t>
            </w:r>
          </w:p>
        </w:tc>
        <w:tc>
          <w:tcPr>
            <w:tcW w:type="dxa" w:w="861"/>
            <w:vAlign w:val="center"/>
          </w:tcPr>
          <w:p>
            <w:pPr>
              <w:spacing w:before="0" w:after="0" w:line="252" w:lineRule="auto"/>
              <w:jc w:val="center"/>
            </w:pPr>
            <w:r>
              <w:rPr>
                <w:rFonts w:ascii="Times New Roman" w:hAnsi="Times New Roman"/>
                <w:b w:val="0"/>
                <w:i w:val="0"/>
                <w:color w:val="000000"/>
                <w:sz w:val="16"/>
              </w:rPr>
              <w:t>0.0909</w:t>
            </w:r>
          </w:p>
        </w:tc>
        <w:tc>
          <w:tcPr>
            <w:tcW w:type="dxa" w:w="861"/>
            <w:vAlign w:val="center"/>
          </w:tcPr>
          <w:p>
            <w:pPr>
              <w:spacing w:before="0" w:after="0" w:line="252" w:lineRule="auto"/>
              <w:jc w:val="center"/>
            </w:pPr>
            <w:r>
              <w:rPr>
                <w:rFonts w:ascii="Times New Roman" w:hAnsi="Times New Roman"/>
                <w:b w:val="0"/>
                <w:i w:val="0"/>
                <w:color w:val="000000"/>
                <w:sz w:val="16"/>
              </w:rPr>
              <w:t>0.0863</w:t>
            </w:r>
          </w:p>
        </w:tc>
        <w:tc>
          <w:tcPr>
            <w:tcW w:type="dxa" w:w="804"/>
            <w:vAlign w:val="center"/>
          </w:tcPr>
          <w:p>
            <w:pPr>
              <w:spacing w:before="0" w:after="0" w:line="252" w:lineRule="auto"/>
              <w:jc w:val="center"/>
            </w:pPr>
            <w:r>
              <w:rPr>
                <w:rFonts w:ascii="Times New Roman" w:hAnsi="Times New Roman"/>
                <w:b w:val="0"/>
                <w:i w:val="0"/>
                <w:color w:val="000000"/>
                <w:sz w:val="16"/>
              </w:rPr>
              <w:t>0.1432</w:t>
            </w:r>
          </w:p>
        </w:tc>
        <w:tc>
          <w:tcPr>
            <w:tcW w:type="dxa" w:w="916"/>
            <w:vAlign w:val="center"/>
          </w:tcPr>
          <w:p>
            <w:pPr>
              <w:spacing w:before="0" w:after="0" w:line="252" w:lineRule="auto"/>
              <w:jc w:val="center"/>
            </w:pPr>
            <w:r>
              <w:rPr>
                <w:rFonts w:ascii="Times New Roman" w:hAnsi="Times New Roman"/>
                <w:b w:val="0"/>
                <w:i w:val="0"/>
                <w:color w:val="000000"/>
                <w:sz w:val="16"/>
              </w:rPr>
              <w:t>1.0000</w:t>
            </w:r>
          </w:p>
        </w:tc>
        <w:tc>
          <w:tcPr>
            <w:tcW w:type="dxa" w:w="916"/>
            <w:vAlign w:val="center"/>
          </w:tcPr>
          <w:p>
            <w:pPr>
              <w:spacing w:before="0" w:after="0" w:line="252" w:lineRule="auto"/>
              <w:jc w:val="center"/>
            </w:pPr>
            <w:r>
              <w:rPr>
                <w:rFonts w:ascii="Times New Roman" w:hAnsi="Times New Roman"/>
                <w:b w:val="0"/>
                <w:i w:val="0"/>
                <w:color w:val="000000"/>
                <w:sz w:val="16"/>
              </w:rPr>
              <w:t>0.0000</w:t>
            </w:r>
          </w:p>
        </w:tc>
        <w:tc>
          <w:tcPr>
            <w:tcW w:type="dxa" w:w="916"/>
            <w:vAlign w:val="center"/>
          </w:tcPr>
          <w:p>
            <w:pPr>
              <w:spacing w:before="0" w:after="0" w:line="252" w:lineRule="auto"/>
              <w:jc w:val="center"/>
            </w:pPr>
            <w:r>
              <w:rPr>
                <w:rFonts w:ascii="Times New Roman" w:hAnsi="Times New Roman"/>
                <w:b w:val="0"/>
                <w:i w:val="0"/>
                <w:color w:val="000000"/>
                <w:sz w:val="16"/>
              </w:rPr>
              <w:t>0.0000</w:t>
            </w:r>
          </w:p>
        </w:tc>
        <w:tc>
          <w:tcPr>
            <w:tcW w:type="dxa" w:w="861"/>
            <w:vAlign w:val="center"/>
          </w:tcPr>
          <w:p>
            <w:pPr>
              <w:spacing w:before="0" w:after="0" w:line="252" w:lineRule="auto"/>
              <w:jc w:val="center"/>
            </w:pPr>
            <w:r>
              <w:rPr>
                <w:rFonts w:ascii="Times New Roman" w:hAnsi="Times New Roman"/>
                <w:b w:val="0"/>
                <w:i w:val="0"/>
                <w:color w:val="000000"/>
                <w:sz w:val="16"/>
              </w:rPr>
              <w:t>0.0000</w:t>
            </w:r>
          </w:p>
        </w:tc>
        <w:tc>
          <w:tcPr>
            <w:tcW w:type="dxa" w:w="683"/>
            <w:vAlign w:val="center"/>
          </w:tcPr>
          <w:p>
            <w:pPr>
              <w:spacing w:before="0" w:after="0" w:line="252" w:lineRule="auto"/>
              <w:jc w:val="center"/>
            </w:pPr>
            <w:r>
              <w:rPr>
                <w:rFonts w:ascii="Times New Roman" w:hAnsi="Times New Roman"/>
                <w:b w:val="0"/>
                <w:i w:val="0"/>
                <w:color w:val="000000"/>
                <w:sz w:val="16"/>
              </w:rPr>
              <w:t>0.0507</w:t>
            </w:r>
          </w:p>
        </w:tc>
      </w:tr>
      <w:tr>
        <w:trPr>
          <w:cantSplit/>
        </w:trPr>
        <w:tc>
          <w:tcPr>
            <w:tcW w:type="dxa" w:w="1980"/>
            <w:vAlign w:val="center"/>
          </w:tcPr>
          <w:p>
            <w:pPr>
              <w:spacing w:before="0" w:after="0" w:line="252" w:lineRule="auto"/>
              <w:jc w:val="left"/>
            </w:pPr>
            <w:r>
              <w:rPr>
                <w:rFonts w:ascii="Times New Roman" w:hAnsi="Times New Roman"/>
                <w:b w:val="0"/>
                <w:i w:val="0"/>
                <w:color w:val="000000"/>
                <w:sz w:val="16"/>
              </w:rPr>
              <w:t>Poliza Seguro Vida y Salud (P05)</w:t>
            </w:r>
          </w:p>
        </w:tc>
        <w:tc>
          <w:tcPr>
            <w:tcW w:type="dxa" w:w="861"/>
            <w:vAlign w:val="center"/>
          </w:tcPr>
          <w:p>
            <w:pPr>
              <w:spacing w:before="0" w:after="0" w:line="252" w:lineRule="auto"/>
              <w:jc w:val="center"/>
            </w:pPr>
            <w:r>
              <w:rPr>
                <w:rFonts w:ascii="Times New Roman" w:hAnsi="Times New Roman"/>
                <w:b w:val="0"/>
                <w:i w:val="0"/>
                <w:color w:val="000000"/>
                <w:sz w:val="16"/>
              </w:rPr>
              <w:t>0.0409</w:t>
            </w:r>
          </w:p>
        </w:tc>
        <w:tc>
          <w:tcPr>
            <w:tcW w:type="dxa" w:w="861"/>
            <w:vAlign w:val="center"/>
          </w:tcPr>
          <w:p>
            <w:pPr>
              <w:spacing w:before="0" w:after="0" w:line="252" w:lineRule="auto"/>
              <w:jc w:val="center"/>
            </w:pPr>
            <w:r>
              <w:rPr>
                <w:rFonts w:ascii="Times New Roman" w:hAnsi="Times New Roman"/>
                <w:b w:val="0"/>
                <w:i w:val="0"/>
                <w:color w:val="000000"/>
                <w:sz w:val="16"/>
              </w:rPr>
              <w:t>0.2116</w:t>
            </w:r>
          </w:p>
        </w:tc>
        <w:tc>
          <w:tcPr>
            <w:tcW w:type="dxa" w:w="804"/>
            <w:vAlign w:val="center"/>
          </w:tcPr>
          <w:p>
            <w:pPr>
              <w:spacing w:before="0" w:after="0" w:line="252" w:lineRule="auto"/>
              <w:jc w:val="center"/>
            </w:pPr>
            <w:r>
              <w:rPr>
                <w:rFonts w:ascii="Times New Roman" w:hAnsi="Times New Roman"/>
                <w:b w:val="0"/>
                <w:i w:val="0"/>
                <w:color w:val="000000"/>
                <w:sz w:val="16"/>
              </w:rPr>
              <w:t>0.0407</w:t>
            </w:r>
          </w:p>
        </w:tc>
        <w:tc>
          <w:tcPr>
            <w:tcW w:type="dxa" w:w="916"/>
            <w:vAlign w:val="center"/>
          </w:tcPr>
          <w:p>
            <w:pPr>
              <w:spacing w:before="0" w:after="0" w:line="252" w:lineRule="auto"/>
              <w:jc w:val="center"/>
            </w:pPr>
            <w:r>
              <w:rPr>
                <w:rFonts w:ascii="Times New Roman" w:hAnsi="Times New Roman"/>
                <w:b w:val="0"/>
                <w:i w:val="0"/>
                <w:color w:val="000000"/>
                <w:sz w:val="16"/>
              </w:rPr>
              <w:t>0.0000</w:t>
            </w:r>
          </w:p>
        </w:tc>
        <w:tc>
          <w:tcPr>
            <w:tcW w:type="dxa" w:w="916"/>
            <w:vAlign w:val="center"/>
          </w:tcPr>
          <w:p>
            <w:pPr>
              <w:spacing w:before="0" w:after="0" w:line="252" w:lineRule="auto"/>
              <w:jc w:val="center"/>
            </w:pPr>
            <w:r>
              <w:rPr>
                <w:rFonts w:ascii="Times New Roman" w:hAnsi="Times New Roman"/>
                <w:b w:val="0"/>
                <w:i w:val="0"/>
                <w:color w:val="000000"/>
                <w:sz w:val="16"/>
              </w:rPr>
              <w:t>1.0000</w:t>
            </w:r>
          </w:p>
        </w:tc>
        <w:tc>
          <w:tcPr>
            <w:tcW w:type="dxa" w:w="916"/>
            <w:vAlign w:val="center"/>
          </w:tcPr>
          <w:p>
            <w:pPr>
              <w:spacing w:before="0" w:after="0" w:line="252" w:lineRule="auto"/>
              <w:jc w:val="center"/>
            </w:pPr>
            <w:r>
              <w:rPr>
                <w:rFonts w:ascii="Times New Roman" w:hAnsi="Times New Roman"/>
                <w:b w:val="0"/>
                <w:i w:val="0"/>
                <w:color w:val="000000"/>
                <w:sz w:val="16"/>
              </w:rPr>
              <w:t>0.2957</w:t>
            </w:r>
          </w:p>
        </w:tc>
        <w:tc>
          <w:tcPr>
            <w:tcW w:type="dxa" w:w="861"/>
            <w:vAlign w:val="center"/>
          </w:tcPr>
          <w:p>
            <w:pPr>
              <w:spacing w:before="0" w:after="0" w:line="252" w:lineRule="auto"/>
              <w:jc w:val="center"/>
            </w:pPr>
            <w:r>
              <w:rPr>
                <w:rFonts w:ascii="Times New Roman" w:hAnsi="Times New Roman"/>
                <w:b w:val="0"/>
                <w:i w:val="0"/>
                <w:color w:val="000000"/>
                <w:sz w:val="16"/>
              </w:rPr>
              <w:t>0.0381</w:t>
            </w:r>
          </w:p>
        </w:tc>
        <w:tc>
          <w:tcPr>
            <w:tcW w:type="dxa" w:w="683"/>
            <w:vAlign w:val="center"/>
          </w:tcPr>
          <w:p>
            <w:pPr>
              <w:spacing w:before="0" w:after="0" w:line="252" w:lineRule="auto"/>
              <w:jc w:val="center"/>
            </w:pPr>
            <w:r>
              <w:rPr>
                <w:rFonts w:ascii="Times New Roman" w:hAnsi="Times New Roman"/>
                <w:b w:val="0"/>
                <w:i w:val="0"/>
                <w:color w:val="000000"/>
                <w:sz w:val="16"/>
              </w:rPr>
              <w:t>0.0301</w:t>
            </w:r>
          </w:p>
        </w:tc>
      </w:tr>
      <w:tr>
        <w:trPr>
          <w:cantSplit/>
        </w:trPr>
        <w:tc>
          <w:tcPr>
            <w:tcW w:type="dxa" w:w="1980"/>
            <w:vAlign w:val="center"/>
          </w:tcPr>
          <w:p>
            <w:pPr>
              <w:spacing w:before="0" w:after="0" w:line="252" w:lineRule="auto"/>
              <w:jc w:val="left"/>
            </w:pPr>
            <w:r>
              <w:rPr>
                <w:rFonts w:ascii="Times New Roman" w:hAnsi="Times New Roman"/>
                <w:b w:val="0"/>
                <w:i w:val="0"/>
                <w:color w:val="000000"/>
                <w:sz w:val="16"/>
              </w:rPr>
              <w:t>Seguro Desgravamen e Invalidez (P06)</w:t>
            </w:r>
          </w:p>
        </w:tc>
        <w:tc>
          <w:tcPr>
            <w:tcW w:type="dxa" w:w="861"/>
            <w:vAlign w:val="center"/>
          </w:tcPr>
          <w:p>
            <w:pPr>
              <w:spacing w:before="0" w:after="0" w:line="252" w:lineRule="auto"/>
              <w:jc w:val="center"/>
            </w:pPr>
            <w:r>
              <w:rPr>
                <w:rFonts w:ascii="Times New Roman" w:hAnsi="Times New Roman"/>
                <w:b w:val="0"/>
                <w:i w:val="0"/>
                <w:color w:val="000000"/>
                <w:sz w:val="16"/>
              </w:rPr>
              <w:t>0.0000</w:t>
            </w:r>
          </w:p>
        </w:tc>
        <w:tc>
          <w:tcPr>
            <w:tcW w:type="dxa" w:w="861"/>
            <w:vAlign w:val="center"/>
          </w:tcPr>
          <w:p>
            <w:pPr>
              <w:spacing w:before="0" w:after="0" w:line="252" w:lineRule="auto"/>
              <w:jc w:val="center"/>
            </w:pPr>
            <w:r>
              <w:rPr>
                <w:rFonts w:ascii="Times New Roman" w:hAnsi="Times New Roman"/>
                <w:b w:val="0"/>
                <w:i w:val="0"/>
                <w:color w:val="000000"/>
                <w:sz w:val="16"/>
              </w:rPr>
              <w:t>0.0321</w:t>
            </w:r>
          </w:p>
        </w:tc>
        <w:tc>
          <w:tcPr>
            <w:tcW w:type="dxa" w:w="804"/>
            <w:vAlign w:val="center"/>
          </w:tcPr>
          <w:p>
            <w:pPr>
              <w:spacing w:before="0" w:after="0" w:line="252" w:lineRule="auto"/>
              <w:jc w:val="center"/>
            </w:pPr>
            <w:r>
              <w:rPr>
                <w:rFonts w:ascii="Times New Roman" w:hAnsi="Times New Roman"/>
                <w:b w:val="0"/>
                <w:i w:val="0"/>
                <w:color w:val="000000"/>
                <w:sz w:val="16"/>
              </w:rPr>
              <w:t>0.1026</w:t>
            </w:r>
          </w:p>
        </w:tc>
        <w:tc>
          <w:tcPr>
            <w:tcW w:type="dxa" w:w="916"/>
            <w:vAlign w:val="center"/>
          </w:tcPr>
          <w:p>
            <w:pPr>
              <w:spacing w:before="0" w:after="0" w:line="252" w:lineRule="auto"/>
              <w:jc w:val="center"/>
            </w:pPr>
            <w:r>
              <w:rPr>
                <w:rFonts w:ascii="Times New Roman" w:hAnsi="Times New Roman"/>
                <w:b w:val="0"/>
                <w:i w:val="0"/>
                <w:color w:val="000000"/>
                <w:sz w:val="16"/>
              </w:rPr>
              <w:t>0.0000</w:t>
            </w:r>
          </w:p>
        </w:tc>
        <w:tc>
          <w:tcPr>
            <w:tcW w:type="dxa" w:w="916"/>
            <w:vAlign w:val="center"/>
          </w:tcPr>
          <w:p>
            <w:pPr>
              <w:spacing w:before="0" w:after="0" w:line="252" w:lineRule="auto"/>
              <w:jc w:val="center"/>
            </w:pPr>
            <w:r>
              <w:rPr>
                <w:rFonts w:ascii="Times New Roman" w:hAnsi="Times New Roman"/>
                <w:b w:val="0"/>
                <w:i w:val="0"/>
                <w:color w:val="000000"/>
                <w:sz w:val="16"/>
              </w:rPr>
              <w:t>0.2957</w:t>
            </w:r>
          </w:p>
        </w:tc>
        <w:tc>
          <w:tcPr>
            <w:tcW w:type="dxa" w:w="916"/>
            <w:vAlign w:val="center"/>
          </w:tcPr>
          <w:p>
            <w:pPr>
              <w:spacing w:before="0" w:after="0" w:line="252" w:lineRule="auto"/>
              <w:jc w:val="center"/>
            </w:pPr>
            <w:r>
              <w:rPr>
                <w:rFonts w:ascii="Times New Roman" w:hAnsi="Times New Roman"/>
                <w:b w:val="0"/>
                <w:i w:val="0"/>
                <w:color w:val="000000"/>
                <w:sz w:val="16"/>
              </w:rPr>
              <w:t>1.0000</w:t>
            </w:r>
          </w:p>
        </w:tc>
        <w:tc>
          <w:tcPr>
            <w:tcW w:type="dxa" w:w="861"/>
            <w:vAlign w:val="center"/>
          </w:tcPr>
          <w:p>
            <w:pPr>
              <w:spacing w:before="0" w:after="0" w:line="252" w:lineRule="auto"/>
              <w:jc w:val="center"/>
            </w:pPr>
            <w:r>
              <w:rPr>
                <w:rFonts w:ascii="Times New Roman" w:hAnsi="Times New Roman"/>
                <w:b w:val="0"/>
                <w:i w:val="0"/>
                <w:color w:val="000000"/>
                <w:sz w:val="16"/>
              </w:rPr>
              <w:t>0.0000</w:t>
            </w:r>
          </w:p>
        </w:tc>
        <w:tc>
          <w:tcPr>
            <w:tcW w:type="dxa" w:w="683"/>
            <w:vAlign w:val="center"/>
          </w:tcPr>
          <w:p>
            <w:pPr>
              <w:spacing w:before="0" w:after="0" w:line="252" w:lineRule="auto"/>
              <w:jc w:val="center"/>
            </w:pPr>
            <w:r>
              <w:rPr>
                <w:rFonts w:ascii="Times New Roman" w:hAnsi="Times New Roman"/>
                <w:b w:val="0"/>
                <w:i w:val="0"/>
                <w:color w:val="000000"/>
                <w:sz w:val="16"/>
              </w:rPr>
              <w:t>0.0324</w:t>
            </w:r>
          </w:p>
        </w:tc>
      </w:tr>
      <w:tr>
        <w:trPr>
          <w:cantSplit/>
        </w:trPr>
        <w:tc>
          <w:tcPr>
            <w:tcW w:type="dxa" w:w="1980"/>
            <w:vAlign w:val="center"/>
          </w:tcPr>
          <w:p>
            <w:pPr>
              <w:spacing w:before="0" w:after="0" w:line="252" w:lineRule="auto"/>
              <w:jc w:val="left"/>
            </w:pPr>
            <w:r>
              <w:rPr>
                <w:rFonts w:ascii="Times New Roman" w:hAnsi="Times New Roman"/>
                <w:b w:val="0"/>
                <w:i w:val="0"/>
                <w:color w:val="000000"/>
                <w:sz w:val="16"/>
              </w:rPr>
              <w:t>Domiciliacion Servicios Hogar (P07)</w:t>
            </w:r>
          </w:p>
        </w:tc>
        <w:tc>
          <w:tcPr>
            <w:tcW w:type="dxa" w:w="861"/>
            <w:vAlign w:val="center"/>
          </w:tcPr>
          <w:p>
            <w:pPr>
              <w:spacing w:before="0" w:after="0" w:line="252" w:lineRule="auto"/>
              <w:jc w:val="center"/>
            </w:pPr>
            <w:r>
              <w:rPr>
                <w:rFonts w:ascii="Times New Roman" w:hAnsi="Times New Roman"/>
                <w:b w:val="0"/>
                <w:i w:val="0"/>
                <w:color w:val="000000"/>
                <w:sz w:val="16"/>
              </w:rPr>
              <w:t>0.0244</w:t>
            </w:r>
          </w:p>
        </w:tc>
        <w:tc>
          <w:tcPr>
            <w:tcW w:type="dxa" w:w="861"/>
            <w:vAlign w:val="center"/>
          </w:tcPr>
          <w:p>
            <w:pPr>
              <w:spacing w:before="0" w:after="0" w:line="252" w:lineRule="auto"/>
              <w:jc w:val="center"/>
            </w:pPr>
            <w:r>
              <w:rPr>
                <w:rFonts w:ascii="Times New Roman" w:hAnsi="Times New Roman"/>
                <w:b w:val="0"/>
                <w:i w:val="0"/>
                <w:color w:val="000000"/>
                <w:sz w:val="16"/>
              </w:rPr>
              <w:t>0.0616</w:t>
            </w:r>
          </w:p>
        </w:tc>
        <w:tc>
          <w:tcPr>
            <w:tcW w:type="dxa" w:w="804"/>
            <w:vAlign w:val="center"/>
          </w:tcPr>
          <w:p>
            <w:pPr>
              <w:spacing w:before="0" w:after="0" w:line="252" w:lineRule="auto"/>
              <w:jc w:val="center"/>
            </w:pPr>
            <w:r>
              <w:rPr>
                <w:rFonts w:ascii="Times New Roman" w:hAnsi="Times New Roman"/>
                <w:b w:val="0"/>
                <w:i w:val="0"/>
                <w:color w:val="000000"/>
                <w:sz w:val="16"/>
              </w:rPr>
              <w:t>0.0243</w:t>
            </w:r>
          </w:p>
        </w:tc>
        <w:tc>
          <w:tcPr>
            <w:tcW w:type="dxa" w:w="916"/>
            <w:vAlign w:val="center"/>
          </w:tcPr>
          <w:p>
            <w:pPr>
              <w:spacing w:before="0" w:after="0" w:line="252" w:lineRule="auto"/>
              <w:jc w:val="center"/>
            </w:pPr>
            <w:r>
              <w:rPr>
                <w:rFonts w:ascii="Times New Roman" w:hAnsi="Times New Roman"/>
                <w:b w:val="0"/>
                <w:i w:val="0"/>
                <w:color w:val="000000"/>
                <w:sz w:val="16"/>
              </w:rPr>
              <w:t>0.0000</w:t>
            </w:r>
          </w:p>
        </w:tc>
        <w:tc>
          <w:tcPr>
            <w:tcW w:type="dxa" w:w="916"/>
            <w:vAlign w:val="center"/>
          </w:tcPr>
          <w:p>
            <w:pPr>
              <w:spacing w:before="0" w:after="0" w:line="252" w:lineRule="auto"/>
              <w:jc w:val="center"/>
            </w:pPr>
            <w:r>
              <w:rPr>
                <w:rFonts w:ascii="Times New Roman" w:hAnsi="Times New Roman"/>
                <w:b w:val="0"/>
                <w:i w:val="0"/>
                <w:color w:val="000000"/>
                <w:sz w:val="16"/>
              </w:rPr>
              <w:t>0.0381</w:t>
            </w:r>
          </w:p>
        </w:tc>
        <w:tc>
          <w:tcPr>
            <w:tcW w:type="dxa" w:w="916"/>
            <w:vAlign w:val="center"/>
          </w:tcPr>
          <w:p>
            <w:pPr>
              <w:spacing w:before="0" w:after="0" w:line="252" w:lineRule="auto"/>
              <w:jc w:val="center"/>
            </w:pPr>
            <w:r>
              <w:rPr>
                <w:rFonts w:ascii="Times New Roman" w:hAnsi="Times New Roman"/>
                <w:b w:val="0"/>
                <w:i w:val="0"/>
                <w:color w:val="000000"/>
                <w:sz w:val="16"/>
              </w:rPr>
              <w:t>0.0000</w:t>
            </w:r>
          </w:p>
        </w:tc>
        <w:tc>
          <w:tcPr>
            <w:tcW w:type="dxa" w:w="861"/>
            <w:vAlign w:val="center"/>
          </w:tcPr>
          <w:p>
            <w:pPr>
              <w:spacing w:before="0" w:after="0" w:line="252" w:lineRule="auto"/>
              <w:jc w:val="center"/>
            </w:pPr>
            <w:r>
              <w:rPr>
                <w:rFonts w:ascii="Times New Roman" w:hAnsi="Times New Roman"/>
                <w:b w:val="0"/>
                <w:i w:val="0"/>
                <w:color w:val="000000"/>
                <w:sz w:val="16"/>
              </w:rPr>
              <w:t>1.0000</w:t>
            </w:r>
          </w:p>
        </w:tc>
        <w:tc>
          <w:tcPr>
            <w:tcW w:type="dxa" w:w="683"/>
            <w:vAlign w:val="center"/>
          </w:tcPr>
          <w:p>
            <w:pPr>
              <w:spacing w:before="0" w:after="0" w:line="252" w:lineRule="auto"/>
              <w:jc w:val="center"/>
            </w:pPr>
            <w:r>
              <w:rPr>
                <w:rFonts w:ascii="Times New Roman" w:hAnsi="Times New Roman"/>
                <w:b w:val="0"/>
                <w:i w:val="0"/>
                <w:color w:val="000000"/>
                <w:sz w:val="16"/>
              </w:rPr>
              <w:t>0.0234</w:t>
            </w:r>
          </w:p>
        </w:tc>
      </w:tr>
      <w:tr>
        <w:trPr>
          <w:cantSplit/>
        </w:trPr>
        <w:tc>
          <w:tcPr>
            <w:tcW w:type="dxa" w:w="1980"/>
            <w:vAlign w:val="center"/>
          </w:tcPr>
          <w:p>
            <w:pPr>
              <w:spacing w:before="0" w:after="0" w:line="252" w:lineRule="auto"/>
              <w:jc w:val="left"/>
            </w:pPr>
            <w:r>
              <w:rPr>
                <w:rFonts w:ascii="Times New Roman" w:hAnsi="Times New Roman"/>
                <w:b w:val="0"/>
                <w:i w:val="0"/>
                <w:color w:val="000000"/>
                <w:sz w:val="16"/>
              </w:rPr>
              <w:t>Arrendamiento / Leasing (P08)</w:t>
            </w:r>
          </w:p>
        </w:tc>
        <w:tc>
          <w:tcPr>
            <w:tcW w:type="dxa" w:w="861"/>
            <w:vAlign w:val="center"/>
          </w:tcPr>
          <w:p>
            <w:pPr>
              <w:spacing w:before="0" w:after="0" w:line="252" w:lineRule="auto"/>
              <w:jc w:val="center"/>
            </w:pPr>
            <w:r>
              <w:rPr>
                <w:rFonts w:ascii="Times New Roman" w:hAnsi="Times New Roman"/>
                <w:b w:val="0"/>
                <w:i w:val="0"/>
                <w:color w:val="000000"/>
                <w:sz w:val="16"/>
              </w:rPr>
              <w:t>0.0251</w:t>
            </w:r>
          </w:p>
        </w:tc>
        <w:tc>
          <w:tcPr>
            <w:tcW w:type="dxa" w:w="861"/>
            <w:vAlign w:val="center"/>
          </w:tcPr>
          <w:p>
            <w:pPr>
              <w:spacing w:before="0" w:after="0" w:line="252" w:lineRule="auto"/>
              <w:jc w:val="center"/>
            </w:pPr>
            <w:r>
              <w:rPr>
                <w:rFonts w:ascii="Times New Roman" w:hAnsi="Times New Roman"/>
                <w:b w:val="0"/>
                <w:i w:val="0"/>
                <w:color w:val="000000"/>
                <w:sz w:val="16"/>
              </w:rPr>
              <w:t>0.0541</w:t>
            </w:r>
          </w:p>
        </w:tc>
        <w:tc>
          <w:tcPr>
            <w:tcW w:type="dxa" w:w="804"/>
            <w:vAlign w:val="center"/>
          </w:tcPr>
          <w:p>
            <w:pPr>
              <w:spacing w:before="0" w:after="0" w:line="252" w:lineRule="auto"/>
              <w:jc w:val="center"/>
            </w:pPr>
            <w:r>
              <w:rPr>
                <w:rFonts w:ascii="Times New Roman" w:hAnsi="Times New Roman"/>
                <w:b w:val="0"/>
                <w:i w:val="0"/>
                <w:color w:val="000000"/>
                <w:sz w:val="16"/>
              </w:rPr>
              <w:t>0.0806</w:t>
            </w:r>
          </w:p>
        </w:tc>
        <w:tc>
          <w:tcPr>
            <w:tcW w:type="dxa" w:w="916"/>
            <w:vAlign w:val="center"/>
          </w:tcPr>
          <w:p>
            <w:pPr>
              <w:spacing w:before="0" w:after="0" w:line="252" w:lineRule="auto"/>
              <w:jc w:val="center"/>
            </w:pPr>
            <w:r>
              <w:rPr>
                <w:rFonts w:ascii="Times New Roman" w:hAnsi="Times New Roman"/>
                <w:b w:val="0"/>
                <w:i w:val="0"/>
                <w:color w:val="000000"/>
                <w:sz w:val="16"/>
              </w:rPr>
              <w:t>0.0507</w:t>
            </w:r>
          </w:p>
        </w:tc>
        <w:tc>
          <w:tcPr>
            <w:tcW w:type="dxa" w:w="916"/>
            <w:vAlign w:val="center"/>
          </w:tcPr>
          <w:p>
            <w:pPr>
              <w:spacing w:before="0" w:after="0" w:line="252" w:lineRule="auto"/>
              <w:jc w:val="center"/>
            </w:pPr>
            <w:r>
              <w:rPr>
                <w:rFonts w:ascii="Times New Roman" w:hAnsi="Times New Roman"/>
                <w:b w:val="0"/>
                <w:i w:val="0"/>
                <w:color w:val="000000"/>
                <w:sz w:val="16"/>
              </w:rPr>
              <w:t>0.0301</w:t>
            </w:r>
          </w:p>
        </w:tc>
        <w:tc>
          <w:tcPr>
            <w:tcW w:type="dxa" w:w="916"/>
            <w:vAlign w:val="center"/>
          </w:tcPr>
          <w:p>
            <w:pPr>
              <w:spacing w:before="0" w:after="0" w:line="252" w:lineRule="auto"/>
              <w:jc w:val="center"/>
            </w:pPr>
            <w:r>
              <w:rPr>
                <w:rFonts w:ascii="Times New Roman" w:hAnsi="Times New Roman"/>
                <w:b w:val="0"/>
                <w:i w:val="0"/>
                <w:color w:val="000000"/>
                <w:sz w:val="16"/>
              </w:rPr>
              <w:t>0.0324</w:t>
            </w:r>
          </w:p>
        </w:tc>
        <w:tc>
          <w:tcPr>
            <w:tcW w:type="dxa" w:w="861"/>
            <w:vAlign w:val="center"/>
          </w:tcPr>
          <w:p>
            <w:pPr>
              <w:spacing w:before="0" w:after="0" w:line="252" w:lineRule="auto"/>
              <w:jc w:val="center"/>
            </w:pPr>
            <w:r>
              <w:rPr>
                <w:rFonts w:ascii="Times New Roman" w:hAnsi="Times New Roman"/>
                <w:b w:val="0"/>
                <w:i w:val="0"/>
                <w:color w:val="000000"/>
                <w:sz w:val="16"/>
              </w:rPr>
              <w:t>0.0234</w:t>
            </w:r>
          </w:p>
        </w:tc>
        <w:tc>
          <w:tcPr>
            <w:tcW w:type="dxa" w:w="683"/>
            <w:vAlign w:val="center"/>
          </w:tcPr>
          <w:p>
            <w:pPr>
              <w:spacing w:before="0" w:after="0" w:line="252" w:lineRule="auto"/>
              <w:jc w:val="center"/>
            </w:pPr>
            <w:r>
              <w:rPr>
                <w:rFonts w:ascii="Times New Roman" w:hAnsi="Times New Roman"/>
                <w:b w:val="0"/>
                <w:i w:val="0"/>
                <w:color w:val="000000"/>
                <w:sz w:val="16"/>
              </w:rPr>
              <w:t>1.0000</w:t>
            </w:r>
          </w:p>
        </w:tc>
      </w:tr>
    </w:tbl>
    <w:p>
      <w:pPr>
        <w:spacing w:before="0" w:after="120"/>
      </w:pPr>
    </w:p>
    <w:p>
      <w:pPr>
        <w:keepNext/>
        <w:spacing w:before="200" w:after="60"/>
        <w:jc w:val="center"/>
      </w:pPr>
      <w:r>
        <w:drawing>
          <wp:inline xmlns:a="http://schemas.openxmlformats.org/drawingml/2006/main" xmlns:pic="http://schemas.openxmlformats.org/drawingml/2006/picture">
            <wp:extent cx="4389120" cy="3376246"/>
            <wp:docPr id="7" name="Picture 7"/>
            <wp:cNvGraphicFramePr>
              <a:graphicFrameLocks noChangeAspect="1"/>
            </wp:cNvGraphicFramePr>
            <a:graphic>
              <a:graphicData uri="http://schemas.openxmlformats.org/drawingml/2006/picture">
                <pic:pic>
                  <pic:nvPicPr>
                    <pic:cNvPr id="0" name="fig_3a_tfidf.png"/>
                    <pic:cNvPicPr/>
                  </pic:nvPicPr>
                  <pic:blipFill>
                    <a:blip r:embed="rId17"/>
                    <a:stretch>
                      <a:fillRect/>
                    </a:stretch>
                  </pic:blipFill>
                  <pic:spPr>
                    <a:xfrm>
                      <a:off x="0" y="0"/>
                      <a:ext cx="4389120" cy="3376246"/>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7:</w:t>
      </w:r>
      <w:r>
        <w:rPr>
          <w:rFonts w:ascii="Times New Roman" w:hAnsi="Times New Roman"/>
          <w:sz w:val="20"/>
        </w:rPr>
        <w:t xml:space="preserve"> Matriz de Similitud Léxica TF-IDF entre Cláusulas de Crédito.</w:t>
      </w:r>
    </w:p>
    <w:p>
      <w:pPr>
        <w:spacing w:line="276" w:lineRule="auto" w:before="0" w:after="90"/>
        <w:jc w:val="both"/>
      </w:pPr>
      <w:r>
        <w:rPr>
          <w:rFonts w:ascii="Times New Roman" w:hAnsi="Times New Roman"/>
          <w:b w:val="0"/>
          <w:i w:val="0"/>
          <w:color w:val="000000"/>
          <w:sz w:val="22"/>
        </w:rPr>
        <w:t>Validación Leave-One-Product-Out (LOPO): Para verificar objetivamente la capacidad de recuperación semántica ante el arranque en frío de productos (Item Cold Start), se ejecutó una evaluación LOPO sobre los 8 contratos (script 16). Ocultando cada producto, el motor identificó con una precisión del 100.0% (8 de 8 productos) a su contraparte complementaria más coherente en el Top-2:</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Préstamo Personal Express (P01): </w:t>
      </w:r>
      <w:r>
        <w:rPr>
          <w:rFonts w:ascii="Times New Roman" w:hAnsi="Times New Roman"/>
          <w:b w:val="0"/>
          <w:i w:val="0"/>
          <w:color w:val="000000"/>
          <w:sz w:val="22"/>
        </w:rPr>
        <w:t>P01 (Préstamo Personal Express) recupera en Top-1 a P02 (Consumo Familiar) con similitud exacta de 0.1611 y en Top-2 a P03 (Hipotecario) con 0.1257.</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Consumo Familiar (P02): </w:t>
      </w:r>
      <w:r>
        <w:rPr>
          <w:rFonts w:ascii="Times New Roman" w:hAnsi="Times New Roman"/>
          <w:b w:val="0"/>
          <w:i w:val="0"/>
          <w:color w:val="000000"/>
          <w:sz w:val="22"/>
        </w:rPr>
        <w:t>P02 (Consumo Familiar) recupera en Top-1 a P05 (Póliza de Vida y Salud) con 0.2116 y en Top-2 a P01 con 0.1611.</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Préstamo Hipotecario (P03): </w:t>
      </w:r>
      <w:r>
        <w:rPr>
          <w:rFonts w:ascii="Times New Roman" w:hAnsi="Times New Roman"/>
          <w:b w:val="0"/>
          <w:i w:val="0"/>
          <w:color w:val="000000"/>
          <w:sz w:val="22"/>
        </w:rPr>
        <w:t>P03 (Préstamo Hipotecario) recupera en Top-1 a P04 (Comercial PyME) con 0.1432 y en Top-2 a P01 con 0.1257, asociando además en Top-3 a P06 (Desgravamen) con 0.1026.</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Comercial PyME (P04): </w:t>
      </w:r>
      <w:r>
        <w:rPr>
          <w:rFonts w:ascii="Times New Roman" w:hAnsi="Times New Roman"/>
          <w:b w:val="0"/>
          <w:i w:val="0"/>
          <w:color w:val="000000"/>
          <w:sz w:val="22"/>
        </w:rPr>
        <w:t>P04 (Comercial PyME) recupera en Top-1 a P03 (Hipotecario) con 0.1432 y en Top-2 a P01 (Personal Express) con 0.0909.</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Seguro Vida y Salud (P05): </w:t>
      </w:r>
      <w:r>
        <w:rPr>
          <w:rFonts w:ascii="Times New Roman" w:hAnsi="Times New Roman"/>
          <w:b w:val="0"/>
          <w:i w:val="0"/>
          <w:color w:val="000000"/>
          <w:sz w:val="22"/>
        </w:rPr>
        <w:t>P05 (Seguro Vida y Salud) recupera en Top-1 a P06 (Seguro Desgravamen) con 0.2957 y en Top-2 a P02 (Consumo Familiar) con 0.2116.</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Seguro Desgravamen (P06): </w:t>
      </w:r>
      <w:r>
        <w:rPr>
          <w:rFonts w:ascii="Times New Roman" w:hAnsi="Times New Roman"/>
          <w:b w:val="0"/>
          <w:i w:val="0"/>
          <w:color w:val="000000"/>
          <w:sz w:val="22"/>
        </w:rPr>
        <w:t>P06 (Seguro Desgravamen) recupera en Top-1 a P05 (Vida y Salud) con 0.2957 y en Top-2 a P03 (Hipotecario) con 0.1026.</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Servicios del Hogar (P07): </w:t>
      </w:r>
      <w:r>
        <w:rPr>
          <w:rFonts w:ascii="Times New Roman" w:hAnsi="Times New Roman"/>
          <w:b w:val="0"/>
          <w:i w:val="0"/>
          <w:color w:val="000000"/>
          <w:sz w:val="22"/>
        </w:rPr>
        <w:t>P07 (Servicios Hogar) recupera en Top-1 a P02 (Consumo Familiar) con 0.0616 y en Top-2 a P05 (Vida y Salud) con 0.0381.</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Arrendamiento / Leasing (P08): </w:t>
      </w:r>
      <w:r>
        <w:rPr>
          <w:rFonts w:ascii="Times New Roman" w:hAnsi="Times New Roman"/>
          <w:b w:val="0"/>
          <w:i w:val="0"/>
          <w:color w:val="000000"/>
          <w:sz w:val="22"/>
        </w:rPr>
        <w:t>P08 (Arrendamiento / Leasing) recupera en Top-1 a P03 (Hipotecario) con 0.0806 y en Top-2 a P02 (Consumo Familiar) con 0.0541.</w:t>
      </w:r>
    </w:p>
    <w:p>
      <w:pPr>
        <w:spacing w:line="276" w:lineRule="auto" w:before="0" w:after="90"/>
        <w:jc w:val="both"/>
      </w:pPr>
      <w:r>
        <w:rPr>
          <w:rFonts w:ascii="Times New Roman" w:hAnsi="Times New Roman"/>
          <w:b w:val="0"/>
          <w:i w:val="0"/>
          <w:color w:val="000000"/>
          <w:sz w:val="22"/>
        </w:rPr>
        <w:t>Se aclara que el corpus analizado es un catálogo curado de 8 productos arquetípicos representativo de la cartera bancaria. La tasa de acierto del 100% en Top-2 demuestra que el motor semántico captura con fidelidad las relaciones técnicas entre productos.</w:t>
      </w:r>
    </w:p>
    <w:p>
      <w:pPr>
        <w:spacing w:line="276" w:lineRule="auto" w:before="0" w:after="90"/>
        <w:jc w:val="both"/>
      </w:pPr>
      <w:r>
        <w:rPr>
          <w:rFonts w:ascii="Times New Roman" w:hAnsi="Times New Roman"/>
          <w:b w:val="0"/>
          <w:i w:val="0"/>
          <w:color w:val="000000"/>
          <w:sz w:val="22"/>
        </w:rPr>
        <w:t>Recomendación estratégica de producto: Configurar el recomendador TF-IDF en el módulo de diseño de nuevos productos para pre-etiquetar ofertas verdes o créditos educativos y asociarlos a seguros vinculados sin esperar meses de transacciones.</w:t>
      </w:r>
    </w:p>
    <w:p>
      <w:pPr>
        <w:keepNext/>
        <w:spacing w:before="120" w:after="40"/>
        <w:jc w:val="left"/>
      </w:pPr>
      <w:r>
        <w:rPr>
          <w:rFonts w:ascii="Times New Roman" w:hAnsi="Times New Roman"/>
          <w:b/>
          <w:i w:val="0"/>
          <w:color w:val="000000"/>
          <w:sz w:val="22"/>
        </w:rPr>
        <w:t>Modelo 3B: Similitud del Coseno Numérico sobre Condiciones de Crédito</w:t>
      </w:r>
    </w:p>
    <w:p>
      <w:pPr>
        <w:spacing w:line="276" w:lineRule="auto" w:before="0" w:after="90"/>
        <w:jc w:val="both"/>
      </w:pPr>
      <w:r>
        <w:rPr>
          <w:rFonts w:ascii="Times New Roman" w:hAnsi="Times New Roman"/>
          <w:b w:val="0"/>
          <w:i w:val="0"/>
          <w:color w:val="000000"/>
          <w:sz w:val="22"/>
        </w:rPr>
        <w:t>Fundamento teórico y formulación: Proyecta los contratos en el espacio tridimensional estandarizado Z-Score [monto promedio, plazo en meses, cuota mensual], calculando la proximidad centroidal entre los cinco plazos estándar de la cartera (12, 24, 36, 48 y 60 meses). La Tabla 12 presenta la matriz resultante:</w:t>
      </w:r>
    </w:p>
    <w:p>
      <w:pPr>
        <w:keepNext/>
        <w:spacing w:before="200" w:after="80"/>
        <w:jc w:val="center"/>
      </w:pPr>
      <w:r>
        <w:rPr>
          <w:rFonts w:ascii="Times New Roman" w:hAnsi="Times New Roman"/>
          <w:b/>
          <w:i w:val="0"/>
          <w:color w:val="000000"/>
          <w:sz w:val="21"/>
        </w:rPr>
        <w:t>Tabla 12:</w:t>
      </w:r>
      <w:r>
        <w:rPr>
          <w:rFonts w:ascii="Times New Roman" w:hAnsi="Times New Roman"/>
          <w:sz w:val="21"/>
        </w:rPr>
        <w:t xml:space="preserve"> Matriz de Similitud del Coseno Numérico entre Plazos Arquetípicos de Crédito (df_prestamos).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466"/>
        <w:gridCol w:w="1466"/>
        <w:gridCol w:w="1466"/>
        <w:gridCol w:w="1466"/>
        <w:gridCol w:w="1466"/>
        <w:gridCol w:w="1466"/>
      </w:tblGrid>
      <w:tr>
        <w:trPr>
          <w:tblHeader/>
          <w:cantSplit/>
        </w:trPr>
        <w:tc>
          <w:tcPr>
            <w:tcW w:type="dxa" w:w="2165"/>
            <w:vAlign w:val="center"/>
            <w:tcBorders>
              <w:bottom w:val="single" w:sz="6" w:space="0" w:color="000000"/>
            </w:tcBorders>
          </w:tcPr>
          <w:p>
            <w:pPr>
              <w:spacing w:before="0" w:after="0" w:line="252" w:lineRule="auto"/>
              <w:jc w:val="center"/>
            </w:pPr>
            <w:r>
              <w:rPr>
                <w:rFonts w:ascii="Times New Roman" w:hAnsi="Times New Roman"/>
                <w:b/>
                <w:i w:val="0"/>
                <w:color w:val="000000"/>
                <w:sz w:val="17"/>
              </w:rPr>
              <w:t>Plazo Arquetípico</w:t>
            </w:r>
          </w:p>
        </w:tc>
        <w:tc>
          <w:tcPr>
            <w:tcW w:type="dxa" w:w="1327"/>
            <w:vAlign w:val="center"/>
            <w:tcBorders>
              <w:bottom w:val="single" w:sz="6" w:space="0" w:color="000000"/>
            </w:tcBorders>
          </w:tcPr>
          <w:p>
            <w:pPr>
              <w:spacing w:before="0" w:after="0" w:line="252" w:lineRule="auto"/>
              <w:jc w:val="center"/>
            </w:pPr>
            <w:r>
              <w:rPr>
                <w:rFonts w:ascii="Times New Roman" w:hAnsi="Times New Roman"/>
                <w:b/>
                <w:i w:val="0"/>
                <w:color w:val="000000"/>
                <w:sz w:val="17"/>
              </w:rPr>
              <w:t>12 meses</w:t>
            </w:r>
          </w:p>
        </w:tc>
        <w:tc>
          <w:tcPr>
            <w:tcW w:type="dxa" w:w="1327"/>
            <w:vAlign w:val="center"/>
            <w:tcBorders>
              <w:bottom w:val="single" w:sz="6" w:space="0" w:color="000000"/>
            </w:tcBorders>
          </w:tcPr>
          <w:p>
            <w:pPr>
              <w:spacing w:before="0" w:after="0" w:line="252" w:lineRule="auto"/>
              <w:jc w:val="center"/>
            </w:pPr>
            <w:r>
              <w:rPr>
                <w:rFonts w:ascii="Times New Roman" w:hAnsi="Times New Roman"/>
                <w:b/>
                <w:i w:val="0"/>
                <w:color w:val="000000"/>
                <w:sz w:val="17"/>
              </w:rPr>
              <w:t>24 meses</w:t>
            </w:r>
          </w:p>
        </w:tc>
        <w:tc>
          <w:tcPr>
            <w:tcW w:type="dxa" w:w="1327"/>
            <w:vAlign w:val="center"/>
            <w:tcBorders>
              <w:bottom w:val="single" w:sz="6" w:space="0" w:color="000000"/>
            </w:tcBorders>
          </w:tcPr>
          <w:p>
            <w:pPr>
              <w:spacing w:before="0" w:after="0" w:line="252" w:lineRule="auto"/>
              <w:jc w:val="center"/>
            </w:pPr>
            <w:r>
              <w:rPr>
                <w:rFonts w:ascii="Times New Roman" w:hAnsi="Times New Roman"/>
                <w:b/>
                <w:i w:val="0"/>
                <w:color w:val="000000"/>
                <w:sz w:val="17"/>
              </w:rPr>
              <w:t>36 meses</w:t>
            </w:r>
          </w:p>
        </w:tc>
        <w:tc>
          <w:tcPr>
            <w:tcW w:type="dxa" w:w="1327"/>
            <w:vAlign w:val="center"/>
            <w:tcBorders>
              <w:bottom w:val="single" w:sz="6" w:space="0" w:color="000000"/>
            </w:tcBorders>
          </w:tcPr>
          <w:p>
            <w:pPr>
              <w:spacing w:before="0" w:after="0" w:line="252" w:lineRule="auto"/>
              <w:jc w:val="center"/>
            </w:pPr>
            <w:r>
              <w:rPr>
                <w:rFonts w:ascii="Times New Roman" w:hAnsi="Times New Roman"/>
                <w:b/>
                <w:i w:val="0"/>
                <w:color w:val="000000"/>
                <w:sz w:val="17"/>
              </w:rPr>
              <w:t>48 meses</w:t>
            </w:r>
          </w:p>
        </w:tc>
        <w:tc>
          <w:tcPr>
            <w:tcW w:type="dxa" w:w="1327"/>
            <w:vAlign w:val="center"/>
            <w:tcBorders>
              <w:bottom w:val="single" w:sz="6" w:space="0" w:color="000000"/>
            </w:tcBorders>
          </w:tcPr>
          <w:p>
            <w:pPr>
              <w:spacing w:before="0" w:after="0" w:line="252" w:lineRule="auto"/>
              <w:jc w:val="center"/>
            </w:pPr>
            <w:r>
              <w:rPr>
                <w:rFonts w:ascii="Times New Roman" w:hAnsi="Times New Roman"/>
                <w:b/>
                <w:i w:val="0"/>
                <w:color w:val="000000"/>
                <w:sz w:val="17"/>
              </w:rPr>
              <w:t>60 meses</w:t>
            </w:r>
          </w:p>
        </w:tc>
      </w:tr>
      <w:tr>
        <w:trPr>
          <w:cantSplit/>
        </w:trPr>
        <w:tc>
          <w:tcPr>
            <w:tcW w:type="dxa" w:w="2165"/>
            <w:vAlign w:val="center"/>
          </w:tcPr>
          <w:p>
            <w:pPr>
              <w:spacing w:before="0" w:after="0" w:line="252" w:lineRule="auto"/>
              <w:jc w:val="left"/>
            </w:pPr>
            <w:r>
              <w:rPr>
                <w:rFonts w:ascii="Times New Roman" w:hAnsi="Times New Roman"/>
                <w:b w:val="0"/>
                <w:i w:val="0"/>
                <w:color w:val="000000"/>
                <w:sz w:val="17"/>
              </w:rPr>
              <w:t>12 meses</w:t>
            </w:r>
          </w:p>
        </w:tc>
        <w:tc>
          <w:tcPr>
            <w:tcW w:type="dxa" w:w="1327"/>
            <w:vAlign w:val="center"/>
          </w:tcPr>
          <w:p>
            <w:pPr>
              <w:spacing w:before="0" w:after="0" w:line="252" w:lineRule="auto"/>
              <w:jc w:val="center"/>
            </w:pPr>
            <w:r>
              <w:rPr>
                <w:rFonts w:ascii="Times New Roman" w:hAnsi="Times New Roman"/>
                <w:b w:val="0"/>
                <w:i w:val="0"/>
                <w:color w:val="000000"/>
                <w:sz w:val="17"/>
              </w:rPr>
              <w:t>1.0000</w:t>
            </w:r>
          </w:p>
        </w:tc>
        <w:tc>
          <w:tcPr>
            <w:tcW w:type="dxa" w:w="1327"/>
            <w:vAlign w:val="center"/>
          </w:tcPr>
          <w:p>
            <w:pPr>
              <w:spacing w:before="0" w:after="0" w:line="252" w:lineRule="auto"/>
              <w:jc w:val="center"/>
            </w:pPr>
            <w:r>
              <w:rPr>
                <w:rFonts w:ascii="Times New Roman" w:hAnsi="Times New Roman"/>
                <w:b w:val="0"/>
                <w:i w:val="0"/>
                <w:color w:val="000000"/>
                <w:sz w:val="17"/>
              </w:rPr>
              <w:t>+0.9943</w:t>
            </w:r>
          </w:p>
        </w:tc>
        <w:tc>
          <w:tcPr>
            <w:tcW w:type="dxa" w:w="1327"/>
            <w:vAlign w:val="center"/>
          </w:tcPr>
          <w:p>
            <w:pPr>
              <w:spacing w:before="0" w:after="0" w:line="252" w:lineRule="auto"/>
              <w:jc w:val="center"/>
            </w:pPr>
            <w:r>
              <w:rPr>
                <w:rFonts w:ascii="Times New Roman" w:hAnsi="Times New Roman"/>
                <w:b w:val="0"/>
                <w:i w:val="0"/>
                <w:color w:val="000000"/>
                <w:sz w:val="17"/>
              </w:rPr>
              <w:t>+0.4645</w:t>
            </w:r>
          </w:p>
        </w:tc>
        <w:tc>
          <w:tcPr>
            <w:tcW w:type="dxa" w:w="1327"/>
            <w:vAlign w:val="center"/>
          </w:tcPr>
          <w:p>
            <w:pPr>
              <w:spacing w:before="0" w:after="0" w:line="252" w:lineRule="auto"/>
              <w:jc w:val="center"/>
            </w:pPr>
            <w:r>
              <w:rPr>
                <w:rFonts w:ascii="Times New Roman" w:hAnsi="Times New Roman"/>
                <w:b w:val="0"/>
                <w:i w:val="0"/>
                <w:color w:val="000000"/>
                <w:sz w:val="17"/>
              </w:rPr>
              <w:t>-0.9893</w:t>
            </w:r>
          </w:p>
        </w:tc>
        <w:tc>
          <w:tcPr>
            <w:tcW w:type="dxa" w:w="1327"/>
            <w:vAlign w:val="center"/>
          </w:tcPr>
          <w:p>
            <w:pPr>
              <w:spacing w:before="0" w:after="0" w:line="252" w:lineRule="auto"/>
              <w:jc w:val="center"/>
            </w:pPr>
            <w:r>
              <w:rPr>
                <w:rFonts w:ascii="Times New Roman" w:hAnsi="Times New Roman"/>
                <w:b w:val="0"/>
                <w:i w:val="0"/>
                <w:color w:val="000000"/>
                <w:sz w:val="17"/>
              </w:rPr>
              <w:t>-0.9991</w:t>
            </w:r>
          </w:p>
        </w:tc>
      </w:tr>
      <w:tr>
        <w:trPr>
          <w:cantSplit/>
        </w:trPr>
        <w:tc>
          <w:tcPr>
            <w:tcW w:type="dxa" w:w="2165"/>
            <w:vAlign w:val="center"/>
          </w:tcPr>
          <w:p>
            <w:pPr>
              <w:spacing w:before="0" w:after="0" w:line="252" w:lineRule="auto"/>
              <w:jc w:val="left"/>
            </w:pPr>
            <w:r>
              <w:rPr>
                <w:rFonts w:ascii="Times New Roman" w:hAnsi="Times New Roman"/>
                <w:b w:val="0"/>
                <w:i w:val="0"/>
                <w:color w:val="000000"/>
                <w:sz w:val="17"/>
              </w:rPr>
              <w:t>24 meses</w:t>
            </w:r>
          </w:p>
        </w:tc>
        <w:tc>
          <w:tcPr>
            <w:tcW w:type="dxa" w:w="1327"/>
            <w:vAlign w:val="center"/>
          </w:tcPr>
          <w:p>
            <w:pPr>
              <w:spacing w:before="0" w:after="0" w:line="252" w:lineRule="auto"/>
              <w:jc w:val="center"/>
            </w:pPr>
            <w:r>
              <w:rPr>
                <w:rFonts w:ascii="Times New Roman" w:hAnsi="Times New Roman"/>
                <w:b w:val="0"/>
                <w:i w:val="0"/>
                <w:color w:val="000000"/>
                <w:sz w:val="17"/>
              </w:rPr>
              <w:t>+0.9943</w:t>
            </w:r>
          </w:p>
        </w:tc>
        <w:tc>
          <w:tcPr>
            <w:tcW w:type="dxa" w:w="1327"/>
            <w:vAlign w:val="center"/>
          </w:tcPr>
          <w:p>
            <w:pPr>
              <w:spacing w:before="0" w:after="0" w:line="252" w:lineRule="auto"/>
              <w:jc w:val="center"/>
            </w:pPr>
            <w:r>
              <w:rPr>
                <w:rFonts w:ascii="Times New Roman" w:hAnsi="Times New Roman"/>
                <w:b w:val="0"/>
                <w:i w:val="0"/>
                <w:color w:val="000000"/>
                <w:sz w:val="17"/>
              </w:rPr>
              <w:t>1.0000</w:t>
            </w:r>
          </w:p>
        </w:tc>
        <w:tc>
          <w:tcPr>
            <w:tcW w:type="dxa" w:w="1327"/>
            <w:vAlign w:val="center"/>
          </w:tcPr>
          <w:p>
            <w:pPr>
              <w:spacing w:before="0" w:after="0" w:line="252" w:lineRule="auto"/>
              <w:jc w:val="center"/>
            </w:pPr>
            <w:r>
              <w:rPr>
                <w:rFonts w:ascii="Times New Roman" w:hAnsi="Times New Roman"/>
                <w:b w:val="0"/>
                <w:i w:val="0"/>
                <w:color w:val="000000"/>
                <w:sz w:val="17"/>
              </w:rPr>
              <w:t>+0.5534</w:t>
            </w:r>
          </w:p>
        </w:tc>
        <w:tc>
          <w:tcPr>
            <w:tcW w:type="dxa" w:w="1327"/>
            <w:vAlign w:val="center"/>
          </w:tcPr>
          <w:p>
            <w:pPr>
              <w:spacing w:before="0" w:after="0" w:line="252" w:lineRule="auto"/>
              <w:jc w:val="center"/>
            </w:pPr>
            <w:r>
              <w:rPr>
                <w:rFonts w:ascii="Times New Roman" w:hAnsi="Times New Roman"/>
                <w:b w:val="0"/>
                <w:i w:val="0"/>
                <w:color w:val="000000"/>
                <w:sz w:val="17"/>
              </w:rPr>
              <w:t>-0.9983</w:t>
            </w:r>
          </w:p>
        </w:tc>
        <w:tc>
          <w:tcPr>
            <w:tcW w:type="dxa" w:w="1327"/>
            <w:vAlign w:val="center"/>
          </w:tcPr>
          <w:p>
            <w:pPr>
              <w:spacing w:before="0" w:after="0" w:line="252" w:lineRule="auto"/>
              <w:jc w:val="center"/>
            </w:pPr>
            <w:r>
              <w:rPr>
                <w:rFonts w:ascii="Times New Roman" w:hAnsi="Times New Roman"/>
                <w:b w:val="0"/>
                <w:i w:val="0"/>
                <w:color w:val="000000"/>
                <w:sz w:val="17"/>
              </w:rPr>
              <w:t>-0.9978</w:t>
            </w:r>
          </w:p>
        </w:tc>
      </w:tr>
      <w:tr>
        <w:trPr>
          <w:cantSplit/>
        </w:trPr>
        <w:tc>
          <w:tcPr>
            <w:tcW w:type="dxa" w:w="2165"/>
            <w:vAlign w:val="center"/>
          </w:tcPr>
          <w:p>
            <w:pPr>
              <w:spacing w:before="0" w:after="0" w:line="252" w:lineRule="auto"/>
              <w:jc w:val="left"/>
            </w:pPr>
            <w:r>
              <w:rPr>
                <w:rFonts w:ascii="Times New Roman" w:hAnsi="Times New Roman"/>
                <w:b w:val="0"/>
                <w:i w:val="0"/>
                <w:color w:val="000000"/>
                <w:sz w:val="17"/>
              </w:rPr>
              <w:t>36 meses</w:t>
            </w:r>
          </w:p>
        </w:tc>
        <w:tc>
          <w:tcPr>
            <w:tcW w:type="dxa" w:w="1327"/>
            <w:vAlign w:val="center"/>
          </w:tcPr>
          <w:p>
            <w:pPr>
              <w:spacing w:before="0" w:after="0" w:line="252" w:lineRule="auto"/>
              <w:jc w:val="center"/>
            </w:pPr>
            <w:r>
              <w:rPr>
                <w:rFonts w:ascii="Times New Roman" w:hAnsi="Times New Roman"/>
                <w:b w:val="0"/>
                <w:i w:val="0"/>
                <w:color w:val="000000"/>
                <w:sz w:val="17"/>
              </w:rPr>
              <w:t>+0.4645</w:t>
            </w:r>
          </w:p>
        </w:tc>
        <w:tc>
          <w:tcPr>
            <w:tcW w:type="dxa" w:w="1327"/>
            <w:vAlign w:val="center"/>
          </w:tcPr>
          <w:p>
            <w:pPr>
              <w:spacing w:before="0" w:after="0" w:line="252" w:lineRule="auto"/>
              <w:jc w:val="center"/>
            </w:pPr>
            <w:r>
              <w:rPr>
                <w:rFonts w:ascii="Times New Roman" w:hAnsi="Times New Roman"/>
                <w:b w:val="0"/>
                <w:i w:val="0"/>
                <w:color w:val="000000"/>
                <w:sz w:val="17"/>
              </w:rPr>
              <w:t>+0.5534</w:t>
            </w:r>
          </w:p>
        </w:tc>
        <w:tc>
          <w:tcPr>
            <w:tcW w:type="dxa" w:w="1327"/>
            <w:vAlign w:val="center"/>
          </w:tcPr>
          <w:p>
            <w:pPr>
              <w:spacing w:before="0" w:after="0" w:line="252" w:lineRule="auto"/>
              <w:jc w:val="center"/>
            </w:pPr>
            <w:r>
              <w:rPr>
                <w:rFonts w:ascii="Times New Roman" w:hAnsi="Times New Roman"/>
                <w:b w:val="0"/>
                <w:i w:val="0"/>
                <w:color w:val="000000"/>
                <w:sz w:val="17"/>
              </w:rPr>
              <w:t>1.0000</w:t>
            </w:r>
          </w:p>
        </w:tc>
        <w:tc>
          <w:tcPr>
            <w:tcW w:type="dxa" w:w="1327"/>
            <w:vAlign w:val="center"/>
          </w:tcPr>
          <w:p>
            <w:pPr>
              <w:spacing w:before="0" w:after="0" w:line="252" w:lineRule="auto"/>
              <w:jc w:val="center"/>
            </w:pPr>
            <w:r>
              <w:rPr>
                <w:rFonts w:ascii="Times New Roman" w:hAnsi="Times New Roman"/>
                <w:b w:val="0"/>
                <w:i w:val="0"/>
                <w:color w:val="000000"/>
                <w:sz w:val="17"/>
              </w:rPr>
              <w:t>-0.5879</w:t>
            </w:r>
          </w:p>
        </w:tc>
        <w:tc>
          <w:tcPr>
            <w:tcW w:type="dxa" w:w="1327"/>
            <w:vAlign w:val="center"/>
          </w:tcPr>
          <w:p>
            <w:pPr>
              <w:spacing w:before="0" w:after="0" w:line="252" w:lineRule="auto"/>
              <w:jc w:val="center"/>
            </w:pPr>
            <w:r>
              <w:rPr>
                <w:rFonts w:ascii="Times New Roman" w:hAnsi="Times New Roman"/>
                <w:b w:val="0"/>
                <w:i w:val="0"/>
                <w:color w:val="000000"/>
                <w:sz w:val="17"/>
              </w:rPr>
              <w:t>-0.4967</w:t>
            </w:r>
          </w:p>
        </w:tc>
      </w:tr>
      <w:tr>
        <w:trPr>
          <w:cantSplit/>
        </w:trPr>
        <w:tc>
          <w:tcPr>
            <w:tcW w:type="dxa" w:w="2165"/>
            <w:vAlign w:val="center"/>
          </w:tcPr>
          <w:p>
            <w:pPr>
              <w:spacing w:before="0" w:after="0" w:line="252" w:lineRule="auto"/>
              <w:jc w:val="left"/>
            </w:pPr>
            <w:r>
              <w:rPr>
                <w:rFonts w:ascii="Times New Roman" w:hAnsi="Times New Roman"/>
                <w:b w:val="0"/>
                <w:i w:val="0"/>
                <w:color w:val="000000"/>
                <w:sz w:val="17"/>
              </w:rPr>
              <w:t>48 meses</w:t>
            </w:r>
          </w:p>
        </w:tc>
        <w:tc>
          <w:tcPr>
            <w:tcW w:type="dxa" w:w="1327"/>
            <w:vAlign w:val="center"/>
          </w:tcPr>
          <w:p>
            <w:pPr>
              <w:spacing w:before="0" w:after="0" w:line="252" w:lineRule="auto"/>
              <w:jc w:val="center"/>
            </w:pPr>
            <w:r>
              <w:rPr>
                <w:rFonts w:ascii="Times New Roman" w:hAnsi="Times New Roman"/>
                <w:b w:val="0"/>
                <w:i w:val="0"/>
                <w:color w:val="000000"/>
                <w:sz w:val="17"/>
              </w:rPr>
              <w:t>-0.9893</w:t>
            </w:r>
          </w:p>
        </w:tc>
        <w:tc>
          <w:tcPr>
            <w:tcW w:type="dxa" w:w="1327"/>
            <w:vAlign w:val="center"/>
          </w:tcPr>
          <w:p>
            <w:pPr>
              <w:spacing w:before="0" w:after="0" w:line="252" w:lineRule="auto"/>
              <w:jc w:val="center"/>
            </w:pPr>
            <w:r>
              <w:rPr>
                <w:rFonts w:ascii="Times New Roman" w:hAnsi="Times New Roman"/>
                <w:b w:val="0"/>
                <w:i w:val="0"/>
                <w:color w:val="000000"/>
                <w:sz w:val="17"/>
              </w:rPr>
              <w:t>-0.9983</w:t>
            </w:r>
          </w:p>
        </w:tc>
        <w:tc>
          <w:tcPr>
            <w:tcW w:type="dxa" w:w="1327"/>
            <w:vAlign w:val="center"/>
          </w:tcPr>
          <w:p>
            <w:pPr>
              <w:spacing w:before="0" w:after="0" w:line="252" w:lineRule="auto"/>
              <w:jc w:val="center"/>
            </w:pPr>
            <w:r>
              <w:rPr>
                <w:rFonts w:ascii="Times New Roman" w:hAnsi="Times New Roman"/>
                <w:b w:val="0"/>
                <w:i w:val="0"/>
                <w:color w:val="000000"/>
                <w:sz w:val="17"/>
              </w:rPr>
              <w:t>-0.5879</w:t>
            </w:r>
          </w:p>
        </w:tc>
        <w:tc>
          <w:tcPr>
            <w:tcW w:type="dxa" w:w="1327"/>
            <w:vAlign w:val="center"/>
          </w:tcPr>
          <w:p>
            <w:pPr>
              <w:spacing w:before="0" w:after="0" w:line="252" w:lineRule="auto"/>
              <w:jc w:val="center"/>
            </w:pPr>
            <w:r>
              <w:rPr>
                <w:rFonts w:ascii="Times New Roman" w:hAnsi="Times New Roman"/>
                <w:b w:val="0"/>
                <w:i w:val="0"/>
                <w:color w:val="000000"/>
                <w:sz w:val="17"/>
              </w:rPr>
              <w:t>1.0000</w:t>
            </w:r>
          </w:p>
        </w:tc>
        <w:tc>
          <w:tcPr>
            <w:tcW w:type="dxa" w:w="1327"/>
            <w:vAlign w:val="center"/>
          </w:tcPr>
          <w:p>
            <w:pPr>
              <w:spacing w:before="0" w:after="0" w:line="252" w:lineRule="auto"/>
              <w:jc w:val="center"/>
            </w:pPr>
            <w:r>
              <w:rPr>
                <w:rFonts w:ascii="Times New Roman" w:hAnsi="Times New Roman"/>
                <w:b w:val="0"/>
                <w:i w:val="0"/>
                <w:color w:val="000000"/>
                <w:sz w:val="17"/>
              </w:rPr>
              <w:t>+0.9934</w:t>
            </w:r>
          </w:p>
        </w:tc>
      </w:tr>
      <w:tr>
        <w:trPr>
          <w:cantSplit/>
        </w:trPr>
        <w:tc>
          <w:tcPr>
            <w:tcW w:type="dxa" w:w="2165"/>
            <w:vAlign w:val="center"/>
          </w:tcPr>
          <w:p>
            <w:pPr>
              <w:spacing w:before="0" w:after="0" w:line="252" w:lineRule="auto"/>
              <w:jc w:val="left"/>
            </w:pPr>
            <w:r>
              <w:rPr>
                <w:rFonts w:ascii="Times New Roman" w:hAnsi="Times New Roman"/>
                <w:b w:val="0"/>
                <w:i w:val="0"/>
                <w:color w:val="000000"/>
                <w:sz w:val="17"/>
              </w:rPr>
              <w:t>60 meses</w:t>
            </w:r>
          </w:p>
        </w:tc>
        <w:tc>
          <w:tcPr>
            <w:tcW w:type="dxa" w:w="1327"/>
            <w:vAlign w:val="center"/>
          </w:tcPr>
          <w:p>
            <w:pPr>
              <w:spacing w:before="0" w:after="0" w:line="252" w:lineRule="auto"/>
              <w:jc w:val="center"/>
            </w:pPr>
            <w:r>
              <w:rPr>
                <w:rFonts w:ascii="Times New Roman" w:hAnsi="Times New Roman"/>
                <w:b w:val="0"/>
                <w:i w:val="0"/>
                <w:color w:val="000000"/>
                <w:sz w:val="17"/>
              </w:rPr>
              <w:t>-0.9991</w:t>
            </w:r>
          </w:p>
        </w:tc>
        <w:tc>
          <w:tcPr>
            <w:tcW w:type="dxa" w:w="1327"/>
            <w:vAlign w:val="center"/>
          </w:tcPr>
          <w:p>
            <w:pPr>
              <w:spacing w:before="0" w:after="0" w:line="252" w:lineRule="auto"/>
              <w:jc w:val="center"/>
            </w:pPr>
            <w:r>
              <w:rPr>
                <w:rFonts w:ascii="Times New Roman" w:hAnsi="Times New Roman"/>
                <w:b w:val="0"/>
                <w:i w:val="0"/>
                <w:color w:val="000000"/>
                <w:sz w:val="17"/>
              </w:rPr>
              <w:t>-0.9978</w:t>
            </w:r>
          </w:p>
        </w:tc>
        <w:tc>
          <w:tcPr>
            <w:tcW w:type="dxa" w:w="1327"/>
            <w:vAlign w:val="center"/>
          </w:tcPr>
          <w:p>
            <w:pPr>
              <w:spacing w:before="0" w:after="0" w:line="252" w:lineRule="auto"/>
              <w:jc w:val="center"/>
            </w:pPr>
            <w:r>
              <w:rPr>
                <w:rFonts w:ascii="Times New Roman" w:hAnsi="Times New Roman"/>
                <w:b w:val="0"/>
                <w:i w:val="0"/>
                <w:color w:val="000000"/>
                <w:sz w:val="17"/>
              </w:rPr>
              <w:t>-0.4967</w:t>
            </w:r>
          </w:p>
        </w:tc>
        <w:tc>
          <w:tcPr>
            <w:tcW w:type="dxa" w:w="1327"/>
            <w:vAlign w:val="center"/>
          </w:tcPr>
          <w:p>
            <w:pPr>
              <w:spacing w:before="0" w:after="0" w:line="252" w:lineRule="auto"/>
              <w:jc w:val="center"/>
            </w:pPr>
            <w:r>
              <w:rPr>
                <w:rFonts w:ascii="Times New Roman" w:hAnsi="Times New Roman"/>
                <w:b w:val="0"/>
                <w:i w:val="0"/>
                <w:color w:val="000000"/>
                <w:sz w:val="17"/>
              </w:rPr>
              <w:t>+0.9934</w:t>
            </w:r>
          </w:p>
        </w:tc>
        <w:tc>
          <w:tcPr>
            <w:tcW w:type="dxa" w:w="1327"/>
            <w:vAlign w:val="center"/>
          </w:tcPr>
          <w:p>
            <w:pPr>
              <w:spacing w:before="0" w:after="0" w:line="252" w:lineRule="auto"/>
              <w:jc w:val="center"/>
            </w:pPr>
            <w:r>
              <w:rPr>
                <w:rFonts w:ascii="Times New Roman" w:hAnsi="Times New Roman"/>
                <w:b w:val="0"/>
                <w:i w:val="0"/>
                <w:color w:val="000000"/>
                <w:sz w:val="17"/>
              </w:rPr>
              <w:t>1.0000</w:t>
            </w:r>
          </w:p>
        </w:tc>
      </w:tr>
    </w:tbl>
    <w:p>
      <w:pPr>
        <w:spacing w:before="0" w:after="120"/>
      </w:pPr>
    </w:p>
    <w:p>
      <w:pPr>
        <w:keepNext/>
        <w:spacing w:before="200" w:after="60"/>
        <w:jc w:val="center"/>
      </w:pPr>
      <w:r>
        <w:drawing>
          <wp:inline xmlns:a="http://schemas.openxmlformats.org/drawingml/2006/main" xmlns:pic="http://schemas.openxmlformats.org/drawingml/2006/picture">
            <wp:extent cx="4389120" cy="3260489"/>
            <wp:docPr id="8" name="Picture 8"/>
            <wp:cNvGraphicFramePr>
              <a:graphicFrameLocks noChangeAspect="1"/>
            </wp:cNvGraphicFramePr>
            <a:graphic>
              <a:graphicData uri="http://schemas.openxmlformats.org/drawingml/2006/picture">
                <pic:pic>
                  <pic:nvPicPr>
                    <pic:cNvPr id="0" name="fig_3b_coseno_plazos.png"/>
                    <pic:cNvPicPr/>
                  </pic:nvPicPr>
                  <pic:blipFill>
                    <a:blip r:embed="rId18"/>
                    <a:stretch>
                      <a:fillRect/>
                    </a:stretch>
                  </pic:blipFill>
                  <pic:spPr>
                    <a:xfrm>
                      <a:off x="0" y="0"/>
                      <a:ext cx="4389120" cy="3260489"/>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8:</w:t>
      </w:r>
      <w:r>
        <w:rPr>
          <w:rFonts w:ascii="Times New Roman" w:hAnsi="Times New Roman"/>
          <w:sz w:val="20"/>
        </w:rPr>
        <w:t xml:space="preserve"> Similitud del Coseno Numérico entre Plazos Crediticios.</w:t>
      </w:r>
    </w:p>
    <w:p>
      <w:pPr>
        <w:spacing w:line="276" w:lineRule="auto" w:before="0" w:after="90"/>
        <w:jc w:val="both"/>
      </w:pPr>
      <w:r>
        <w:rPr>
          <w:rFonts w:ascii="Times New Roman" w:hAnsi="Times New Roman"/>
          <w:b w:val="0"/>
          <w:i w:val="0"/>
          <w:color w:val="000000"/>
          <w:sz w:val="22"/>
        </w:rPr>
        <w:t>Interpretación analítica y de negocio: La matriz expone una estructura dipolar casi perfecta: los plazos adyacentes de corto plazo (12 y 24 meses: +0.9943) y de largo plazo (48 y 60 meses: +0.9934) forman clusters altamente afines. En contraste, la oposición entre los extremos 12 y 60 meses es diametral (-0.9991). Es fundamental aclarar que este valor de -0.9991 surge casi por construcción geométrica del z-score al comparar centroides opuestos (alta cuota a 12 meses vs baja cuota a 60 meses), actuando como mapa estructural para refinanciamiento.</w:t>
      </w:r>
    </w:p>
    <w:p>
      <w:pPr>
        <w:spacing w:line="276" w:lineRule="auto" w:before="0" w:after="90"/>
        <w:jc w:val="both"/>
      </w:pPr>
      <w:r>
        <w:rPr>
          <w:rFonts w:ascii="Times New Roman" w:hAnsi="Times New Roman"/>
          <w:b w:val="0"/>
          <w:i w:val="0"/>
          <w:color w:val="000000"/>
          <w:sz w:val="22"/>
        </w:rPr>
        <w:t>Recomendación estratégica de producto: En solicitudes de reestructuración crediticia, ofertar exclusivamente plazos contiguos en el espacio angular (ej. migrar de 36 a 48 meses) para evitar desajustes abruptos en la cuota mensual.</w:t>
      </w:r>
    </w:p>
    <w:p>
      <w:pPr>
        <w:keepNext/>
        <w:spacing w:before="120" w:after="40"/>
        <w:jc w:val="left"/>
      </w:pPr>
      <w:r>
        <w:rPr>
          <w:rFonts w:ascii="Times New Roman" w:hAnsi="Times New Roman"/>
          <w:b/>
          <w:i w:val="0"/>
          <w:color w:val="000000"/>
          <w:sz w:val="22"/>
        </w:rPr>
        <w:t>Modelo 3C: Reglas de Scoring y Función de Utilidad Financiera</w:t>
      </w:r>
    </w:p>
    <w:p>
      <w:pPr>
        <w:spacing w:line="276" w:lineRule="auto" w:before="0" w:after="90"/>
        <w:jc w:val="both"/>
      </w:pPr>
      <w:r>
        <w:rPr>
          <w:rFonts w:ascii="Times New Roman" w:hAnsi="Times New Roman"/>
          <w:b w:val="0"/>
          <w:i w:val="0"/>
          <w:color w:val="000000"/>
          <w:sz w:val="22"/>
        </w:rPr>
        <w:t>Fundamento teórico y compuertas de solvencia: El modelo impone dos reglas de gobernanza prudencial bancaria: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Regla de Scoring 1 (Bloqueo de Mora Histórica): </w:t>
      </w:r>
      <w:r>
        <w:rPr>
          <w:rFonts w:ascii="Times New Roman" w:hAnsi="Times New Roman"/>
          <w:b w:val="0"/>
          <w:i w:val="0"/>
          <w:color w:val="000000"/>
          <w:sz w:val="22"/>
        </w:rPr>
        <w:t>De los 682 créditos formalizados, se auditaron los estatus según la norma PKDD'99: Estado A (203 finalizados al día, 29.77%), Estado C (403 vigentes al día, 59.09%), Estado B (31 créditos fallidos con deuda impaga, 4.55%) y Estado D (45 contratos en mora activa con cuotas impagas, 6.60%). La Regla 1 bloquea automáticamente al 11.15% de clientes morosos históricos (estados B y D, 76 contratos).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Regla de Utilidad 2 (Límite Prudencial de Endeudamiento ≤ 30%): </w:t>
      </w:r>
      <w:r>
        <w:rPr>
          <w:rFonts w:ascii="Times New Roman" w:hAnsi="Times New Roman"/>
          <w:b w:val="0"/>
          <w:i w:val="0"/>
          <w:color w:val="000000"/>
          <w:sz w:val="22"/>
        </w:rPr>
        <w:t>La cuota periódica calculada por el sistema de amortización francés no puede sobrepasar el umbral prudencial del 30% del salario distrital promedio del solicitante, definiendo la Zona de Utilidad Sostenible:</w:t>
      </w:r>
    </w:p>
    <w:p>
      <w:pPr>
        <w:keepNext/>
        <w:spacing w:before="80" w:after="80"/>
        <w:jc w:val="center"/>
      </w:pPr>
      <m:oMathPara>
        <m:oMath>
          <m:r>
            <m:rPr>
              <m:nor/>
            </m:rPr>
            <m:t>Cuota</m:t>
          </m:r>
          <m:r>
            <m:t>(P,r,n)=P·</m:t>
          </m:r>
          <m:f>
            <m:fPr>
              <m:type m:val="bar"/>
            </m:fPr>
            <m:num>
              <m:r>
                <m:t>r(1+r</m:t>
              </m:r>
              <m:sSup>
                <m:e>
                  <m:r>
                    <m:t>)</m:t>
                  </m:r>
                </m:e>
                <m:sup>
                  <m:r>
                    <m:t>n</m:t>
                  </m:r>
                </m:sup>
              </m:sSup>
            </m:num>
            <m:den>
              <m:d>
                <m:dPr>
                  <m:sepChr m:val=""/>
                  <m:endChr m:val=""/>
                </m:dPr>
                <m:e>
                  <m:r>
                    <m:t>1</m:t>
                  </m:r>
                  <m:r>
                    <m:t>+</m:t>
                  </m:r>
                  <m:r>
                    <m:t>r</m:t>
                  </m:r>
                  <m:sSup>
                    <m:e>
                      <m:r>
                        <m:t>)</m:t>
                      </m:r>
                    </m:e>
                    <m:sup>
                      <m:r>
                        <m:t>n</m:t>
                      </m:r>
                    </m:sup>
                  </m:sSup>
                  <m:r>
                    <m:t>−</m:t>
                  </m:r>
                  <m:r>
                    <m:t>1</m:t>
                  </m:r>
                </m:e>
              </m:d>
            </m:den>
          </m:f>
          <m:r>
            <m:t>,</m:t>
          </m:r>
          <m:r>
            <m:rPr>
              <m:nor/>
            </m:rPr>
            <m:t>Utilidad</m:t>
          </m:r>
          <m:r>
            <m:t>=</m:t>
          </m:r>
          <m:d>
            <m:dPr>
              <m:begChr m:val="{"/>
              <m:sepChr m:val=""/>
              <m:endChr m:val=""/>
            </m:dPr>
            <m:e>
              <m:m>
                <m:mPr>
                  <m:baseJc m:val="center"/>
                  <m:plcHide m:val="on"/>
                  <m:mcs>
                    <m:mc>
                      <m:mcPr>
                        <m:count m:val="2"/>
                        <m:mcJc m:val="center"/>
                      </m:mcPr>
                    </m:mc>
                  </m:mcs>
                </m:mPr>
                <m:mr>
                  <m:e>
                    <m:r>
                      <m:t>1</m:t>
                    </m:r>
                  </m:e>
                  <m:e>
                    <m:r>
                      <m:rPr>
                        <m:nor/>
                      </m:rPr>
                      <m:t>si </m:t>
                    </m:r>
                    <m:f>
                      <m:fPr>
                        <m:type m:val="bar"/>
                      </m:fPr>
                      <m:num>
                        <m:r>
                          <m:rPr>
                            <m:nor/>
                          </m:rPr>
                          <m:t>Cuota</m:t>
                        </m:r>
                      </m:num>
                      <m:den>
                        <m:r>
                          <m:rPr>
                            <m:nor/>
                          </m:rPr>
                          <m:t>Salario</m:t>
                        </m:r>
                      </m:den>
                    </m:f>
                    <m:r>
                      <m:t>≤0.30</m:t>
                    </m:r>
                  </m:e>
                </m:mr>
                <m:mr>
                  <m:e>
                    <m:r>
                      <m:t>0</m:t>
                    </m:r>
                  </m:e>
                  <m:e>
                    <m:r>
                      <m:rPr>
                        <m:nor/>
                      </m:rPr>
                      <m:t>si </m:t>
                    </m:r>
                    <m:f>
                      <m:fPr>
                        <m:type m:val="bar"/>
                      </m:fPr>
                      <m:num>
                        <m:r>
                          <m:rPr>
                            <m:nor/>
                          </m:rPr>
                          <m:t>Cuota</m:t>
                        </m:r>
                      </m:num>
                      <m:den>
                        <m:r>
                          <m:rPr>
                            <m:nor/>
                          </m:rPr>
                          <m:t>Salario</m:t>
                        </m:r>
                      </m:den>
                    </m:f>
                    <m:r>
                      <m:t>&gt;0.30</m:t>
                    </m:r>
                  </m:e>
                </m:mr>
              </m:m>
            </m:e>
          </m:d>
        </m:oMath>
      </m:oMathPara>
    </w:p>
    <w:p>
      <w:pPr>
        <w:spacing w:line="276" w:lineRule="auto" w:before="0" w:after="90"/>
        <w:jc w:val="both"/>
      </w:pPr>
      <w:r>
        <w:rPr>
          <w:rFonts w:ascii="Times New Roman" w:hAnsi="Times New Roman"/>
          <w:b w:val="0"/>
          <w:i w:val="0"/>
          <w:color w:val="000000"/>
          <w:sz w:val="22"/>
        </w:rPr>
        <w:t>Validación empírica y significancia estadística (Script 17): En los 682 contratos históricos de la entidad, los préstamos en mora o fallidos (estados B y D) exhiben ratios de esfuerzo promedio sustancialmente más elevados (57.53% y 57.42%) que los contratos sanos de estados A y C (45.21% y 42.21%). Al segmentar la cartera: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Zona Prudencial (≤ 30%): </w:t>
      </w:r>
      <w:r>
        <w:rPr>
          <w:rFonts w:ascii="Times New Roman" w:hAnsi="Times New Roman"/>
          <w:b w:val="0"/>
          <w:i w:val="0"/>
          <w:color w:val="000000"/>
          <w:sz w:val="22"/>
        </w:rPr>
        <w:t>Contratos con ratio ≤ 30% (N = 213): registran una tasa de mora real de apenas 6.57% (14 casos en mora).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Zona de Alerta (30% - 50%): </w:t>
      </w:r>
      <w:r>
        <w:rPr>
          <w:rFonts w:ascii="Times New Roman" w:hAnsi="Times New Roman"/>
          <w:b w:val="0"/>
          <w:i w:val="0"/>
          <w:color w:val="000000"/>
          <w:sz w:val="22"/>
        </w:rPr>
        <w:t>Contratos con ratio 30% - 50% (N = 208): registran una tasa de mora intermedia de 8.65% (18 casos en mora).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Zona Crítica (&gt; 50%): </w:t>
      </w:r>
      <w:r>
        <w:rPr>
          <w:rFonts w:ascii="Times New Roman" w:hAnsi="Times New Roman"/>
          <w:b w:val="0"/>
          <w:i w:val="0"/>
          <w:color w:val="000000"/>
          <w:sz w:val="22"/>
        </w:rPr>
        <w:t>Contratos con ratio &gt; 50% (N = 261): la tasa de mora escala al 16.86% (44 casos en mora), 2.5 veces superior al tramo prudencial.</w:t>
      </w:r>
    </w:p>
    <w:p>
      <w:pPr>
        <w:spacing w:line="276" w:lineRule="auto" w:before="0" w:after="90"/>
        <w:jc w:val="both"/>
      </w:pPr>
      <w:r>
        <w:rPr>
          <w:rFonts w:ascii="Times New Roman" w:hAnsi="Times New Roman"/>
          <w:b w:val="0"/>
          <w:i w:val="0"/>
          <w:color w:val="000000"/>
          <w:sz w:val="22"/>
        </w:rPr>
        <w:t>La diferencia entre tramos es altamente significativa: Chi-cuadrado global χ² = 14.4043, p = 0.0007; Chi-cuadrado con corrección de Yates entre extremos (≤30% vs &gt;50%) χ² = 10.6159, p = 0.0011; y Test Exacto de Fisher con p = 0.0007 y Odds Ratio de 0.3470 (IC 95%: [0.18, 0.65]). No se trata de una reducción temporal longitudinal observada tras aplicar la regla, sino de la evidencia transversal que justifica fijar el umbral prudencial en el 30% para contener el impago.</w:t>
      </w:r>
    </w:p>
    <w:p>
      <w:pPr>
        <w:spacing w:line="276" w:lineRule="auto" w:before="0" w:after="90"/>
        <w:jc w:val="both"/>
      </w:pPr>
      <w:r>
        <w:rPr>
          <w:rFonts w:ascii="Times New Roman" w:hAnsi="Times New Roman"/>
          <w:b w:val="0"/>
          <w:i w:val="0"/>
          <w:color w:val="000000"/>
          <w:sz w:val="22"/>
        </w:rPr>
        <w:t>Reconciliación y Análisis Costo-Beneficio (Risk Tiering): En la cartera histórica sana de la entidad, el ratio medio observado es del 42.21% - 45.21% (mediana del 39.95%). Si el banco hubiera rechazado tajantemente todo crédito por encima del 30%, habría denegado 469 de 682 créditos (68.77%), sacrificando una enorme masa de ingresos por intereses. Para balancear riesgo y volumen comercial, se formula una política escalonada por tramos (Risk Tiering):</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Tranche Verde (Fast-Track ≤ 30%): </w:t>
      </w:r>
      <w:r>
        <w:rPr>
          <w:rFonts w:ascii="Times New Roman" w:hAnsi="Times New Roman"/>
          <w:b w:val="0"/>
          <w:i w:val="0"/>
          <w:color w:val="000000"/>
          <w:sz w:val="22"/>
        </w:rPr>
        <w:t>Tranche Verde (≤ 30%, N = 213): Aprobación automática preaprobada inmediata en banca virtual. Registra la tasa de mora más reducida de la institución (6.57%).</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Tranche Amarillo (Mitigación 30% - 50%): </w:t>
      </w:r>
      <w:r>
        <w:rPr>
          <w:rFonts w:ascii="Times New Roman" w:hAnsi="Times New Roman"/>
          <w:b w:val="0"/>
          <w:i w:val="0"/>
          <w:color w:val="000000"/>
          <w:sz w:val="22"/>
        </w:rPr>
        <w:t>Tranche Amarillo (30% - 50%, N = 208): Aprobación condicionada a mecanismos de mitigación de riesgo. Se exige extender el plazo de amortización a 48 o 60 meses para forzar el descenso de la cuota hacia el tramo verde, o bien la presentación de colaterales y avales solidarios. Permite recuperar el 91.35% de los clientes cumplidos de este rango.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Tranche Rojo (Denegación Mandatoria &gt; 50%): </w:t>
      </w:r>
      <w:r>
        <w:rPr>
          <w:rFonts w:ascii="Times New Roman" w:hAnsi="Times New Roman"/>
          <w:b w:val="0"/>
          <w:i w:val="0"/>
          <w:color w:val="000000"/>
          <w:sz w:val="22"/>
        </w:rPr>
        <w:t>Tranche Rojo (&gt; 50%, N = 261): Denegación mandatoria por sobreendeudamiento crítico. En este segmento la tasa de mora escala a 16.86% (44 casos de impago), concentrando más del 57% de todas las pérdidas crediticias de la entidad.</w:t>
      </w:r>
    </w:p>
    <w:p>
      <w:pPr>
        <w:spacing w:line="276" w:lineRule="auto" w:before="0" w:after="90"/>
        <w:jc w:val="both"/>
      </w:pPr>
      <w:r>
        <w:rPr>
          <w:rFonts w:ascii="Times New Roman" w:hAnsi="Times New Roman"/>
          <w:b w:val="0"/>
          <w:i w:val="0"/>
          <w:color w:val="000000"/>
          <w:sz w:val="22"/>
        </w:rPr>
        <w:t>La Tabla 13 expone la simulación de amortización francesa sobre una solicitud de 100,000 CZK al 8% de interés anual frente a un salario referencial de 10,000 CZK:</w:t>
      </w:r>
    </w:p>
    <w:p>
      <w:pPr>
        <w:keepNext/>
        <w:spacing w:before="200" w:after="80"/>
        <w:jc w:val="center"/>
      </w:pPr>
      <w:r>
        <w:rPr>
          <w:rFonts w:ascii="Times New Roman" w:hAnsi="Times New Roman"/>
          <w:b/>
          <w:i w:val="0"/>
          <w:color w:val="000000"/>
          <w:sz w:val="21"/>
        </w:rPr>
        <w:t>Tabla 13:</w:t>
      </w:r>
      <w:r>
        <w:rPr>
          <w:rFonts w:ascii="Times New Roman" w:hAnsi="Times New Roman"/>
          <w:sz w:val="21"/>
        </w:rPr>
        <w:t xml:space="preserve"> Evaluación de Reglas de Scoring y Simulación de Utilidad Financiera (df_prestamos).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466"/>
        <w:gridCol w:w="1466"/>
        <w:gridCol w:w="1466"/>
        <w:gridCol w:w="1466"/>
        <w:gridCol w:w="1466"/>
        <w:gridCol w:w="1466"/>
      </w:tblGrid>
      <w:tr>
        <w:trPr>
          <w:tblHeader/>
          <w:cantSplit/>
        </w:trPr>
        <w:tc>
          <w:tcPr>
            <w:tcW w:type="dxa" w:w="985"/>
            <w:vAlign w:val="center"/>
            <w:tcBorders>
              <w:bottom w:val="single" w:sz="6" w:space="0" w:color="000000"/>
            </w:tcBorders>
          </w:tcPr>
          <w:p>
            <w:pPr>
              <w:spacing w:before="0" w:after="0" w:line="252" w:lineRule="auto"/>
              <w:jc w:val="center"/>
            </w:pPr>
            <w:r>
              <w:rPr>
                <w:rFonts w:ascii="Times New Roman" w:hAnsi="Times New Roman"/>
                <w:b/>
                <w:i w:val="0"/>
                <w:color w:val="000000"/>
                <w:sz w:val="17"/>
              </w:rPr>
              <w:t>Plazo Evaluado</w:t>
            </w:r>
          </w:p>
        </w:tc>
        <w:tc>
          <w:tcPr>
            <w:tcW w:type="dxa" w:w="1321"/>
            <w:vAlign w:val="center"/>
            <w:tcBorders>
              <w:bottom w:val="single" w:sz="6" w:space="0" w:color="000000"/>
            </w:tcBorders>
          </w:tcPr>
          <w:p>
            <w:pPr>
              <w:spacing w:before="0" w:after="0" w:line="252" w:lineRule="auto"/>
              <w:jc w:val="center"/>
            </w:pPr>
            <w:r>
              <w:rPr>
                <w:rFonts w:ascii="Times New Roman" w:hAnsi="Times New Roman"/>
                <w:b/>
                <w:i w:val="0"/>
                <w:color w:val="000000"/>
                <w:sz w:val="17"/>
              </w:rPr>
              <w:t>Cuota Mensual Estimada</w:t>
            </w:r>
          </w:p>
        </w:tc>
        <w:tc>
          <w:tcPr>
            <w:tcW w:type="dxa" w:w="1201"/>
            <w:vAlign w:val="center"/>
            <w:tcBorders>
              <w:bottom w:val="single" w:sz="6" w:space="0" w:color="000000"/>
            </w:tcBorders>
          </w:tcPr>
          <w:p>
            <w:pPr>
              <w:spacing w:before="0" w:after="0" w:line="252" w:lineRule="auto"/>
              <w:jc w:val="center"/>
            </w:pPr>
            <w:r>
              <w:rPr>
                <w:rFonts w:ascii="Times New Roman" w:hAnsi="Times New Roman"/>
                <w:b/>
                <w:i w:val="0"/>
                <w:color w:val="000000"/>
                <w:sz w:val="17"/>
              </w:rPr>
              <w:t>Salario Referencial</w:t>
            </w:r>
          </w:p>
        </w:tc>
        <w:tc>
          <w:tcPr>
            <w:tcW w:type="dxa" w:w="1201"/>
            <w:vAlign w:val="center"/>
            <w:tcBorders>
              <w:bottom w:val="single" w:sz="6" w:space="0" w:color="000000"/>
            </w:tcBorders>
          </w:tcPr>
          <w:p>
            <w:pPr>
              <w:spacing w:before="0" w:after="0" w:line="252" w:lineRule="auto"/>
              <w:jc w:val="center"/>
            </w:pPr>
            <w:r>
              <w:rPr>
                <w:rFonts w:ascii="Times New Roman" w:hAnsi="Times New Roman"/>
                <w:b/>
                <w:i w:val="0"/>
                <w:color w:val="000000"/>
                <w:sz w:val="17"/>
              </w:rPr>
              <w:t>Ratio Endeudamiento</w:t>
            </w:r>
          </w:p>
        </w:tc>
        <w:tc>
          <w:tcPr>
            <w:tcW w:type="dxa" w:w="1581"/>
            <w:vAlign w:val="center"/>
            <w:tcBorders>
              <w:bottom w:val="single" w:sz="6" w:space="0" w:color="000000"/>
            </w:tcBorders>
          </w:tcPr>
          <w:p>
            <w:pPr>
              <w:spacing w:before="0" w:after="0" w:line="252" w:lineRule="auto"/>
              <w:jc w:val="center"/>
            </w:pPr>
            <w:r>
              <w:rPr>
                <w:rFonts w:ascii="Times New Roman" w:hAnsi="Times New Roman"/>
                <w:b/>
                <w:i w:val="0"/>
                <w:color w:val="000000"/>
                <w:sz w:val="17"/>
              </w:rPr>
              <w:t>Condición de Utilidad (≤ 30%)</w:t>
            </w:r>
          </w:p>
        </w:tc>
        <w:tc>
          <w:tcPr>
            <w:tcW w:type="dxa" w:w="2509"/>
            <w:vAlign w:val="center"/>
            <w:tcBorders>
              <w:bottom w:val="single" w:sz="6" w:space="0" w:color="000000"/>
            </w:tcBorders>
          </w:tcPr>
          <w:p>
            <w:pPr>
              <w:spacing w:before="0" w:after="0" w:line="252" w:lineRule="auto"/>
              <w:jc w:val="center"/>
            </w:pPr>
            <w:r>
              <w:rPr>
                <w:rFonts w:ascii="Times New Roman" w:hAnsi="Times New Roman"/>
                <w:b/>
                <w:i w:val="0"/>
                <w:color w:val="000000"/>
                <w:sz w:val="17"/>
              </w:rPr>
              <w:t>Decisión del Sistema de Recomendación</w:t>
            </w:r>
          </w:p>
        </w:tc>
      </w:tr>
      <w:tr>
        <w:trPr>
          <w:cantSplit/>
        </w:trPr>
        <w:tc>
          <w:tcPr>
            <w:tcW w:type="dxa" w:w="985"/>
            <w:vAlign w:val="center"/>
          </w:tcPr>
          <w:p>
            <w:pPr>
              <w:spacing w:before="0" w:after="0" w:line="252" w:lineRule="auto"/>
              <w:jc w:val="left"/>
            </w:pPr>
            <w:r>
              <w:rPr>
                <w:rFonts w:ascii="Times New Roman" w:hAnsi="Times New Roman"/>
                <w:b w:val="0"/>
                <w:i w:val="0"/>
                <w:color w:val="000000"/>
                <w:sz w:val="17"/>
              </w:rPr>
              <w:t>12 meses</w:t>
            </w:r>
          </w:p>
        </w:tc>
        <w:tc>
          <w:tcPr>
            <w:tcW w:type="dxa" w:w="1321"/>
            <w:vAlign w:val="center"/>
          </w:tcPr>
          <w:p>
            <w:pPr>
              <w:spacing w:before="0" w:after="0" w:line="252" w:lineRule="auto"/>
              <w:jc w:val="left"/>
            </w:pPr>
            <w:r>
              <w:rPr>
                <w:rFonts w:ascii="Times New Roman" w:hAnsi="Times New Roman"/>
                <w:b w:val="0"/>
                <w:i w:val="0"/>
                <w:color w:val="000000"/>
                <w:sz w:val="17"/>
              </w:rPr>
              <w:t>8,698.84 CZK</w:t>
            </w:r>
          </w:p>
        </w:tc>
        <w:tc>
          <w:tcPr>
            <w:tcW w:type="dxa" w:w="1201"/>
            <w:vAlign w:val="center"/>
          </w:tcPr>
          <w:p>
            <w:pPr>
              <w:spacing w:before="0" w:after="0" w:line="252" w:lineRule="auto"/>
              <w:jc w:val="left"/>
            </w:pPr>
            <w:r>
              <w:rPr>
                <w:rFonts w:ascii="Times New Roman" w:hAnsi="Times New Roman"/>
                <w:b w:val="0"/>
                <w:i w:val="0"/>
                <w:color w:val="000000"/>
                <w:sz w:val="17"/>
              </w:rPr>
              <w:t>10,000 CZK</w:t>
            </w:r>
          </w:p>
        </w:tc>
        <w:tc>
          <w:tcPr>
            <w:tcW w:type="dxa" w:w="1201"/>
            <w:vAlign w:val="center"/>
          </w:tcPr>
          <w:p>
            <w:pPr>
              <w:spacing w:before="0" w:after="0" w:line="252" w:lineRule="auto"/>
              <w:jc w:val="center"/>
            </w:pPr>
            <w:r>
              <w:rPr>
                <w:rFonts w:ascii="Times New Roman" w:hAnsi="Times New Roman"/>
                <w:b w:val="0"/>
                <w:i w:val="0"/>
                <w:color w:val="000000"/>
                <w:sz w:val="17"/>
              </w:rPr>
              <w:t>86.99%</w:t>
            </w:r>
          </w:p>
        </w:tc>
        <w:tc>
          <w:tcPr>
            <w:tcW w:type="dxa" w:w="1581"/>
            <w:vAlign w:val="center"/>
          </w:tcPr>
          <w:p>
            <w:pPr>
              <w:spacing w:before="0" w:after="0" w:line="252" w:lineRule="auto"/>
              <w:jc w:val="left"/>
            </w:pPr>
            <w:r>
              <w:rPr>
                <w:rFonts w:ascii="Times New Roman" w:hAnsi="Times New Roman"/>
                <w:b w:val="0"/>
                <w:i w:val="0"/>
                <w:color w:val="000000"/>
                <w:sz w:val="17"/>
              </w:rPr>
              <w:t>Inviable (&gt; 30%)</w:t>
            </w:r>
          </w:p>
        </w:tc>
        <w:tc>
          <w:tcPr>
            <w:tcW w:type="dxa" w:w="2509"/>
            <w:vAlign w:val="center"/>
          </w:tcPr>
          <w:p>
            <w:pPr>
              <w:spacing w:before="0" w:after="0" w:line="252" w:lineRule="auto"/>
              <w:jc w:val="left"/>
            </w:pPr>
            <w:r>
              <w:rPr>
                <w:rFonts w:ascii="Times New Roman" w:hAnsi="Times New Roman"/>
                <w:b w:val="0"/>
                <w:i w:val="0"/>
                <w:color w:val="000000"/>
                <w:sz w:val="17"/>
              </w:rPr>
              <w:t>Rechazado: Alto riesgo de insolvencia / sobreendeudamiento</w:t>
            </w:r>
          </w:p>
        </w:tc>
      </w:tr>
      <w:tr>
        <w:trPr>
          <w:cantSplit/>
        </w:trPr>
        <w:tc>
          <w:tcPr>
            <w:tcW w:type="dxa" w:w="985"/>
            <w:vAlign w:val="center"/>
          </w:tcPr>
          <w:p>
            <w:pPr>
              <w:spacing w:before="0" w:after="0" w:line="252" w:lineRule="auto"/>
              <w:jc w:val="left"/>
            </w:pPr>
            <w:r>
              <w:rPr>
                <w:rFonts w:ascii="Times New Roman" w:hAnsi="Times New Roman"/>
                <w:b w:val="0"/>
                <w:i w:val="0"/>
                <w:color w:val="000000"/>
                <w:sz w:val="17"/>
              </w:rPr>
              <w:t>24 meses</w:t>
            </w:r>
          </w:p>
        </w:tc>
        <w:tc>
          <w:tcPr>
            <w:tcW w:type="dxa" w:w="1321"/>
            <w:vAlign w:val="center"/>
          </w:tcPr>
          <w:p>
            <w:pPr>
              <w:spacing w:before="0" w:after="0" w:line="252" w:lineRule="auto"/>
              <w:jc w:val="left"/>
            </w:pPr>
            <w:r>
              <w:rPr>
                <w:rFonts w:ascii="Times New Roman" w:hAnsi="Times New Roman"/>
                <w:b w:val="0"/>
                <w:i w:val="0"/>
                <w:color w:val="000000"/>
                <w:sz w:val="17"/>
              </w:rPr>
              <w:t>4,522.73 CZK</w:t>
            </w:r>
          </w:p>
        </w:tc>
        <w:tc>
          <w:tcPr>
            <w:tcW w:type="dxa" w:w="1201"/>
            <w:vAlign w:val="center"/>
          </w:tcPr>
          <w:p>
            <w:pPr>
              <w:spacing w:before="0" w:after="0" w:line="252" w:lineRule="auto"/>
              <w:jc w:val="left"/>
            </w:pPr>
            <w:r>
              <w:rPr>
                <w:rFonts w:ascii="Times New Roman" w:hAnsi="Times New Roman"/>
                <w:b w:val="0"/>
                <w:i w:val="0"/>
                <w:color w:val="000000"/>
                <w:sz w:val="17"/>
              </w:rPr>
              <w:t>10,000 CZK</w:t>
            </w:r>
          </w:p>
        </w:tc>
        <w:tc>
          <w:tcPr>
            <w:tcW w:type="dxa" w:w="1201"/>
            <w:vAlign w:val="center"/>
          </w:tcPr>
          <w:p>
            <w:pPr>
              <w:spacing w:before="0" w:after="0" w:line="252" w:lineRule="auto"/>
              <w:jc w:val="center"/>
            </w:pPr>
            <w:r>
              <w:rPr>
                <w:rFonts w:ascii="Times New Roman" w:hAnsi="Times New Roman"/>
                <w:b w:val="0"/>
                <w:i w:val="0"/>
                <w:color w:val="000000"/>
                <w:sz w:val="17"/>
              </w:rPr>
              <w:t>45.23%</w:t>
            </w:r>
          </w:p>
        </w:tc>
        <w:tc>
          <w:tcPr>
            <w:tcW w:type="dxa" w:w="1581"/>
            <w:vAlign w:val="center"/>
          </w:tcPr>
          <w:p>
            <w:pPr>
              <w:spacing w:before="0" w:after="0" w:line="252" w:lineRule="auto"/>
              <w:jc w:val="left"/>
            </w:pPr>
            <w:r>
              <w:rPr>
                <w:rFonts w:ascii="Times New Roman" w:hAnsi="Times New Roman"/>
                <w:b w:val="0"/>
                <w:i w:val="0"/>
                <w:color w:val="000000"/>
                <w:sz w:val="17"/>
              </w:rPr>
              <w:t>Inviable (&gt; 30%)</w:t>
            </w:r>
          </w:p>
        </w:tc>
        <w:tc>
          <w:tcPr>
            <w:tcW w:type="dxa" w:w="2509"/>
            <w:vAlign w:val="center"/>
          </w:tcPr>
          <w:p>
            <w:pPr>
              <w:spacing w:before="0" w:after="0" w:line="252" w:lineRule="auto"/>
              <w:jc w:val="left"/>
            </w:pPr>
            <w:r>
              <w:rPr>
                <w:rFonts w:ascii="Times New Roman" w:hAnsi="Times New Roman"/>
                <w:b w:val="0"/>
                <w:i w:val="0"/>
                <w:color w:val="000000"/>
                <w:sz w:val="17"/>
              </w:rPr>
              <w:t>Rechazado: Cuota asfixiante sobre el presupuesto familiar</w:t>
            </w:r>
          </w:p>
        </w:tc>
      </w:tr>
      <w:tr>
        <w:trPr>
          <w:cantSplit/>
        </w:trPr>
        <w:tc>
          <w:tcPr>
            <w:tcW w:type="dxa" w:w="985"/>
            <w:vAlign w:val="center"/>
          </w:tcPr>
          <w:p>
            <w:pPr>
              <w:spacing w:before="0" w:after="0" w:line="252" w:lineRule="auto"/>
              <w:jc w:val="left"/>
            </w:pPr>
            <w:r>
              <w:rPr>
                <w:rFonts w:ascii="Times New Roman" w:hAnsi="Times New Roman"/>
                <w:b w:val="0"/>
                <w:i w:val="0"/>
                <w:color w:val="000000"/>
                <w:sz w:val="17"/>
              </w:rPr>
              <w:t>36 meses</w:t>
            </w:r>
          </w:p>
        </w:tc>
        <w:tc>
          <w:tcPr>
            <w:tcW w:type="dxa" w:w="1321"/>
            <w:vAlign w:val="center"/>
          </w:tcPr>
          <w:p>
            <w:pPr>
              <w:spacing w:before="0" w:after="0" w:line="252" w:lineRule="auto"/>
              <w:jc w:val="left"/>
            </w:pPr>
            <w:r>
              <w:rPr>
                <w:rFonts w:ascii="Times New Roman" w:hAnsi="Times New Roman"/>
                <w:b w:val="0"/>
                <w:i w:val="0"/>
                <w:color w:val="000000"/>
                <w:sz w:val="17"/>
              </w:rPr>
              <w:t>3,133.64 CZK</w:t>
            </w:r>
          </w:p>
        </w:tc>
        <w:tc>
          <w:tcPr>
            <w:tcW w:type="dxa" w:w="1201"/>
            <w:vAlign w:val="center"/>
          </w:tcPr>
          <w:p>
            <w:pPr>
              <w:spacing w:before="0" w:after="0" w:line="252" w:lineRule="auto"/>
              <w:jc w:val="left"/>
            </w:pPr>
            <w:r>
              <w:rPr>
                <w:rFonts w:ascii="Times New Roman" w:hAnsi="Times New Roman"/>
                <w:b w:val="0"/>
                <w:i w:val="0"/>
                <w:color w:val="000000"/>
                <w:sz w:val="17"/>
              </w:rPr>
              <w:t>10,000 CZK</w:t>
            </w:r>
          </w:p>
        </w:tc>
        <w:tc>
          <w:tcPr>
            <w:tcW w:type="dxa" w:w="1201"/>
            <w:vAlign w:val="center"/>
          </w:tcPr>
          <w:p>
            <w:pPr>
              <w:spacing w:before="0" w:after="0" w:line="252" w:lineRule="auto"/>
              <w:jc w:val="center"/>
            </w:pPr>
            <w:r>
              <w:rPr>
                <w:rFonts w:ascii="Times New Roman" w:hAnsi="Times New Roman"/>
                <w:b w:val="0"/>
                <w:i w:val="0"/>
                <w:color w:val="000000"/>
                <w:sz w:val="17"/>
              </w:rPr>
              <w:t>31.34%</w:t>
            </w:r>
          </w:p>
        </w:tc>
        <w:tc>
          <w:tcPr>
            <w:tcW w:type="dxa" w:w="1581"/>
            <w:vAlign w:val="center"/>
          </w:tcPr>
          <w:p>
            <w:pPr>
              <w:spacing w:before="0" w:after="0" w:line="252" w:lineRule="auto"/>
              <w:jc w:val="left"/>
            </w:pPr>
            <w:r>
              <w:rPr>
                <w:rFonts w:ascii="Times New Roman" w:hAnsi="Times New Roman"/>
                <w:b w:val="0"/>
                <w:i w:val="0"/>
                <w:color w:val="000000"/>
                <w:sz w:val="17"/>
              </w:rPr>
              <w:t>Inviable (&gt; 30%)</w:t>
            </w:r>
          </w:p>
        </w:tc>
        <w:tc>
          <w:tcPr>
            <w:tcW w:type="dxa" w:w="2509"/>
            <w:vAlign w:val="center"/>
          </w:tcPr>
          <w:p>
            <w:pPr>
              <w:spacing w:before="0" w:after="0" w:line="252" w:lineRule="auto"/>
              <w:jc w:val="left"/>
            </w:pPr>
            <w:r>
              <w:rPr>
                <w:rFonts w:ascii="Times New Roman" w:hAnsi="Times New Roman"/>
                <w:b w:val="0"/>
                <w:i w:val="0"/>
                <w:color w:val="000000"/>
                <w:sz w:val="17"/>
              </w:rPr>
              <w:t>Rechazado marginal: Supera el umbral prudencial bancario</w:t>
            </w:r>
          </w:p>
        </w:tc>
      </w:tr>
      <w:tr>
        <w:trPr>
          <w:cantSplit/>
        </w:trPr>
        <w:tc>
          <w:tcPr>
            <w:tcW w:type="dxa" w:w="985"/>
            <w:vAlign w:val="center"/>
          </w:tcPr>
          <w:p>
            <w:pPr>
              <w:spacing w:before="0" w:after="0" w:line="252" w:lineRule="auto"/>
              <w:jc w:val="left"/>
            </w:pPr>
            <w:r>
              <w:rPr>
                <w:rFonts w:ascii="Times New Roman" w:hAnsi="Times New Roman"/>
                <w:b w:val="0"/>
                <w:i w:val="0"/>
                <w:color w:val="000000"/>
                <w:sz w:val="17"/>
              </w:rPr>
              <w:t>48 meses</w:t>
            </w:r>
          </w:p>
        </w:tc>
        <w:tc>
          <w:tcPr>
            <w:tcW w:type="dxa" w:w="1321"/>
            <w:vAlign w:val="center"/>
          </w:tcPr>
          <w:p>
            <w:pPr>
              <w:spacing w:before="0" w:after="0" w:line="252" w:lineRule="auto"/>
              <w:jc w:val="left"/>
            </w:pPr>
            <w:r>
              <w:rPr>
                <w:rFonts w:ascii="Times New Roman" w:hAnsi="Times New Roman"/>
                <w:b w:val="0"/>
                <w:i w:val="0"/>
                <w:color w:val="000000"/>
                <w:sz w:val="17"/>
              </w:rPr>
              <w:t>2,441.29 CZK</w:t>
            </w:r>
          </w:p>
        </w:tc>
        <w:tc>
          <w:tcPr>
            <w:tcW w:type="dxa" w:w="1201"/>
            <w:vAlign w:val="center"/>
          </w:tcPr>
          <w:p>
            <w:pPr>
              <w:spacing w:before="0" w:after="0" w:line="252" w:lineRule="auto"/>
              <w:jc w:val="left"/>
            </w:pPr>
            <w:r>
              <w:rPr>
                <w:rFonts w:ascii="Times New Roman" w:hAnsi="Times New Roman"/>
                <w:b w:val="0"/>
                <w:i w:val="0"/>
                <w:color w:val="000000"/>
                <w:sz w:val="17"/>
              </w:rPr>
              <w:t>10,000 CZK</w:t>
            </w:r>
          </w:p>
        </w:tc>
        <w:tc>
          <w:tcPr>
            <w:tcW w:type="dxa" w:w="1201"/>
            <w:vAlign w:val="center"/>
          </w:tcPr>
          <w:p>
            <w:pPr>
              <w:spacing w:before="0" w:after="0" w:line="252" w:lineRule="auto"/>
              <w:jc w:val="center"/>
            </w:pPr>
            <w:r>
              <w:rPr>
                <w:rFonts w:ascii="Times New Roman" w:hAnsi="Times New Roman"/>
                <w:b w:val="0"/>
                <w:i w:val="0"/>
                <w:color w:val="000000"/>
                <w:sz w:val="17"/>
              </w:rPr>
              <w:t>24.41%</w:t>
            </w:r>
          </w:p>
        </w:tc>
        <w:tc>
          <w:tcPr>
            <w:tcW w:type="dxa" w:w="1581"/>
            <w:vAlign w:val="center"/>
          </w:tcPr>
          <w:p>
            <w:pPr>
              <w:spacing w:before="0" w:after="0" w:line="252" w:lineRule="auto"/>
              <w:jc w:val="left"/>
            </w:pPr>
            <w:r>
              <w:rPr>
                <w:rFonts w:ascii="Times New Roman" w:hAnsi="Times New Roman"/>
                <w:b w:val="0"/>
                <w:i w:val="0"/>
                <w:color w:val="000000"/>
                <w:sz w:val="17"/>
              </w:rPr>
              <w:t>Viable (≤ 30%)</w:t>
            </w:r>
          </w:p>
        </w:tc>
        <w:tc>
          <w:tcPr>
            <w:tcW w:type="dxa" w:w="2509"/>
            <w:vAlign w:val="center"/>
          </w:tcPr>
          <w:p>
            <w:pPr>
              <w:spacing w:before="0" w:after="0" w:line="252" w:lineRule="auto"/>
              <w:jc w:val="left"/>
            </w:pPr>
            <w:r>
              <w:rPr>
                <w:rFonts w:ascii="Times New Roman" w:hAnsi="Times New Roman"/>
                <w:b w:val="0"/>
                <w:i w:val="0"/>
                <w:color w:val="000000"/>
                <w:sz w:val="17"/>
              </w:rPr>
              <w:t>Recomendado: Zona de Utilidad Financiera Sostenible</w:t>
            </w:r>
          </w:p>
        </w:tc>
      </w:tr>
      <w:tr>
        <w:trPr>
          <w:cantSplit/>
        </w:trPr>
        <w:tc>
          <w:tcPr>
            <w:tcW w:type="dxa" w:w="985"/>
            <w:vAlign w:val="center"/>
          </w:tcPr>
          <w:p>
            <w:pPr>
              <w:spacing w:before="0" w:after="0" w:line="252" w:lineRule="auto"/>
              <w:jc w:val="left"/>
            </w:pPr>
            <w:r>
              <w:rPr>
                <w:rFonts w:ascii="Times New Roman" w:hAnsi="Times New Roman"/>
                <w:b w:val="0"/>
                <w:i w:val="0"/>
                <w:color w:val="000000"/>
                <w:sz w:val="17"/>
              </w:rPr>
              <w:t>60 meses</w:t>
            </w:r>
          </w:p>
        </w:tc>
        <w:tc>
          <w:tcPr>
            <w:tcW w:type="dxa" w:w="1321"/>
            <w:vAlign w:val="center"/>
          </w:tcPr>
          <w:p>
            <w:pPr>
              <w:spacing w:before="0" w:after="0" w:line="252" w:lineRule="auto"/>
              <w:jc w:val="left"/>
            </w:pPr>
            <w:r>
              <w:rPr>
                <w:rFonts w:ascii="Times New Roman" w:hAnsi="Times New Roman"/>
                <w:b w:val="0"/>
                <w:i w:val="0"/>
                <w:color w:val="000000"/>
                <w:sz w:val="17"/>
              </w:rPr>
              <w:t>2,027.64 CZK</w:t>
            </w:r>
          </w:p>
        </w:tc>
        <w:tc>
          <w:tcPr>
            <w:tcW w:type="dxa" w:w="1201"/>
            <w:vAlign w:val="center"/>
          </w:tcPr>
          <w:p>
            <w:pPr>
              <w:spacing w:before="0" w:after="0" w:line="252" w:lineRule="auto"/>
              <w:jc w:val="left"/>
            </w:pPr>
            <w:r>
              <w:rPr>
                <w:rFonts w:ascii="Times New Roman" w:hAnsi="Times New Roman"/>
                <w:b w:val="0"/>
                <w:i w:val="0"/>
                <w:color w:val="000000"/>
                <w:sz w:val="17"/>
              </w:rPr>
              <w:t>10,000 CZK</w:t>
            </w:r>
          </w:p>
        </w:tc>
        <w:tc>
          <w:tcPr>
            <w:tcW w:type="dxa" w:w="1201"/>
            <w:vAlign w:val="center"/>
          </w:tcPr>
          <w:p>
            <w:pPr>
              <w:spacing w:before="0" w:after="0" w:line="252" w:lineRule="auto"/>
              <w:jc w:val="center"/>
            </w:pPr>
            <w:r>
              <w:rPr>
                <w:rFonts w:ascii="Times New Roman" w:hAnsi="Times New Roman"/>
                <w:b w:val="0"/>
                <w:i w:val="0"/>
                <w:color w:val="000000"/>
                <w:sz w:val="17"/>
              </w:rPr>
              <w:t>20.28%</w:t>
            </w:r>
          </w:p>
        </w:tc>
        <w:tc>
          <w:tcPr>
            <w:tcW w:type="dxa" w:w="1581"/>
            <w:vAlign w:val="center"/>
          </w:tcPr>
          <w:p>
            <w:pPr>
              <w:spacing w:before="0" w:after="0" w:line="252" w:lineRule="auto"/>
              <w:jc w:val="left"/>
            </w:pPr>
            <w:r>
              <w:rPr>
                <w:rFonts w:ascii="Times New Roman" w:hAnsi="Times New Roman"/>
                <w:b w:val="0"/>
                <w:i w:val="0"/>
                <w:color w:val="000000"/>
                <w:sz w:val="17"/>
              </w:rPr>
              <w:t>Viable (≤ 30%)</w:t>
            </w:r>
          </w:p>
        </w:tc>
        <w:tc>
          <w:tcPr>
            <w:tcW w:type="dxa" w:w="2509"/>
            <w:vAlign w:val="center"/>
          </w:tcPr>
          <w:p>
            <w:pPr>
              <w:spacing w:before="0" w:after="0" w:line="252" w:lineRule="auto"/>
              <w:jc w:val="left"/>
            </w:pPr>
            <w:r>
              <w:rPr>
                <w:rFonts w:ascii="Times New Roman" w:hAnsi="Times New Roman"/>
                <w:b w:val="0"/>
                <w:i w:val="0"/>
                <w:color w:val="000000"/>
                <w:sz w:val="17"/>
              </w:rPr>
              <w:t>Recomendado Preferente: Máxima holgura de pago y menor mora</w:t>
            </w:r>
          </w:p>
        </w:tc>
      </w:tr>
    </w:tbl>
    <w:p>
      <w:pPr>
        <w:spacing w:before="0" w:after="120"/>
      </w:pPr>
    </w:p>
    <w:p>
      <w:pPr>
        <w:keepNext/>
        <w:spacing w:before="200" w:after="60"/>
        <w:jc w:val="center"/>
      </w:pPr>
      <w:r>
        <w:drawing>
          <wp:inline xmlns:a="http://schemas.openxmlformats.org/drawingml/2006/main" xmlns:pic="http://schemas.openxmlformats.org/drawingml/2006/picture">
            <wp:extent cx="4663440" cy="2533737"/>
            <wp:docPr id="9" name="Picture 9"/>
            <wp:cNvGraphicFramePr>
              <a:graphicFrameLocks noChangeAspect="1"/>
            </wp:cNvGraphicFramePr>
            <a:graphic>
              <a:graphicData uri="http://schemas.openxmlformats.org/drawingml/2006/picture">
                <pic:pic>
                  <pic:nvPicPr>
                    <pic:cNvPr id="0" name="fig_3c_scoring_utilidad.png"/>
                    <pic:cNvPicPr/>
                  </pic:nvPicPr>
                  <pic:blipFill>
                    <a:blip r:embed="rId19"/>
                    <a:stretch>
                      <a:fillRect/>
                    </a:stretch>
                  </pic:blipFill>
                  <pic:spPr>
                    <a:xfrm>
                      <a:off x="0" y="0"/>
                      <a:ext cx="4663440" cy="2533737"/>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9:</w:t>
      </w:r>
      <w:r>
        <w:rPr>
          <w:rFonts w:ascii="Times New Roman" w:hAnsi="Times New Roman"/>
          <w:sz w:val="20"/>
        </w:rPr>
        <w:t xml:space="preserve"> Evaluación de Reglas de Scoring y Capacidad de Pago.</w:t>
      </w:r>
    </w:p>
    <w:p>
      <w:pPr>
        <w:spacing w:line="276" w:lineRule="auto" w:before="0" w:after="90"/>
        <w:jc w:val="both"/>
      </w:pPr>
      <w:r>
        <w:rPr>
          <w:rFonts w:ascii="Times New Roman" w:hAnsi="Times New Roman"/>
          <w:b w:val="0"/>
          <w:i w:val="0"/>
          <w:color w:val="000000"/>
          <w:sz w:val="22"/>
        </w:rPr>
        <w:t>Interpretación analítica y recomendación de negocio: Los plazos de 12 a 36 meses comprometen más del 30% del salario (llegando al 86.99% en 12 meses), lo que induciría a mora inminente. Por tanto, el recomendador descarta estos plazos y canaliza la oferta exclusivamente hacia 48 meses (24.41%) y 60 meses (20.28%), asegurando que el cliente mantenga capacidad de amortización y solvencia patrimonial sostenida.</w:t>
      </w:r>
    </w:p>
    <w:p>
      <w:pPr>
        <w:keepNext/>
        <w:spacing w:before="120" w:after="40"/>
        <w:jc w:val="left"/>
      </w:pPr>
      <w:r>
        <w:rPr>
          <w:rFonts w:ascii="Times New Roman" w:hAnsi="Times New Roman"/>
          <w:b/>
          <w:i w:val="0"/>
          <w:color w:val="000000"/>
          <w:sz w:val="22"/>
        </w:rPr>
        <w:t>Conclusión y Dictamen del Mejor Método sobre df_prestamos</w:t>
      </w:r>
    </w:p>
    <w:p>
      <w:pPr>
        <w:spacing w:line="276" w:lineRule="auto" w:before="0" w:after="90"/>
        <w:jc w:val="both"/>
      </w:pPr>
      <w:r>
        <w:rPr>
          <w:rFonts w:ascii="Times New Roman" w:hAnsi="Times New Roman"/>
          <w:b w:val="0"/>
          <w:i w:val="0"/>
          <w:color w:val="000000"/>
          <w:sz w:val="22"/>
        </w:rPr>
        <w:t>Dictamen Técnico: El Sistema Basado en Reglas de Scoring y Función de Utilidad Financiera (Modelo 3C) es el método rector indispensable para df_prestamos, salvaguardando la solvencia institucional. Como motor secundario, TF-IDF (Modelo 3A) resuelve óptimamente el arranque en frío de productos crediticios a partir de sus cláusulas contractuales.</w:t>
      </w:r>
    </w:p>
    <w:p>
      <w:pPr>
        <w:keepNext/>
        <w:spacing w:before="140" w:after="40"/>
        <w:jc w:val="left"/>
      </w:pPr>
      <w:r>
        <w:rPr>
          <w:rFonts w:ascii="Times New Roman" w:hAnsi="Times New Roman"/>
          <w:b/>
          <w:i w:val="0"/>
          <w:color w:val="000000"/>
          <w:sz w:val="22"/>
        </w:rPr>
        <w:t>2.7.7 EJE 4: Modelos sobre el DataFrame de Clientes (df_cliente_consolidado)</w:t>
      </w:r>
    </w:p>
    <w:p>
      <w:pPr>
        <w:spacing w:line="276" w:lineRule="auto" w:before="0" w:after="90"/>
        <w:jc w:val="both"/>
      </w:pPr>
      <w:r>
        <w:rPr>
          <w:rFonts w:ascii="Times New Roman" w:hAnsi="Times New Roman"/>
          <w:b w:val="0"/>
          <w:i w:val="0"/>
          <w:color w:val="000000"/>
          <w:sz w:val="22"/>
        </w:rPr>
        <w:t>df_cliente_consolidado consolida la visión integral 360° de los 5,369 clientes bancarios con 30 variables sociodemográficas y de comportamiento financiero acumulado. Es la base maestra para resolver el arranque en frío de usuarios (User Cold Start) y realizar agrupaciones cliente a cliente.</w:t>
      </w:r>
    </w:p>
    <w:p>
      <w:pPr>
        <w:keepNext/>
        <w:spacing w:before="120" w:after="40"/>
        <w:jc w:val="left"/>
      </w:pPr>
      <w:r>
        <w:rPr>
          <w:rFonts w:ascii="Times New Roman" w:hAnsi="Times New Roman"/>
          <w:b/>
          <w:i w:val="0"/>
          <w:color w:val="000000"/>
          <w:sz w:val="22"/>
        </w:rPr>
        <w:t>Modelo 4A: Filtrado Demográfico por Estereotipos (Afinidad por Brecha)</w:t>
      </w:r>
    </w:p>
    <w:p>
      <w:pPr>
        <w:spacing w:line="276" w:lineRule="auto" w:before="0" w:after="90"/>
        <w:jc w:val="both"/>
      </w:pPr>
      <w:r>
        <w:rPr>
          <w:rFonts w:ascii="Times New Roman" w:hAnsi="Times New Roman"/>
          <w:b w:val="0"/>
          <w:i w:val="0"/>
          <w:color w:val="000000"/>
          <w:sz w:val="22"/>
        </w:rPr>
        <w:t>Fundamento teórico y formulación: Basado en Rich (1979), segmenta la cartera en 9 arquetipos demográficos exhaustivos cruzando tres macro-regiones (Metropolitana Praga, Bohemia Centro-Oeste y Moravia Este) con tres intervalos etarios (Jóvenes &lt;30 años, Adultos 30-50 años y Adultos Mayores &gt;50 años). La recomendación se genera calculando la brecha insatisfecha entre el consumo medio del arquetipo y lo contratado por el cliente individual:</w:t>
      </w:r>
    </w:p>
    <w:p>
      <w:pPr>
        <w:keepNext/>
        <w:spacing w:before="80" w:after="80"/>
        <w:jc w:val="center"/>
      </w:pPr>
      <m:oMathPara>
        <m:oMath>
          <m:r>
            <m:rPr>
              <m:nor/>
            </m:rPr>
            <m:t>Afinidad</m:t>
          </m:r>
          <m:r>
            <m:t>(u,i)=</m:t>
          </m:r>
          <m:sSub>
            <m:e>
              <m:acc>
                <m:accPr>
                  <m:chr m:val="―"/>
                </m:accPr>
                <m:e>
                  <m:r>
                    <m:t>C</m:t>
                  </m:r>
                </m:e>
              </m:acc>
            </m:e>
            <m:sub>
              <m:r>
                <m:rPr>
                  <m:nor/>
                </m:rPr>
                <m:t>estereotipo</m:t>
              </m:r>
              <m:r>
                <m:t>(u),i</m:t>
              </m:r>
            </m:sub>
          </m:sSub>
          <m:r>
            <m:t>−</m:t>
          </m:r>
          <m:sSub>
            <m:e>
              <m:r>
                <m:t>C</m:t>
              </m:r>
            </m:e>
            <m:sub>
              <m:r>
                <m:t>u,i</m:t>
              </m:r>
            </m:sub>
          </m:sSub>
        </m:oMath>
      </m:oMathPara>
    </w:p>
    <w:p>
      <w:pPr>
        <w:spacing w:line="276" w:lineRule="auto" w:before="0" w:after="90"/>
        <w:jc w:val="both"/>
      </w:pPr>
      <w:r>
        <w:rPr>
          <w:rFonts w:ascii="Times New Roman" w:hAnsi="Times New Roman"/>
          <w:b w:val="0"/>
          <w:i w:val="0"/>
          <w:color w:val="000000"/>
          <w:sz w:val="22"/>
        </w:rPr>
        <w:t>La Tabla 14 resume las características operativas y tasas medias de adopción de los 9 estereotipos:</w:t>
      </w:r>
    </w:p>
    <w:p>
      <w:pPr>
        <w:keepNext/>
        <w:spacing w:before="200" w:after="80"/>
        <w:jc w:val="center"/>
      </w:pPr>
      <w:r>
        <w:rPr>
          <w:rFonts w:ascii="Times New Roman" w:hAnsi="Times New Roman"/>
          <w:b/>
          <w:i w:val="0"/>
          <w:color w:val="000000"/>
          <w:sz w:val="21"/>
        </w:rPr>
        <w:t>Tabla 14:</w:t>
      </w:r>
      <w:r>
        <w:rPr>
          <w:rFonts w:ascii="Times New Roman" w:hAnsi="Times New Roman"/>
          <w:sz w:val="21"/>
        </w:rPr>
        <w:t xml:space="preserve"> Caracterización y Consumo Medio de los 9 Estereotipos Sociodemográficos (df_cliente_consolidado).</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257"/>
        <w:gridCol w:w="1257"/>
        <w:gridCol w:w="1257"/>
        <w:gridCol w:w="1257"/>
        <w:gridCol w:w="1257"/>
        <w:gridCol w:w="1257"/>
        <w:gridCol w:w="1257"/>
      </w:tblGrid>
      <w:tr>
        <w:trPr>
          <w:tblHeader/>
          <w:cantSplit/>
        </w:trPr>
        <w:tc>
          <w:tcPr>
            <w:tcW w:type="dxa" w:w="1461"/>
            <w:vAlign w:val="center"/>
            <w:tcBorders>
              <w:bottom w:val="single" w:sz="6" w:space="0" w:color="000000"/>
            </w:tcBorders>
          </w:tcPr>
          <w:p>
            <w:pPr>
              <w:spacing w:before="0" w:after="0" w:line="252" w:lineRule="auto"/>
              <w:jc w:val="center"/>
            </w:pPr>
            <w:r>
              <w:rPr>
                <w:rFonts w:ascii="Times New Roman" w:hAnsi="Times New Roman"/>
                <w:b/>
                <w:i w:val="0"/>
                <w:color w:val="000000"/>
                <w:sz w:val="16"/>
              </w:rPr>
              <w:t>Macro-Región</w:t>
            </w:r>
          </w:p>
        </w:tc>
        <w:tc>
          <w:tcPr>
            <w:tcW w:type="dxa" w:w="1282"/>
            <w:vAlign w:val="center"/>
            <w:tcBorders>
              <w:bottom w:val="single" w:sz="6" w:space="0" w:color="000000"/>
            </w:tcBorders>
          </w:tcPr>
          <w:p>
            <w:pPr>
              <w:spacing w:before="0" w:after="0" w:line="252" w:lineRule="auto"/>
              <w:jc w:val="center"/>
            </w:pPr>
            <w:r>
              <w:rPr>
                <w:rFonts w:ascii="Times New Roman" w:hAnsi="Times New Roman"/>
                <w:b/>
                <w:i w:val="0"/>
                <w:color w:val="000000"/>
                <w:sz w:val="16"/>
              </w:rPr>
              <w:t>Rango Etario</w:t>
            </w:r>
          </w:p>
        </w:tc>
        <w:tc>
          <w:tcPr>
            <w:tcW w:type="dxa" w:w="985"/>
            <w:vAlign w:val="center"/>
            <w:tcBorders>
              <w:bottom w:val="single" w:sz="6" w:space="0" w:color="000000"/>
            </w:tcBorders>
          </w:tcPr>
          <w:p>
            <w:pPr>
              <w:spacing w:before="0" w:after="0" w:line="252" w:lineRule="auto"/>
              <w:jc w:val="center"/>
            </w:pPr>
            <w:r>
              <w:rPr>
                <w:rFonts w:ascii="Times New Roman" w:hAnsi="Times New Roman"/>
                <w:b/>
                <w:i w:val="0"/>
                <w:color w:val="000000"/>
                <w:sz w:val="16"/>
              </w:rPr>
              <w:t>Clientes (N)</w:t>
            </w:r>
          </w:p>
        </w:tc>
        <w:tc>
          <w:tcPr>
            <w:tcW w:type="dxa" w:w="817"/>
            <w:vAlign w:val="center"/>
            <w:tcBorders>
              <w:bottom w:val="single" w:sz="6" w:space="0" w:color="000000"/>
            </w:tcBorders>
          </w:tcPr>
          <w:p>
            <w:pPr>
              <w:spacing w:before="0" w:after="0" w:line="252" w:lineRule="auto"/>
              <w:jc w:val="center"/>
            </w:pPr>
            <w:r>
              <w:rPr>
                <w:rFonts w:ascii="Times New Roman" w:hAnsi="Times New Roman"/>
                <w:b/>
                <w:i w:val="0"/>
                <w:color w:val="000000"/>
                <w:sz w:val="16"/>
              </w:rPr>
              <w:t>% Cartera</w:t>
            </w:r>
          </w:p>
        </w:tc>
        <w:tc>
          <w:tcPr>
            <w:tcW w:type="dxa" w:w="1461"/>
            <w:vAlign w:val="center"/>
            <w:tcBorders>
              <w:bottom w:val="single" w:sz="6" w:space="0" w:color="000000"/>
            </w:tcBorders>
          </w:tcPr>
          <w:p>
            <w:pPr>
              <w:spacing w:before="0" w:after="0" w:line="252" w:lineRule="auto"/>
              <w:jc w:val="center"/>
            </w:pPr>
            <w:r>
              <w:rPr>
                <w:rFonts w:ascii="Times New Roman" w:hAnsi="Times New Roman"/>
                <w:b/>
                <w:i w:val="0"/>
                <w:color w:val="000000"/>
                <w:sz w:val="16"/>
              </w:rPr>
              <w:t>Adopción Préstamos (%)</w:t>
            </w:r>
          </w:p>
        </w:tc>
        <w:tc>
          <w:tcPr>
            <w:tcW w:type="dxa" w:w="1418"/>
            <w:vAlign w:val="center"/>
            <w:tcBorders>
              <w:bottom w:val="single" w:sz="6" w:space="0" w:color="000000"/>
            </w:tcBorders>
          </w:tcPr>
          <w:p>
            <w:pPr>
              <w:spacing w:before="0" w:after="0" w:line="252" w:lineRule="auto"/>
              <w:jc w:val="center"/>
            </w:pPr>
            <w:r>
              <w:rPr>
                <w:rFonts w:ascii="Times New Roman" w:hAnsi="Times New Roman"/>
                <w:b/>
                <w:i w:val="0"/>
                <w:color w:val="000000"/>
                <w:sz w:val="16"/>
              </w:rPr>
              <w:t>Órdenes Activas Prom.</w:t>
            </w:r>
          </w:p>
        </w:tc>
        <w:tc>
          <w:tcPr>
            <w:tcW w:type="dxa" w:w="1373"/>
            <w:vAlign w:val="center"/>
            <w:tcBorders>
              <w:bottom w:val="single" w:sz="6" w:space="0" w:color="000000"/>
            </w:tcBorders>
          </w:tcPr>
          <w:p>
            <w:pPr>
              <w:spacing w:before="0" w:after="0" w:line="252" w:lineRule="auto"/>
              <w:jc w:val="center"/>
            </w:pPr>
            <w:r>
              <w:rPr>
                <w:rFonts w:ascii="Times New Roman" w:hAnsi="Times New Roman"/>
                <w:b/>
                <w:i w:val="0"/>
                <w:color w:val="000000"/>
                <w:sz w:val="16"/>
              </w:rPr>
              <w:t>Saldo Promedio (CZK)</w:t>
            </w:r>
          </w:p>
        </w:tc>
      </w:tr>
      <w:tr>
        <w:trPr>
          <w:cantSplit/>
        </w:trPr>
        <w:tc>
          <w:tcPr>
            <w:tcW w:type="dxa" w:w="1461"/>
            <w:vAlign w:val="center"/>
          </w:tcPr>
          <w:p>
            <w:pPr>
              <w:spacing w:before="0" w:after="0" w:line="252" w:lineRule="auto"/>
              <w:jc w:val="left"/>
            </w:pPr>
            <w:r>
              <w:rPr>
                <w:rFonts w:ascii="Times New Roman" w:hAnsi="Times New Roman"/>
                <w:b w:val="0"/>
                <w:i w:val="0"/>
                <w:color w:val="000000"/>
                <w:sz w:val="16"/>
              </w:rPr>
              <w:t>Metropolitana (Praga)</w:t>
            </w:r>
          </w:p>
        </w:tc>
        <w:tc>
          <w:tcPr>
            <w:tcW w:type="dxa" w:w="1282"/>
            <w:vAlign w:val="center"/>
          </w:tcPr>
          <w:p>
            <w:pPr>
              <w:spacing w:before="0" w:after="0" w:line="252" w:lineRule="auto"/>
              <w:jc w:val="left"/>
            </w:pPr>
            <w:r>
              <w:rPr>
                <w:rFonts w:ascii="Times New Roman" w:hAnsi="Times New Roman"/>
                <w:b w:val="0"/>
                <w:i w:val="0"/>
                <w:color w:val="000000"/>
                <w:sz w:val="16"/>
              </w:rPr>
              <w:t>Joven (&lt;30)</w:t>
            </w:r>
          </w:p>
        </w:tc>
        <w:tc>
          <w:tcPr>
            <w:tcW w:type="dxa" w:w="985"/>
            <w:vAlign w:val="center"/>
          </w:tcPr>
          <w:p>
            <w:pPr>
              <w:spacing w:before="0" w:after="0" w:line="252" w:lineRule="auto"/>
              <w:jc w:val="center"/>
            </w:pPr>
            <w:r>
              <w:rPr>
                <w:rFonts w:ascii="Times New Roman" w:hAnsi="Times New Roman"/>
                <w:b w:val="0"/>
                <w:i w:val="0"/>
                <w:color w:val="000000"/>
                <w:sz w:val="16"/>
              </w:rPr>
              <w:t>154</w:t>
            </w:r>
          </w:p>
        </w:tc>
        <w:tc>
          <w:tcPr>
            <w:tcW w:type="dxa" w:w="817"/>
            <w:vAlign w:val="center"/>
          </w:tcPr>
          <w:p>
            <w:pPr>
              <w:spacing w:before="0" w:after="0" w:line="252" w:lineRule="auto"/>
              <w:jc w:val="center"/>
            </w:pPr>
            <w:r>
              <w:rPr>
                <w:rFonts w:ascii="Times New Roman" w:hAnsi="Times New Roman"/>
                <w:b w:val="0"/>
                <w:i w:val="0"/>
                <w:color w:val="000000"/>
                <w:sz w:val="16"/>
              </w:rPr>
              <w:t>2.9%</w:t>
            </w:r>
          </w:p>
        </w:tc>
        <w:tc>
          <w:tcPr>
            <w:tcW w:type="dxa" w:w="1461"/>
            <w:vAlign w:val="center"/>
          </w:tcPr>
          <w:p>
            <w:pPr>
              <w:spacing w:before="0" w:after="0" w:line="252" w:lineRule="auto"/>
              <w:jc w:val="center"/>
            </w:pPr>
            <w:r>
              <w:rPr>
                <w:rFonts w:ascii="Times New Roman" w:hAnsi="Times New Roman"/>
                <w:b w:val="0"/>
                <w:i w:val="0"/>
                <w:color w:val="000000"/>
                <w:sz w:val="16"/>
              </w:rPr>
              <w:t>18.8%</w:t>
            </w:r>
          </w:p>
        </w:tc>
        <w:tc>
          <w:tcPr>
            <w:tcW w:type="dxa" w:w="1418"/>
            <w:vAlign w:val="center"/>
          </w:tcPr>
          <w:p>
            <w:pPr>
              <w:spacing w:before="0" w:after="0" w:line="252" w:lineRule="auto"/>
              <w:jc w:val="center"/>
            </w:pPr>
            <w:r>
              <w:rPr>
                <w:rFonts w:ascii="Times New Roman" w:hAnsi="Times New Roman"/>
                <w:b w:val="0"/>
                <w:i w:val="0"/>
                <w:color w:val="000000"/>
                <w:sz w:val="16"/>
              </w:rPr>
              <w:t>1.34</w:t>
            </w:r>
          </w:p>
        </w:tc>
        <w:tc>
          <w:tcPr>
            <w:tcW w:type="dxa" w:w="1373"/>
            <w:vAlign w:val="center"/>
          </w:tcPr>
          <w:p>
            <w:pPr>
              <w:spacing w:before="0" w:after="0" w:line="252" w:lineRule="auto"/>
              <w:jc w:val="center"/>
            </w:pPr>
            <w:r>
              <w:rPr>
                <w:rFonts w:ascii="Times New Roman" w:hAnsi="Times New Roman"/>
                <w:b w:val="0"/>
                <w:i w:val="0"/>
                <w:color w:val="000000"/>
                <w:sz w:val="16"/>
              </w:rPr>
              <w:t>39,094.48</w:t>
            </w:r>
          </w:p>
        </w:tc>
      </w:tr>
      <w:tr>
        <w:trPr>
          <w:cantSplit/>
        </w:trPr>
        <w:tc>
          <w:tcPr>
            <w:tcW w:type="dxa" w:w="1461"/>
            <w:vAlign w:val="center"/>
          </w:tcPr>
          <w:p>
            <w:pPr>
              <w:spacing w:before="0" w:after="0" w:line="252" w:lineRule="auto"/>
              <w:jc w:val="left"/>
            </w:pPr>
            <w:r>
              <w:rPr>
                <w:rFonts w:ascii="Times New Roman" w:hAnsi="Times New Roman"/>
                <w:b w:val="0"/>
                <w:i w:val="0"/>
                <w:color w:val="000000"/>
                <w:sz w:val="16"/>
              </w:rPr>
              <w:t>Metropolitana (Praga)</w:t>
            </w:r>
          </w:p>
        </w:tc>
        <w:tc>
          <w:tcPr>
            <w:tcW w:type="dxa" w:w="1282"/>
            <w:vAlign w:val="center"/>
          </w:tcPr>
          <w:p>
            <w:pPr>
              <w:spacing w:before="0" w:after="0" w:line="252" w:lineRule="auto"/>
              <w:jc w:val="left"/>
            </w:pPr>
            <w:r>
              <w:rPr>
                <w:rFonts w:ascii="Times New Roman" w:hAnsi="Times New Roman"/>
                <w:b w:val="0"/>
                <w:i w:val="0"/>
                <w:color w:val="000000"/>
                <w:sz w:val="16"/>
              </w:rPr>
              <w:t>Adulto (30-50)</w:t>
            </w:r>
          </w:p>
        </w:tc>
        <w:tc>
          <w:tcPr>
            <w:tcW w:type="dxa" w:w="985"/>
            <w:vAlign w:val="center"/>
          </w:tcPr>
          <w:p>
            <w:pPr>
              <w:spacing w:before="0" w:after="0" w:line="252" w:lineRule="auto"/>
              <w:jc w:val="center"/>
            </w:pPr>
            <w:r>
              <w:rPr>
                <w:rFonts w:ascii="Times New Roman" w:hAnsi="Times New Roman"/>
                <w:b w:val="0"/>
                <w:i w:val="0"/>
                <w:color w:val="000000"/>
                <w:sz w:val="16"/>
              </w:rPr>
              <w:t>245</w:t>
            </w:r>
          </w:p>
        </w:tc>
        <w:tc>
          <w:tcPr>
            <w:tcW w:type="dxa" w:w="817"/>
            <w:vAlign w:val="center"/>
          </w:tcPr>
          <w:p>
            <w:pPr>
              <w:spacing w:before="0" w:after="0" w:line="252" w:lineRule="auto"/>
              <w:jc w:val="center"/>
            </w:pPr>
            <w:r>
              <w:rPr>
                <w:rFonts w:ascii="Times New Roman" w:hAnsi="Times New Roman"/>
                <w:b w:val="0"/>
                <w:i w:val="0"/>
                <w:color w:val="000000"/>
                <w:sz w:val="16"/>
              </w:rPr>
              <w:t>4.6%</w:t>
            </w:r>
          </w:p>
        </w:tc>
        <w:tc>
          <w:tcPr>
            <w:tcW w:type="dxa" w:w="1461"/>
            <w:vAlign w:val="center"/>
          </w:tcPr>
          <w:p>
            <w:pPr>
              <w:spacing w:before="0" w:after="0" w:line="252" w:lineRule="auto"/>
              <w:jc w:val="center"/>
            </w:pPr>
            <w:r>
              <w:rPr>
                <w:rFonts w:ascii="Times New Roman" w:hAnsi="Times New Roman"/>
                <w:b w:val="0"/>
                <w:i w:val="0"/>
                <w:color w:val="000000"/>
                <w:sz w:val="16"/>
              </w:rPr>
              <w:t>18.0%</w:t>
            </w:r>
          </w:p>
        </w:tc>
        <w:tc>
          <w:tcPr>
            <w:tcW w:type="dxa" w:w="1418"/>
            <w:vAlign w:val="center"/>
          </w:tcPr>
          <w:p>
            <w:pPr>
              <w:spacing w:before="0" w:after="0" w:line="252" w:lineRule="auto"/>
              <w:jc w:val="center"/>
            </w:pPr>
            <w:r>
              <w:rPr>
                <w:rFonts w:ascii="Times New Roman" w:hAnsi="Times New Roman"/>
                <w:b w:val="0"/>
                <w:i w:val="0"/>
                <w:color w:val="000000"/>
                <w:sz w:val="16"/>
              </w:rPr>
              <w:t>1.37</w:t>
            </w:r>
          </w:p>
        </w:tc>
        <w:tc>
          <w:tcPr>
            <w:tcW w:type="dxa" w:w="1373"/>
            <w:vAlign w:val="center"/>
          </w:tcPr>
          <w:p>
            <w:pPr>
              <w:spacing w:before="0" w:after="0" w:line="252" w:lineRule="auto"/>
              <w:jc w:val="center"/>
            </w:pPr>
            <w:r>
              <w:rPr>
                <w:rFonts w:ascii="Times New Roman" w:hAnsi="Times New Roman"/>
                <w:b w:val="0"/>
                <w:i w:val="0"/>
                <w:color w:val="000000"/>
                <w:sz w:val="16"/>
              </w:rPr>
              <w:t>39,804.66</w:t>
            </w:r>
          </w:p>
        </w:tc>
      </w:tr>
      <w:tr>
        <w:trPr>
          <w:cantSplit/>
        </w:trPr>
        <w:tc>
          <w:tcPr>
            <w:tcW w:type="dxa" w:w="1461"/>
            <w:vAlign w:val="center"/>
          </w:tcPr>
          <w:p>
            <w:pPr>
              <w:spacing w:before="0" w:after="0" w:line="252" w:lineRule="auto"/>
              <w:jc w:val="left"/>
            </w:pPr>
            <w:r>
              <w:rPr>
                <w:rFonts w:ascii="Times New Roman" w:hAnsi="Times New Roman"/>
                <w:b w:val="0"/>
                <w:i w:val="0"/>
                <w:color w:val="000000"/>
                <w:sz w:val="16"/>
              </w:rPr>
              <w:t>Metropolitana (Praga)</w:t>
            </w:r>
          </w:p>
        </w:tc>
        <w:tc>
          <w:tcPr>
            <w:tcW w:type="dxa" w:w="1282"/>
            <w:vAlign w:val="center"/>
          </w:tcPr>
          <w:p>
            <w:pPr>
              <w:spacing w:before="0" w:after="0" w:line="252" w:lineRule="auto"/>
              <w:jc w:val="left"/>
            </w:pPr>
            <w:r>
              <w:rPr>
                <w:rFonts w:ascii="Times New Roman" w:hAnsi="Times New Roman"/>
                <w:b w:val="0"/>
                <w:i w:val="0"/>
                <w:color w:val="000000"/>
                <w:sz w:val="16"/>
              </w:rPr>
              <w:t>Adulto Mayor (&gt;50)</w:t>
            </w:r>
          </w:p>
        </w:tc>
        <w:tc>
          <w:tcPr>
            <w:tcW w:type="dxa" w:w="985"/>
            <w:vAlign w:val="center"/>
          </w:tcPr>
          <w:p>
            <w:pPr>
              <w:spacing w:before="0" w:after="0" w:line="252" w:lineRule="auto"/>
              <w:jc w:val="center"/>
            </w:pPr>
            <w:r>
              <w:rPr>
                <w:rFonts w:ascii="Times New Roman" w:hAnsi="Times New Roman"/>
                <w:b w:val="0"/>
                <w:i w:val="0"/>
                <w:color w:val="000000"/>
                <w:sz w:val="16"/>
              </w:rPr>
              <w:t>264</w:t>
            </w:r>
          </w:p>
        </w:tc>
        <w:tc>
          <w:tcPr>
            <w:tcW w:type="dxa" w:w="817"/>
            <w:vAlign w:val="center"/>
          </w:tcPr>
          <w:p>
            <w:pPr>
              <w:spacing w:before="0" w:after="0" w:line="252" w:lineRule="auto"/>
              <w:jc w:val="center"/>
            </w:pPr>
            <w:r>
              <w:rPr>
                <w:rFonts w:ascii="Times New Roman" w:hAnsi="Times New Roman"/>
                <w:b w:val="0"/>
                <w:i w:val="0"/>
                <w:color w:val="000000"/>
                <w:sz w:val="16"/>
              </w:rPr>
              <w:t>4.9%</w:t>
            </w:r>
          </w:p>
        </w:tc>
        <w:tc>
          <w:tcPr>
            <w:tcW w:type="dxa" w:w="1461"/>
            <w:vAlign w:val="center"/>
          </w:tcPr>
          <w:p>
            <w:pPr>
              <w:spacing w:before="0" w:after="0" w:line="252" w:lineRule="auto"/>
              <w:jc w:val="center"/>
            </w:pPr>
            <w:r>
              <w:rPr>
                <w:rFonts w:ascii="Times New Roman" w:hAnsi="Times New Roman"/>
                <w:b w:val="0"/>
                <w:i w:val="0"/>
                <w:color w:val="000000"/>
                <w:sz w:val="16"/>
              </w:rPr>
              <w:t>10.6%</w:t>
            </w:r>
          </w:p>
        </w:tc>
        <w:tc>
          <w:tcPr>
            <w:tcW w:type="dxa" w:w="1418"/>
            <w:vAlign w:val="center"/>
          </w:tcPr>
          <w:p>
            <w:pPr>
              <w:spacing w:before="0" w:after="0" w:line="252" w:lineRule="auto"/>
              <w:jc w:val="center"/>
            </w:pPr>
            <w:r>
              <w:rPr>
                <w:rFonts w:ascii="Times New Roman" w:hAnsi="Times New Roman"/>
                <w:b w:val="0"/>
                <w:i w:val="0"/>
                <w:color w:val="000000"/>
                <w:sz w:val="16"/>
              </w:rPr>
              <w:t>1.15</w:t>
            </w:r>
          </w:p>
        </w:tc>
        <w:tc>
          <w:tcPr>
            <w:tcW w:type="dxa" w:w="1373"/>
            <w:vAlign w:val="center"/>
          </w:tcPr>
          <w:p>
            <w:pPr>
              <w:spacing w:before="0" w:after="0" w:line="252" w:lineRule="auto"/>
              <w:jc w:val="center"/>
            </w:pPr>
            <w:r>
              <w:rPr>
                <w:rFonts w:ascii="Times New Roman" w:hAnsi="Times New Roman"/>
                <w:b w:val="0"/>
                <w:i w:val="0"/>
                <w:color w:val="000000"/>
                <w:sz w:val="16"/>
              </w:rPr>
              <w:t>33,594.09</w:t>
            </w:r>
          </w:p>
        </w:tc>
      </w:tr>
      <w:tr>
        <w:trPr>
          <w:cantSplit/>
        </w:trPr>
        <w:tc>
          <w:tcPr>
            <w:tcW w:type="dxa" w:w="1461"/>
            <w:vAlign w:val="center"/>
          </w:tcPr>
          <w:p>
            <w:pPr>
              <w:spacing w:before="0" w:after="0" w:line="252" w:lineRule="auto"/>
              <w:jc w:val="left"/>
            </w:pPr>
            <w:r>
              <w:rPr>
                <w:rFonts w:ascii="Times New Roman" w:hAnsi="Times New Roman"/>
                <w:b w:val="0"/>
                <w:i w:val="0"/>
                <w:color w:val="000000"/>
                <w:sz w:val="16"/>
              </w:rPr>
              <w:t>Bohemia (Centro-Oeste)</w:t>
            </w:r>
          </w:p>
        </w:tc>
        <w:tc>
          <w:tcPr>
            <w:tcW w:type="dxa" w:w="1282"/>
            <w:vAlign w:val="center"/>
          </w:tcPr>
          <w:p>
            <w:pPr>
              <w:spacing w:before="0" w:after="0" w:line="252" w:lineRule="auto"/>
              <w:jc w:val="left"/>
            </w:pPr>
            <w:r>
              <w:rPr>
                <w:rFonts w:ascii="Times New Roman" w:hAnsi="Times New Roman"/>
                <w:b w:val="0"/>
                <w:i w:val="0"/>
                <w:color w:val="000000"/>
                <w:sz w:val="16"/>
              </w:rPr>
              <w:t>Joven (&lt;30)</w:t>
            </w:r>
          </w:p>
        </w:tc>
        <w:tc>
          <w:tcPr>
            <w:tcW w:type="dxa" w:w="985"/>
            <w:vAlign w:val="center"/>
          </w:tcPr>
          <w:p>
            <w:pPr>
              <w:spacing w:before="0" w:after="0" w:line="252" w:lineRule="auto"/>
              <w:jc w:val="center"/>
            </w:pPr>
            <w:r>
              <w:rPr>
                <w:rFonts w:ascii="Times New Roman" w:hAnsi="Times New Roman"/>
                <w:b w:val="0"/>
                <w:i w:val="0"/>
                <w:color w:val="000000"/>
                <w:sz w:val="16"/>
              </w:rPr>
              <w:t>695</w:t>
            </w:r>
          </w:p>
        </w:tc>
        <w:tc>
          <w:tcPr>
            <w:tcW w:type="dxa" w:w="817"/>
            <w:vAlign w:val="center"/>
          </w:tcPr>
          <w:p>
            <w:pPr>
              <w:spacing w:before="0" w:after="0" w:line="252" w:lineRule="auto"/>
              <w:jc w:val="center"/>
            </w:pPr>
            <w:r>
              <w:rPr>
                <w:rFonts w:ascii="Times New Roman" w:hAnsi="Times New Roman"/>
                <w:b w:val="0"/>
                <w:i w:val="0"/>
                <w:color w:val="000000"/>
                <w:sz w:val="16"/>
              </w:rPr>
              <w:t>12.9%</w:t>
            </w:r>
          </w:p>
        </w:tc>
        <w:tc>
          <w:tcPr>
            <w:tcW w:type="dxa" w:w="1461"/>
            <w:vAlign w:val="center"/>
          </w:tcPr>
          <w:p>
            <w:pPr>
              <w:spacing w:before="0" w:after="0" w:line="252" w:lineRule="auto"/>
              <w:jc w:val="center"/>
            </w:pPr>
            <w:r>
              <w:rPr>
                <w:rFonts w:ascii="Times New Roman" w:hAnsi="Times New Roman"/>
                <w:b w:val="0"/>
                <w:i w:val="0"/>
                <w:color w:val="000000"/>
                <w:sz w:val="16"/>
              </w:rPr>
              <w:t>13.5%</w:t>
            </w:r>
          </w:p>
        </w:tc>
        <w:tc>
          <w:tcPr>
            <w:tcW w:type="dxa" w:w="1418"/>
            <w:vAlign w:val="center"/>
          </w:tcPr>
          <w:p>
            <w:pPr>
              <w:spacing w:before="0" w:after="0" w:line="252" w:lineRule="auto"/>
              <w:jc w:val="center"/>
            </w:pPr>
            <w:r>
              <w:rPr>
                <w:rFonts w:ascii="Times New Roman" w:hAnsi="Times New Roman"/>
                <w:b w:val="0"/>
                <w:i w:val="0"/>
                <w:color w:val="000000"/>
                <w:sz w:val="16"/>
              </w:rPr>
              <w:t>1.25</w:t>
            </w:r>
          </w:p>
        </w:tc>
        <w:tc>
          <w:tcPr>
            <w:tcW w:type="dxa" w:w="1373"/>
            <w:vAlign w:val="center"/>
          </w:tcPr>
          <w:p>
            <w:pPr>
              <w:spacing w:before="0" w:after="0" w:line="252" w:lineRule="auto"/>
              <w:jc w:val="center"/>
            </w:pPr>
            <w:r>
              <w:rPr>
                <w:rFonts w:ascii="Times New Roman" w:hAnsi="Times New Roman"/>
                <w:b w:val="0"/>
                <w:i w:val="0"/>
                <w:color w:val="000000"/>
                <w:sz w:val="16"/>
              </w:rPr>
              <w:t>38,522.71</w:t>
            </w:r>
          </w:p>
        </w:tc>
      </w:tr>
      <w:tr>
        <w:trPr>
          <w:cantSplit/>
        </w:trPr>
        <w:tc>
          <w:tcPr>
            <w:tcW w:type="dxa" w:w="1461"/>
            <w:vAlign w:val="center"/>
          </w:tcPr>
          <w:p>
            <w:pPr>
              <w:spacing w:before="0" w:after="0" w:line="252" w:lineRule="auto"/>
              <w:jc w:val="left"/>
            </w:pPr>
            <w:r>
              <w:rPr>
                <w:rFonts w:ascii="Times New Roman" w:hAnsi="Times New Roman"/>
                <w:b w:val="0"/>
                <w:i w:val="0"/>
                <w:color w:val="000000"/>
                <w:sz w:val="16"/>
              </w:rPr>
              <w:t>Bohemia (Centro-Oeste)</w:t>
            </w:r>
          </w:p>
        </w:tc>
        <w:tc>
          <w:tcPr>
            <w:tcW w:type="dxa" w:w="1282"/>
            <w:vAlign w:val="center"/>
          </w:tcPr>
          <w:p>
            <w:pPr>
              <w:spacing w:before="0" w:after="0" w:line="252" w:lineRule="auto"/>
              <w:jc w:val="left"/>
            </w:pPr>
            <w:r>
              <w:rPr>
                <w:rFonts w:ascii="Times New Roman" w:hAnsi="Times New Roman"/>
                <w:b w:val="0"/>
                <w:i w:val="0"/>
                <w:color w:val="000000"/>
                <w:sz w:val="16"/>
              </w:rPr>
              <w:t>Adulto (30-50)</w:t>
            </w:r>
          </w:p>
        </w:tc>
        <w:tc>
          <w:tcPr>
            <w:tcW w:type="dxa" w:w="985"/>
            <w:vAlign w:val="center"/>
          </w:tcPr>
          <w:p>
            <w:pPr>
              <w:spacing w:before="0" w:after="0" w:line="252" w:lineRule="auto"/>
              <w:jc w:val="center"/>
            </w:pPr>
            <w:r>
              <w:rPr>
                <w:rFonts w:ascii="Times New Roman" w:hAnsi="Times New Roman"/>
                <w:b w:val="0"/>
                <w:i w:val="0"/>
                <w:color w:val="000000"/>
                <w:sz w:val="16"/>
              </w:rPr>
              <w:t>1,075</w:t>
            </w:r>
          </w:p>
        </w:tc>
        <w:tc>
          <w:tcPr>
            <w:tcW w:type="dxa" w:w="817"/>
            <w:vAlign w:val="center"/>
          </w:tcPr>
          <w:p>
            <w:pPr>
              <w:spacing w:before="0" w:after="0" w:line="252" w:lineRule="auto"/>
              <w:jc w:val="center"/>
            </w:pPr>
            <w:r>
              <w:rPr>
                <w:rFonts w:ascii="Times New Roman" w:hAnsi="Times New Roman"/>
                <w:b w:val="0"/>
                <w:i w:val="0"/>
                <w:color w:val="000000"/>
                <w:sz w:val="16"/>
              </w:rPr>
              <w:t>20.0%</w:t>
            </w:r>
          </w:p>
        </w:tc>
        <w:tc>
          <w:tcPr>
            <w:tcW w:type="dxa" w:w="1461"/>
            <w:vAlign w:val="center"/>
          </w:tcPr>
          <w:p>
            <w:pPr>
              <w:spacing w:before="0" w:after="0" w:line="252" w:lineRule="auto"/>
              <w:jc w:val="center"/>
            </w:pPr>
            <w:r>
              <w:rPr>
                <w:rFonts w:ascii="Times New Roman" w:hAnsi="Times New Roman"/>
                <w:b w:val="0"/>
                <w:i w:val="0"/>
                <w:color w:val="000000"/>
                <w:sz w:val="16"/>
              </w:rPr>
              <w:t>13.6%</w:t>
            </w:r>
          </w:p>
        </w:tc>
        <w:tc>
          <w:tcPr>
            <w:tcW w:type="dxa" w:w="1418"/>
            <w:vAlign w:val="center"/>
          </w:tcPr>
          <w:p>
            <w:pPr>
              <w:spacing w:before="0" w:after="0" w:line="252" w:lineRule="auto"/>
              <w:jc w:val="center"/>
            </w:pPr>
            <w:r>
              <w:rPr>
                <w:rFonts w:ascii="Times New Roman" w:hAnsi="Times New Roman"/>
                <w:b w:val="0"/>
                <w:i w:val="0"/>
                <w:color w:val="000000"/>
                <w:sz w:val="16"/>
              </w:rPr>
              <w:t>1.23</w:t>
            </w:r>
          </w:p>
        </w:tc>
        <w:tc>
          <w:tcPr>
            <w:tcW w:type="dxa" w:w="1373"/>
            <w:vAlign w:val="center"/>
          </w:tcPr>
          <w:p>
            <w:pPr>
              <w:spacing w:before="0" w:after="0" w:line="252" w:lineRule="auto"/>
              <w:jc w:val="center"/>
            </w:pPr>
            <w:r>
              <w:rPr>
                <w:rFonts w:ascii="Times New Roman" w:hAnsi="Times New Roman"/>
                <w:b w:val="0"/>
                <w:i w:val="0"/>
                <w:color w:val="000000"/>
                <w:sz w:val="16"/>
              </w:rPr>
              <w:t>39,658.97</w:t>
            </w:r>
          </w:p>
        </w:tc>
      </w:tr>
      <w:tr>
        <w:trPr>
          <w:cantSplit/>
        </w:trPr>
        <w:tc>
          <w:tcPr>
            <w:tcW w:type="dxa" w:w="1461"/>
            <w:vAlign w:val="center"/>
          </w:tcPr>
          <w:p>
            <w:pPr>
              <w:spacing w:before="0" w:after="0" w:line="252" w:lineRule="auto"/>
              <w:jc w:val="left"/>
            </w:pPr>
            <w:r>
              <w:rPr>
                <w:rFonts w:ascii="Times New Roman" w:hAnsi="Times New Roman"/>
                <w:b w:val="0"/>
                <w:i w:val="0"/>
                <w:color w:val="000000"/>
                <w:sz w:val="16"/>
              </w:rPr>
              <w:t>Bohemia (Centro-Oeste)</w:t>
            </w:r>
          </w:p>
        </w:tc>
        <w:tc>
          <w:tcPr>
            <w:tcW w:type="dxa" w:w="1282"/>
            <w:vAlign w:val="center"/>
          </w:tcPr>
          <w:p>
            <w:pPr>
              <w:spacing w:before="0" w:after="0" w:line="252" w:lineRule="auto"/>
              <w:jc w:val="left"/>
            </w:pPr>
            <w:r>
              <w:rPr>
                <w:rFonts w:ascii="Times New Roman" w:hAnsi="Times New Roman"/>
                <w:b w:val="0"/>
                <w:i w:val="0"/>
                <w:color w:val="000000"/>
                <w:sz w:val="16"/>
              </w:rPr>
              <w:t>Adulto Mayor (&gt;50)</w:t>
            </w:r>
          </w:p>
        </w:tc>
        <w:tc>
          <w:tcPr>
            <w:tcW w:type="dxa" w:w="985"/>
            <w:vAlign w:val="center"/>
          </w:tcPr>
          <w:p>
            <w:pPr>
              <w:spacing w:before="0" w:after="0" w:line="252" w:lineRule="auto"/>
              <w:jc w:val="center"/>
            </w:pPr>
            <w:r>
              <w:rPr>
                <w:rFonts w:ascii="Times New Roman" w:hAnsi="Times New Roman"/>
                <w:b w:val="0"/>
                <w:i w:val="0"/>
                <w:color w:val="000000"/>
                <w:sz w:val="16"/>
              </w:rPr>
              <w:t>1,079</w:t>
            </w:r>
          </w:p>
        </w:tc>
        <w:tc>
          <w:tcPr>
            <w:tcW w:type="dxa" w:w="817"/>
            <w:vAlign w:val="center"/>
          </w:tcPr>
          <w:p>
            <w:pPr>
              <w:spacing w:before="0" w:after="0" w:line="252" w:lineRule="auto"/>
              <w:jc w:val="center"/>
            </w:pPr>
            <w:r>
              <w:rPr>
                <w:rFonts w:ascii="Times New Roman" w:hAnsi="Times New Roman"/>
                <w:b w:val="0"/>
                <w:i w:val="0"/>
                <w:color w:val="000000"/>
                <w:sz w:val="16"/>
              </w:rPr>
              <w:t>20.1%</w:t>
            </w:r>
          </w:p>
        </w:tc>
        <w:tc>
          <w:tcPr>
            <w:tcW w:type="dxa" w:w="1461"/>
            <w:vAlign w:val="center"/>
          </w:tcPr>
          <w:p>
            <w:pPr>
              <w:spacing w:before="0" w:after="0" w:line="252" w:lineRule="auto"/>
              <w:jc w:val="center"/>
            </w:pPr>
            <w:r>
              <w:rPr>
                <w:rFonts w:ascii="Times New Roman" w:hAnsi="Times New Roman"/>
                <w:b w:val="0"/>
                <w:i w:val="0"/>
                <w:color w:val="000000"/>
                <w:sz w:val="16"/>
              </w:rPr>
              <w:t>11.4%</w:t>
            </w:r>
          </w:p>
        </w:tc>
        <w:tc>
          <w:tcPr>
            <w:tcW w:type="dxa" w:w="1418"/>
            <w:vAlign w:val="center"/>
          </w:tcPr>
          <w:p>
            <w:pPr>
              <w:spacing w:before="0" w:after="0" w:line="252" w:lineRule="auto"/>
              <w:jc w:val="center"/>
            </w:pPr>
            <w:r>
              <w:rPr>
                <w:rFonts w:ascii="Times New Roman" w:hAnsi="Times New Roman"/>
                <w:b w:val="0"/>
                <w:i w:val="0"/>
                <w:color w:val="000000"/>
                <w:sz w:val="16"/>
              </w:rPr>
              <w:t>1.16</w:t>
            </w:r>
          </w:p>
        </w:tc>
        <w:tc>
          <w:tcPr>
            <w:tcW w:type="dxa" w:w="1373"/>
            <w:vAlign w:val="center"/>
          </w:tcPr>
          <w:p>
            <w:pPr>
              <w:spacing w:before="0" w:after="0" w:line="252" w:lineRule="auto"/>
              <w:jc w:val="center"/>
            </w:pPr>
            <w:r>
              <w:rPr>
                <w:rFonts w:ascii="Times New Roman" w:hAnsi="Times New Roman"/>
                <w:b w:val="0"/>
                <w:i w:val="0"/>
                <w:color w:val="000000"/>
                <w:sz w:val="16"/>
              </w:rPr>
              <w:t>32,233.85</w:t>
            </w:r>
          </w:p>
        </w:tc>
      </w:tr>
      <w:tr>
        <w:trPr>
          <w:cantSplit/>
        </w:trPr>
        <w:tc>
          <w:tcPr>
            <w:tcW w:type="dxa" w:w="1461"/>
            <w:vAlign w:val="center"/>
          </w:tcPr>
          <w:p>
            <w:pPr>
              <w:spacing w:before="0" w:after="0" w:line="252" w:lineRule="auto"/>
              <w:jc w:val="left"/>
            </w:pPr>
            <w:r>
              <w:rPr>
                <w:rFonts w:ascii="Times New Roman" w:hAnsi="Times New Roman"/>
                <w:b w:val="0"/>
                <w:i w:val="0"/>
                <w:color w:val="000000"/>
                <w:sz w:val="16"/>
              </w:rPr>
              <w:t>Moravia (Este)</w:t>
            </w:r>
          </w:p>
        </w:tc>
        <w:tc>
          <w:tcPr>
            <w:tcW w:type="dxa" w:w="1282"/>
            <w:vAlign w:val="center"/>
          </w:tcPr>
          <w:p>
            <w:pPr>
              <w:spacing w:before="0" w:after="0" w:line="252" w:lineRule="auto"/>
              <w:jc w:val="left"/>
            </w:pPr>
            <w:r>
              <w:rPr>
                <w:rFonts w:ascii="Times New Roman" w:hAnsi="Times New Roman"/>
                <w:b w:val="0"/>
                <w:i w:val="0"/>
                <w:color w:val="000000"/>
                <w:sz w:val="16"/>
              </w:rPr>
              <w:t>Joven (&lt;30)</w:t>
            </w:r>
          </w:p>
        </w:tc>
        <w:tc>
          <w:tcPr>
            <w:tcW w:type="dxa" w:w="985"/>
            <w:vAlign w:val="center"/>
          </w:tcPr>
          <w:p>
            <w:pPr>
              <w:spacing w:before="0" w:after="0" w:line="252" w:lineRule="auto"/>
              <w:jc w:val="center"/>
            </w:pPr>
            <w:r>
              <w:rPr>
                <w:rFonts w:ascii="Times New Roman" w:hAnsi="Times New Roman"/>
                <w:b w:val="0"/>
                <w:i w:val="0"/>
                <w:color w:val="000000"/>
                <w:sz w:val="16"/>
              </w:rPr>
              <w:t>433</w:t>
            </w:r>
          </w:p>
        </w:tc>
        <w:tc>
          <w:tcPr>
            <w:tcW w:type="dxa" w:w="817"/>
            <w:vAlign w:val="center"/>
          </w:tcPr>
          <w:p>
            <w:pPr>
              <w:spacing w:before="0" w:after="0" w:line="252" w:lineRule="auto"/>
              <w:jc w:val="center"/>
            </w:pPr>
            <w:r>
              <w:rPr>
                <w:rFonts w:ascii="Times New Roman" w:hAnsi="Times New Roman"/>
                <w:b w:val="0"/>
                <w:i w:val="0"/>
                <w:color w:val="000000"/>
                <w:sz w:val="16"/>
              </w:rPr>
              <w:t>8.1%</w:t>
            </w:r>
          </w:p>
        </w:tc>
        <w:tc>
          <w:tcPr>
            <w:tcW w:type="dxa" w:w="1461"/>
            <w:vAlign w:val="center"/>
          </w:tcPr>
          <w:p>
            <w:pPr>
              <w:spacing w:before="0" w:after="0" w:line="252" w:lineRule="auto"/>
              <w:jc w:val="center"/>
            </w:pPr>
            <w:r>
              <w:rPr>
                <w:rFonts w:ascii="Times New Roman" w:hAnsi="Times New Roman"/>
                <w:b w:val="0"/>
                <w:i w:val="0"/>
                <w:color w:val="000000"/>
                <w:sz w:val="16"/>
              </w:rPr>
              <w:t>12.5%</w:t>
            </w:r>
          </w:p>
        </w:tc>
        <w:tc>
          <w:tcPr>
            <w:tcW w:type="dxa" w:w="1418"/>
            <w:vAlign w:val="center"/>
          </w:tcPr>
          <w:p>
            <w:pPr>
              <w:spacing w:before="0" w:after="0" w:line="252" w:lineRule="auto"/>
              <w:jc w:val="center"/>
            </w:pPr>
            <w:r>
              <w:rPr>
                <w:rFonts w:ascii="Times New Roman" w:hAnsi="Times New Roman"/>
                <w:b w:val="0"/>
                <w:i w:val="0"/>
                <w:color w:val="000000"/>
                <w:sz w:val="16"/>
              </w:rPr>
              <w:t>1.20</w:t>
            </w:r>
          </w:p>
        </w:tc>
        <w:tc>
          <w:tcPr>
            <w:tcW w:type="dxa" w:w="1373"/>
            <w:vAlign w:val="center"/>
          </w:tcPr>
          <w:p>
            <w:pPr>
              <w:spacing w:before="0" w:after="0" w:line="252" w:lineRule="auto"/>
              <w:jc w:val="center"/>
            </w:pPr>
            <w:r>
              <w:rPr>
                <w:rFonts w:ascii="Times New Roman" w:hAnsi="Times New Roman"/>
                <w:b w:val="0"/>
                <w:i w:val="0"/>
                <w:color w:val="000000"/>
                <w:sz w:val="16"/>
              </w:rPr>
              <w:t>37,614.83</w:t>
            </w:r>
          </w:p>
        </w:tc>
      </w:tr>
      <w:tr>
        <w:trPr>
          <w:cantSplit/>
        </w:trPr>
        <w:tc>
          <w:tcPr>
            <w:tcW w:type="dxa" w:w="1461"/>
            <w:vAlign w:val="center"/>
          </w:tcPr>
          <w:p>
            <w:pPr>
              <w:spacing w:before="0" w:after="0" w:line="252" w:lineRule="auto"/>
              <w:jc w:val="left"/>
            </w:pPr>
            <w:r>
              <w:rPr>
                <w:rFonts w:ascii="Times New Roman" w:hAnsi="Times New Roman"/>
                <w:b w:val="0"/>
                <w:i w:val="0"/>
                <w:color w:val="000000"/>
                <w:sz w:val="16"/>
              </w:rPr>
              <w:t>Moravia (Este)</w:t>
            </w:r>
          </w:p>
        </w:tc>
        <w:tc>
          <w:tcPr>
            <w:tcW w:type="dxa" w:w="1282"/>
            <w:vAlign w:val="center"/>
          </w:tcPr>
          <w:p>
            <w:pPr>
              <w:spacing w:before="0" w:after="0" w:line="252" w:lineRule="auto"/>
              <w:jc w:val="left"/>
            </w:pPr>
            <w:r>
              <w:rPr>
                <w:rFonts w:ascii="Times New Roman" w:hAnsi="Times New Roman"/>
                <w:b w:val="0"/>
                <w:i w:val="0"/>
                <w:color w:val="000000"/>
                <w:sz w:val="16"/>
              </w:rPr>
              <w:t>Adulto (30-50)</w:t>
            </w:r>
          </w:p>
        </w:tc>
        <w:tc>
          <w:tcPr>
            <w:tcW w:type="dxa" w:w="985"/>
            <w:vAlign w:val="center"/>
          </w:tcPr>
          <w:p>
            <w:pPr>
              <w:spacing w:before="0" w:after="0" w:line="252" w:lineRule="auto"/>
              <w:jc w:val="center"/>
            </w:pPr>
            <w:r>
              <w:rPr>
                <w:rFonts w:ascii="Times New Roman" w:hAnsi="Times New Roman"/>
                <w:b w:val="0"/>
                <w:i w:val="0"/>
                <w:color w:val="000000"/>
                <w:sz w:val="16"/>
              </w:rPr>
              <w:t>709</w:t>
            </w:r>
          </w:p>
        </w:tc>
        <w:tc>
          <w:tcPr>
            <w:tcW w:type="dxa" w:w="817"/>
            <w:vAlign w:val="center"/>
          </w:tcPr>
          <w:p>
            <w:pPr>
              <w:spacing w:before="0" w:after="0" w:line="252" w:lineRule="auto"/>
              <w:jc w:val="center"/>
            </w:pPr>
            <w:r>
              <w:rPr>
                <w:rFonts w:ascii="Times New Roman" w:hAnsi="Times New Roman"/>
                <w:b w:val="0"/>
                <w:i w:val="0"/>
                <w:color w:val="000000"/>
                <w:sz w:val="16"/>
              </w:rPr>
              <w:t>13.2%</w:t>
            </w:r>
          </w:p>
        </w:tc>
        <w:tc>
          <w:tcPr>
            <w:tcW w:type="dxa" w:w="1461"/>
            <w:vAlign w:val="center"/>
          </w:tcPr>
          <w:p>
            <w:pPr>
              <w:spacing w:before="0" w:after="0" w:line="252" w:lineRule="auto"/>
              <w:jc w:val="center"/>
            </w:pPr>
            <w:r>
              <w:rPr>
                <w:rFonts w:ascii="Times New Roman" w:hAnsi="Times New Roman"/>
                <w:b w:val="0"/>
                <w:i w:val="0"/>
                <w:color w:val="000000"/>
                <w:sz w:val="16"/>
              </w:rPr>
              <w:t>12.6%</w:t>
            </w:r>
          </w:p>
        </w:tc>
        <w:tc>
          <w:tcPr>
            <w:tcW w:type="dxa" w:w="1418"/>
            <w:vAlign w:val="center"/>
          </w:tcPr>
          <w:p>
            <w:pPr>
              <w:spacing w:before="0" w:after="0" w:line="252" w:lineRule="auto"/>
              <w:jc w:val="center"/>
            </w:pPr>
            <w:r>
              <w:rPr>
                <w:rFonts w:ascii="Times New Roman" w:hAnsi="Times New Roman"/>
                <w:b w:val="0"/>
                <w:i w:val="0"/>
                <w:color w:val="000000"/>
                <w:sz w:val="16"/>
              </w:rPr>
              <w:t>1.23</w:t>
            </w:r>
          </w:p>
        </w:tc>
        <w:tc>
          <w:tcPr>
            <w:tcW w:type="dxa" w:w="1373"/>
            <w:vAlign w:val="center"/>
          </w:tcPr>
          <w:p>
            <w:pPr>
              <w:spacing w:before="0" w:after="0" w:line="252" w:lineRule="auto"/>
              <w:jc w:val="center"/>
            </w:pPr>
            <w:r>
              <w:rPr>
                <w:rFonts w:ascii="Times New Roman" w:hAnsi="Times New Roman"/>
                <w:b w:val="0"/>
                <w:i w:val="0"/>
                <w:color w:val="000000"/>
                <w:sz w:val="16"/>
              </w:rPr>
              <w:t>39,322.29</w:t>
            </w:r>
          </w:p>
        </w:tc>
      </w:tr>
      <w:tr>
        <w:trPr>
          <w:cantSplit/>
        </w:trPr>
        <w:tc>
          <w:tcPr>
            <w:tcW w:type="dxa" w:w="1461"/>
            <w:vAlign w:val="center"/>
          </w:tcPr>
          <w:p>
            <w:pPr>
              <w:spacing w:before="0" w:after="0" w:line="252" w:lineRule="auto"/>
              <w:jc w:val="left"/>
            </w:pPr>
            <w:r>
              <w:rPr>
                <w:rFonts w:ascii="Times New Roman" w:hAnsi="Times New Roman"/>
                <w:b w:val="0"/>
                <w:i w:val="0"/>
                <w:color w:val="000000"/>
                <w:sz w:val="16"/>
              </w:rPr>
              <w:t>Moravia (Este)</w:t>
            </w:r>
          </w:p>
        </w:tc>
        <w:tc>
          <w:tcPr>
            <w:tcW w:type="dxa" w:w="1282"/>
            <w:vAlign w:val="center"/>
          </w:tcPr>
          <w:p>
            <w:pPr>
              <w:spacing w:before="0" w:after="0" w:line="252" w:lineRule="auto"/>
              <w:jc w:val="left"/>
            </w:pPr>
            <w:r>
              <w:rPr>
                <w:rFonts w:ascii="Times New Roman" w:hAnsi="Times New Roman"/>
                <w:b w:val="0"/>
                <w:i w:val="0"/>
                <w:color w:val="000000"/>
                <w:sz w:val="16"/>
              </w:rPr>
              <w:t>Adulto Mayor (&gt;50)</w:t>
            </w:r>
          </w:p>
        </w:tc>
        <w:tc>
          <w:tcPr>
            <w:tcW w:type="dxa" w:w="985"/>
            <w:vAlign w:val="center"/>
          </w:tcPr>
          <w:p>
            <w:pPr>
              <w:spacing w:before="0" w:after="0" w:line="252" w:lineRule="auto"/>
              <w:jc w:val="center"/>
            </w:pPr>
            <w:r>
              <w:rPr>
                <w:rFonts w:ascii="Times New Roman" w:hAnsi="Times New Roman"/>
                <w:b w:val="0"/>
                <w:i w:val="0"/>
                <w:color w:val="000000"/>
                <w:sz w:val="16"/>
              </w:rPr>
              <w:t>715</w:t>
            </w:r>
          </w:p>
        </w:tc>
        <w:tc>
          <w:tcPr>
            <w:tcW w:type="dxa" w:w="817"/>
            <w:vAlign w:val="center"/>
          </w:tcPr>
          <w:p>
            <w:pPr>
              <w:spacing w:before="0" w:after="0" w:line="252" w:lineRule="auto"/>
              <w:jc w:val="center"/>
            </w:pPr>
            <w:r>
              <w:rPr>
                <w:rFonts w:ascii="Times New Roman" w:hAnsi="Times New Roman"/>
                <w:b w:val="0"/>
                <w:i w:val="0"/>
                <w:color w:val="000000"/>
                <w:sz w:val="16"/>
              </w:rPr>
              <w:t>13.3%</w:t>
            </w:r>
          </w:p>
        </w:tc>
        <w:tc>
          <w:tcPr>
            <w:tcW w:type="dxa" w:w="1461"/>
            <w:vAlign w:val="center"/>
          </w:tcPr>
          <w:p>
            <w:pPr>
              <w:spacing w:before="0" w:after="0" w:line="252" w:lineRule="auto"/>
              <w:jc w:val="center"/>
            </w:pPr>
            <w:r>
              <w:rPr>
                <w:rFonts w:ascii="Times New Roman" w:hAnsi="Times New Roman"/>
                <w:b w:val="0"/>
                <w:i w:val="0"/>
                <w:color w:val="000000"/>
                <w:sz w:val="16"/>
              </w:rPr>
              <w:t>11.5%</w:t>
            </w:r>
          </w:p>
        </w:tc>
        <w:tc>
          <w:tcPr>
            <w:tcW w:type="dxa" w:w="1418"/>
            <w:vAlign w:val="center"/>
          </w:tcPr>
          <w:p>
            <w:pPr>
              <w:spacing w:before="0" w:after="0" w:line="252" w:lineRule="auto"/>
              <w:jc w:val="center"/>
            </w:pPr>
            <w:r>
              <w:rPr>
                <w:rFonts w:ascii="Times New Roman" w:hAnsi="Times New Roman"/>
                <w:b w:val="0"/>
                <w:i w:val="0"/>
                <w:color w:val="000000"/>
                <w:sz w:val="16"/>
              </w:rPr>
              <w:t>1.13</w:t>
            </w:r>
          </w:p>
        </w:tc>
        <w:tc>
          <w:tcPr>
            <w:tcW w:type="dxa" w:w="1373"/>
            <w:vAlign w:val="center"/>
          </w:tcPr>
          <w:p>
            <w:pPr>
              <w:spacing w:before="0" w:after="0" w:line="252" w:lineRule="auto"/>
              <w:jc w:val="center"/>
            </w:pPr>
            <w:r>
              <w:rPr>
                <w:rFonts w:ascii="Times New Roman" w:hAnsi="Times New Roman"/>
                <w:b w:val="0"/>
                <w:i w:val="0"/>
                <w:color w:val="000000"/>
                <w:sz w:val="16"/>
              </w:rPr>
              <w:t>32,765.23</w:t>
            </w:r>
          </w:p>
        </w:tc>
      </w:tr>
      <w:tr>
        <w:trPr>
          <w:cantSplit/>
        </w:trPr>
        <w:tc>
          <w:tcPr>
            <w:tcW w:type="dxa" w:w="1461"/>
            <w:vAlign w:val="center"/>
          </w:tcPr>
          <w:p>
            <w:pPr>
              <w:spacing w:before="0" w:after="0" w:line="252" w:lineRule="auto"/>
              <w:jc w:val="left"/>
            </w:pPr>
            <w:r>
              <w:rPr>
                <w:rFonts w:ascii="Times New Roman" w:hAnsi="Times New Roman"/>
                <w:b w:val="0"/>
                <w:i w:val="0"/>
                <w:color w:val="000000"/>
                <w:sz w:val="16"/>
              </w:rPr>
              <w:t>TOTAL / MEDIA GLOBAL</w:t>
            </w:r>
          </w:p>
        </w:tc>
        <w:tc>
          <w:tcPr>
            <w:tcW w:type="dxa" w:w="1282"/>
            <w:vAlign w:val="center"/>
          </w:tcPr>
          <w:p>
            <w:pPr>
              <w:spacing w:before="0" w:after="0" w:line="252" w:lineRule="auto"/>
              <w:jc w:val="left"/>
            </w:pPr>
            <w:r>
              <w:rPr>
                <w:rFonts w:ascii="Times New Roman" w:hAnsi="Times New Roman"/>
                <w:b w:val="0"/>
                <w:i w:val="0"/>
                <w:color w:val="000000"/>
                <w:sz w:val="16"/>
              </w:rPr>
              <w:t>—</w:t>
            </w:r>
          </w:p>
        </w:tc>
        <w:tc>
          <w:tcPr>
            <w:tcW w:type="dxa" w:w="985"/>
            <w:vAlign w:val="center"/>
          </w:tcPr>
          <w:p>
            <w:pPr>
              <w:spacing w:before="0" w:after="0" w:line="252" w:lineRule="auto"/>
              <w:jc w:val="center"/>
            </w:pPr>
            <w:r>
              <w:rPr>
                <w:rFonts w:ascii="Times New Roman" w:hAnsi="Times New Roman"/>
                <w:b w:val="0"/>
                <w:i w:val="0"/>
                <w:color w:val="000000"/>
                <w:sz w:val="16"/>
              </w:rPr>
              <w:t>5,369</w:t>
            </w:r>
          </w:p>
        </w:tc>
        <w:tc>
          <w:tcPr>
            <w:tcW w:type="dxa" w:w="817"/>
            <w:vAlign w:val="center"/>
          </w:tcPr>
          <w:p>
            <w:pPr>
              <w:spacing w:before="0" w:after="0" w:line="252" w:lineRule="auto"/>
              <w:jc w:val="center"/>
            </w:pPr>
            <w:r>
              <w:rPr>
                <w:rFonts w:ascii="Times New Roman" w:hAnsi="Times New Roman"/>
                <w:b w:val="0"/>
                <w:i w:val="0"/>
                <w:color w:val="000000"/>
                <w:sz w:val="16"/>
              </w:rPr>
              <w:t>100.0%</w:t>
            </w:r>
          </w:p>
        </w:tc>
        <w:tc>
          <w:tcPr>
            <w:tcW w:type="dxa" w:w="1461"/>
            <w:vAlign w:val="center"/>
          </w:tcPr>
          <w:p>
            <w:pPr>
              <w:spacing w:before="0" w:after="0" w:line="252" w:lineRule="auto"/>
              <w:jc w:val="center"/>
            </w:pPr>
            <w:r>
              <w:rPr>
                <w:rFonts w:ascii="Times New Roman" w:hAnsi="Times New Roman"/>
                <w:b w:val="0"/>
                <w:i w:val="0"/>
                <w:color w:val="000000"/>
                <w:sz w:val="16"/>
              </w:rPr>
              <w:t>12.7%</w:t>
            </w:r>
          </w:p>
        </w:tc>
        <w:tc>
          <w:tcPr>
            <w:tcW w:type="dxa" w:w="1418"/>
            <w:vAlign w:val="center"/>
          </w:tcPr>
          <w:p>
            <w:pPr>
              <w:spacing w:before="0" w:after="0" w:line="252" w:lineRule="auto"/>
              <w:jc w:val="center"/>
            </w:pPr>
            <w:r>
              <w:rPr>
                <w:rFonts w:ascii="Times New Roman" w:hAnsi="Times New Roman"/>
                <w:b w:val="0"/>
                <w:i w:val="0"/>
                <w:color w:val="000000"/>
                <w:sz w:val="16"/>
              </w:rPr>
              <w:t>1.21</w:t>
            </w:r>
          </w:p>
        </w:tc>
        <w:tc>
          <w:tcPr>
            <w:tcW w:type="dxa" w:w="1373"/>
            <w:vAlign w:val="center"/>
          </w:tcPr>
          <w:p>
            <w:pPr>
              <w:spacing w:before="0" w:after="0" w:line="252" w:lineRule="auto"/>
              <w:jc w:val="center"/>
            </w:pPr>
            <w:r>
              <w:rPr>
                <w:rFonts w:ascii="Times New Roman" w:hAnsi="Times New Roman"/>
                <w:b w:val="0"/>
                <w:i w:val="0"/>
                <w:color w:val="000000"/>
                <w:sz w:val="16"/>
              </w:rPr>
              <w:t>36,187.35</w:t>
            </w:r>
          </w:p>
        </w:tc>
      </w:tr>
    </w:tbl>
    <w:p>
      <w:pPr>
        <w:spacing w:before="0" w:after="120"/>
      </w:pPr>
    </w:p>
    <w:p>
      <w:pPr>
        <w:keepNext/>
        <w:spacing w:before="200" w:after="60"/>
        <w:jc w:val="center"/>
      </w:pPr>
      <w:r>
        <w:drawing>
          <wp:inline xmlns:a="http://schemas.openxmlformats.org/drawingml/2006/main" xmlns:pic="http://schemas.openxmlformats.org/drawingml/2006/picture">
            <wp:extent cx="4389120" cy="2887579"/>
            <wp:docPr id="10" name="Picture 10"/>
            <wp:cNvGraphicFramePr>
              <a:graphicFrameLocks noChangeAspect="1"/>
            </wp:cNvGraphicFramePr>
            <a:graphic>
              <a:graphicData uri="http://schemas.openxmlformats.org/drawingml/2006/picture">
                <pic:pic>
                  <pic:nvPicPr>
                    <pic:cNvPr id="0" name="fig_4a_estereotipos.png"/>
                    <pic:cNvPicPr/>
                  </pic:nvPicPr>
                  <pic:blipFill>
                    <a:blip r:embed="rId20"/>
                    <a:stretch>
                      <a:fillRect/>
                    </a:stretch>
                  </pic:blipFill>
                  <pic:spPr>
                    <a:xfrm>
                      <a:off x="0" y="0"/>
                      <a:ext cx="4389120" cy="2887579"/>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10:</w:t>
      </w:r>
      <w:r>
        <w:rPr>
          <w:rFonts w:ascii="Times New Roman" w:hAnsi="Times New Roman"/>
          <w:sz w:val="20"/>
        </w:rPr>
        <w:t xml:space="preserve"> Tasa de Adopción Crediticia por los 9 Estereotipos Demográficos.</w:t>
      </w:r>
    </w:p>
    <w:p>
      <w:pPr>
        <w:spacing w:line="276" w:lineRule="auto" w:before="0" w:after="90"/>
        <w:jc w:val="both"/>
      </w:pPr>
      <w:r>
        <w:rPr>
          <w:rFonts w:ascii="Times New Roman" w:hAnsi="Times New Roman"/>
          <w:b w:val="0"/>
          <w:i w:val="0"/>
          <w:color w:val="000000"/>
          <w:sz w:val="22"/>
        </w:rPr>
        <w:t>Validación estadística y de negocio: La dependencia entre estereotipo y adopción crediticia es estadísticamente rotunda (Chi-cuadrado χ² = 63.7832, 8 gl, p = 8.39 × 10^(-11) &lt; 0.0001). Los jóvenes de Praga presentan la tasa de adopción crediticia más elevada (18.8%), mientras que en adultos mayores de Bohemia y Moravia la adopción desciende a 11.4% y 11.5%, reflejando el ciclo biológico de desendeudamiento en edades de jubilación. Este modelo otorga cobertura perfecta del 100% de la cartera desde el día cero.</w:t>
      </w:r>
    </w:p>
    <w:p>
      <w:pPr>
        <w:spacing w:line="276" w:lineRule="auto" w:before="0" w:after="90"/>
        <w:jc w:val="both"/>
      </w:pPr>
      <w:r>
        <w:rPr>
          <w:rFonts w:ascii="Times New Roman" w:hAnsi="Times New Roman"/>
          <w:b w:val="0"/>
          <w:i w:val="0"/>
          <w:color w:val="000000"/>
          <w:sz w:val="22"/>
        </w:rPr>
        <w:t>Recomendación estratégica de producto: Configurar paquetes de bienvenida diferenciados por región: préstamos de consumo y tarjetas en Praga, y productos de ahorro pasivo en Moravia.</w:t>
      </w:r>
    </w:p>
    <w:p>
      <w:pPr>
        <w:keepNext/>
        <w:spacing w:before="120" w:after="40"/>
        <w:jc w:val="left"/>
      </w:pPr>
      <w:r>
        <w:rPr>
          <w:rFonts w:ascii="Times New Roman" w:hAnsi="Times New Roman"/>
          <w:b/>
          <w:i w:val="0"/>
          <w:color w:val="000000"/>
          <w:sz w:val="22"/>
        </w:rPr>
        <w:t>Modelo 4B: Filtrado Colaborativo Usuario a Usuario (User-to-User Cosine)</w:t>
      </w:r>
    </w:p>
    <w:p>
      <w:pPr>
        <w:spacing w:line="276" w:lineRule="auto" w:before="0" w:after="90"/>
        <w:jc w:val="both"/>
      </w:pPr>
      <w:r>
        <w:rPr>
          <w:rFonts w:ascii="Times New Roman" w:hAnsi="Times New Roman"/>
          <w:b w:val="0"/>
          <w:i w:val="0"/>
          <w:color w:val="000000"/>
          <w:sz w:val="22"/>
        </w:rPr>
        <w:t>Fundamento teórico y formulación: Localiza vecinos o 'gemelos financieros' calculando la similitud del coseno sobre las variables numéricas estandarizadas de los 4,500 clientes titulares independientes, prediciendo la afinidad hacia un producto mediante el promedio ponderado de sus k vecinos más cercanos (k = 5):</w:t>
      </w:r>
    </w:p>
    <w:p>
      <w:pPr>
        <w:keepNext/>
        <w:spacing w:before="80" w:after="80"/>
        <w:jc w:val="center"/>
      </w:pPr>
      <m:oMathPara>
        <m:oMath>
          <m:r>
            <m:rPr>
              <m:sty m:val="p"/>
            </m:rPr>
            <m:t>cos</m:t>
          </m:r>
          <m:r>
            <m:t>(</m:t>
          </m:r>
          <m:sSub>
            <m:e>
              <m:limUpp>
                <m:e>
                  <m:r>
                    <m:t>x</m:t>
                  </m:r>
                </m:e>
                <m:lim>
                  <m:r>
                    <m:t>→</m:t>
                  </m:r>
                </m:lim>
              </m:limUpp>
            </m:e>
            <m:sub>
              <m:r>
                <m:t>u</m:t>
              </m:r>
            </m:sub>
          </m:sSub>
          <m:r>
            <m:t>,</m:t>
          </m:r>
          <m:sSub>
            <m:e>
              <m:limUpp>
                <m:e>
                  <m:r>
                    <m:t>x</m:t>
                  </m:r>
                </m:e>
                <m:lim>
                  <m:r>
                    <m:t>→</m:t>
                  </m:r>
                </m:lim>
              </m:limUpp>
            </m:e>
            <m:sub>
              <m:r>
                <m:t>v</m:t>
              </m:r>
            </m:sub>
          </m:sSub>
          <m:r>
            <m:t>)=</m:t>
          </m:r>
          <m:f>
            <m:fPr>
              <m:type m:val="bar"/>
            </m:fPr>
            <m:num>
              <m:sSub>
                <m:e>
                  <m:limUpp>
                    <m:e>
                      <m:r>
                        <m:t>x</m:t>
                      </m:r>
                    </m:e>
                    <m:lim>
                      <m:r>
                        <m:t>→</m:t>
                      </m:r>
                    </m:lim>
                  </m:limUpp>
                </m:e>
                <m:sub>
                  <m:r>
                    <m:t>u</m:t>
                  </m:r>
                </m:sub>
              </m:sSub>
              <m:r>
                <m:t>·</m:t>
              </m:r>
              <m:sSub>
                <m:e>
                  <m:limUpp>
                    <m:e>
                      <m:r>
                        <m:t>x</m:t>
                      </m:r>
                    </m:e>
                    <m:lim>
                      <m:r>
                        <m:t>→</m:t>
                      </m:r>
                    </m:lim>
                  </m:limUpp>
                </m:e>
                <m:sub>
                  <m:r>
                    <m:t>v</m:t>
                  </m:r>
                </m:sub>
              </m:sSub>
            </m:num>
            <m:den>
              <m:d>
                <m:dPr>
                  <m:begChr m:val="‖"/>
                  <m:sepChr m:val="‖"/>
                  <m:endChr m:val="‖"/>
                </m:dPr>
                <m:e/>
                <m:e/>
                <m:e/>
              </m:d>
            </m:den>
          </m:f>
          <m:r>
            <m:t>,</m:t>
          </m:r>
          <m:r>
            <m:rPr>
              <m:nor/>
            </m:rPr>
            <m:t>Score</m:t>
          </m:r>
          <m:r>
            <m:t>(u,i)=</m:t>
          </m:r>
          <m:f>
            <m:fPr>
              <m:type m:val="bar"/>
            </m:fPr>
            <m:num>
              <m:nary>
                <m:naryPr>
                  <m:chr m:val="∑"/>
                  <m:limLoc m:val="subSup"/>
                  <m:grow m:val="1"/>
                  <m:subHide m:val="off"/>
                  <m:supHide m:val="on"/>
                </m:naryPr>
                <m:sub>
                  <m:r>
                    <m:t>v∈</m:t>
                  </m:r>
                  <m:sSub>
                    <m:e>
                      <m:r>
                        <m:t>N</m:t>
                      </m:r>
                    </m:e>
                    <m:sub>
                      <m:r>
                        <m:t>k</m:t>
                      </m:r>
                    </m:sub>
                  </m:sSub>
                  <m:r>
                    <m:t>(u)</m:t>
                  </m:r>
                </m:sub>
                <m:sup/>
                <m:e>
                  <m:r>
                    <m:rPr>
                      <m:sty m:val="p"/>
                    </m:rPr>
                    <m:t>cos</m:t>
                  </m:r>
                  <m:r>
                    <m:t>(</m:t>
                  </m:r>
                </m:e>
              </m:nary>
              <m:sSub>
                <m:e>
                  <m:limUpp>
                    <m:e>
                      <m:r>
                        <m:t>x</m:t>
                      </m:r>
                    </m:e>
                    <m:lim>
                      <m:r>
                        <m:t>→</m:t>
                      </m:r>
                    </m:lim>
                  </m:limUpp>
                </m:e>
                <m:sub>
                  <m:r>
                    <m:t>u</m:t>
                  </m:r>
                </m:sub>
              </m:sSub>
              <m:r>
                <m:t>,</m:t>
              </m:r>
              <m:sSub>
                <m:e>
                  <m:limUpp>
                    <m:e>
                      <m:r>
                        <m:t>x</m:t>
                      </m:r>
                    </m:e>
                    <m:lim>
                      <m:r>
                        <m:t>→</m:t>
                      </m:r>
                    </m:lim>
                  </m:limUpp>
                </m:e>
                <m:sub>
                  <m:r>
                    <m:t>v</m:t>
                  </m:r>
                </m:sub>
              </m:sSub>
              <m:r>
                <m:t>)·</m:t>
              </m:r>
              <m:sSub>
                <m:e>
                  <m:r>
                    <m:t>r</m:t>
                  </m:r>
                </m:e>
                <m:sub>
                  <m:r>
                    <m:t>v,i</m:t>
                  </m:r>
                </m:sub>
              </m:sSub>
            </m:num>
            <m:den>
              <m:nary>
                <m:naryPr>
                  <m:chr m:val="∑"/>
                  <m:limLoc m:val="subSup"/>
                  <m:grow m:val="1"/>
                  <m:subHide m:val="off"/>
                  <m:supHide m:val="on"/>
                </m:naryPr>
                <m:sub>
                  <m:r>
                    <m:t>v∈</m:t>
                  </m:r>
                  <m:sSub>
                    <m:e>
                      <m:r>
                        <m:t>N</m:t>
                      </m:r>
                    </m:e>
                    <m:sub>
                      <m:r>
                        <m:t>k</m:t>
                      </m:r>
                    </m:sub>
                  </m:sSub>
                  <m:r>
                    <m:t>(u)</m:t>
                  </m:r>
                </m:sub>
                <m:sup/>
                <m:e>
                  <m:r>
                    <m:t>|</m:t>
                  </m:r>
                  <m:r>
                    <m:rPr>
                      <m:sty m:val="p"/>
                    </m:rPr>
                    <m:t>cos</m:t>
                  </m:r>
                  <m:r>
                    <m:t>(</m:t>
                  </m:r>
                </m:e>
              </m:nary>
              <m:sSub>
                <m:e>
                  <m:limUpp>
                    <m:e>
                      <m:r>
                        <m:t>x</m:t>
                      </m:r>
                    </m:e>
                    <m:lim>
                      <m:r>
                        <m:t>→</m:t>
                      </m:r>
                    </m:lim>
                  </m:limUpp>
                </m:e>
                <m:sub>
                  <m:r>
                    <m:t>u</m:t>
                  </m:r>
                </m:sub>
              </m:sSub>
              <m:r>
                <m:t>,</m:t>
              </m:r>
              <m:sSub>
                <m:e>
                  <m:limUpp>
                    <m:e>
                      <m:r>
                        <m:t>x</m:t>
                      </m:r>
                    </m:e>
                    <m:lim>
                      <m:r>
                        <m:t>→</m:t>
                      </m:r>
                    </m:lim>
                  </m:limUpp>
                </m:e>
                <m:sub>
                  <m:r>
                    <m:t>v</m:t>
                  </m:r>
                </m:sub>
              </m:sSub>
              <m:r>
                <m:t>)|</m:t>
              </m:r>
            </m:den>
          </m:f>
        </m:oMath>
      </m:oMathPara>
    </w:p>
    <w:p>
      <w:pPr>
        <w:spacing w:line="276" w:lineRule="auto" w:before="0" w:after="90"/>
        <w:jc w:val="both"/>
      </w:pPr>
      <w:r>
        <w:rPr>
          <w:rFonts w:ascii="Times New Roman" w:hAnsi="Times New Roman"/>
          <w:b w:val="0"/>
          <w:i w:val="0"/>
          <w:color w:val="000000"/>
          <w:sz w:val="22"/>
        </w:rPr>
        <w:t>Distinción entre validación predictiva y recomendación en producción:</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Validación Predictiva (Leave-One-Out): </w:t>
      </w:r>
      <w:r>
        <w:rPr>
          <w:rFonts w:ascii="Times New Roman" w:hAnsi="Times New Roman"/>
          <w:b w:val="0"/>
          <w:i w:val="0"/>
          <w:color w:val="000000"/>
          <w:sz w:val="22"/>
        </w:rPr>
        <w:t>En la validación experimental Leave-One-Out (k=5 vecinos sobre 4,500 titulares), se ocultó la etiqueta real de préstamo de cada titular. Para el Cliente #2 (quien en la realidad posee crédito), sus 5 vecinos más cercanos en R^5 arrojaron un score ponderado de 0.6002, prediciendo exitosamente su condición de prestatario como verdadero positivo. El modelo global alcanzó un AUC de 0.7905 y un Brier Score de 0.1098, superando al baseline ingenuo (Brier = 0.1286, AUC = 0.50).</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Recomendación Comercial en Producción: </w:t>
      </w:r>
      <w:r>
        <w:rPr>
          <w:rFonts w:ascii="Times New Roman" w:hAnsi="Times New Roman"/>
          <w:b w:val="0"/>
          <w:i w:val="0"/>
          <w:color w:val="000000"/>
          <w:sz w:val="22"/>
        </w:rPr>
        <w:t>En un entorno comercial productivo, recomendar un préstamo al Cliente #2 carece de sentido porque ya lo tiene contratado. El sistema evalúa entonces los servicios no poseídos: concretamente SEGURO. Al auditar la vecindad, 3 de sus 5 vecinos más cercanos (Cliente #9173, #6922 y #2235) poseen póliza activa, arrojando un score ponderado de propensión de 0.6002 hacia seguros, cinco veces superior a la tasa base de seguros en titulares (11.82%, 532 de 4,500). Se aclara que este score ponderado representa un índice relativo de afinidad para ordenamiento Top-N, no una probabilidad calibrada en sentido bayesiano estricto.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Aclaración de Tasas Base: </w:t>
      </w:r>
      <w:r>
        <w:rPr>
          <w:rFonts w:ascii="Times New Roman" w:hAnsi="Times New Roman"/>
          <w:b w:val="0"/>
          <w:i w:val="0"/>
          <w:color w:val="000000"/>
          <w:sz w:val="22"/>
        </w:rPr>
        <w:t>Se precisa que la tasa base de crédito es del 15.16% en los 4,500 titulares independientes evaluados en 4B (682 / 4,500), frente al 12.70% en la población total de 5,369 clientes (que incluye disponentes sin cuentas).</w:t>
      </w:r>
    </w:p>
    <w:p>
      <w:pPr>
        <w:spacing w:line="276" w:lineRule="auto" w:before="0" w:after="90"/>
        <w:jc w:val="both"/>
      </w:pPr>
      <w:r>
        <w:rPr>
          <w:rFonts w:ascii="Times New Roman" w:hAnsi="Times New Roman"/>
          <w:b w:val="0"/>
          <w:i w:val="0"/>
          <w:color w:val="000000"/>
          <w:sz w:val="22"/>
        </w:rPr>
        <w:t>Advertencia metodológica sobre riesgo de fuga (Data Leakage): Las variables de comportamiento acumulado (total_transacciones y monto_total_ordenes_mensual) incluyen contablemente las cuotas de amortización crediticia para quienes obtuvieron préstamo. Esto explica parte del elevado poder predictivo observado (AUC = 0.7905 frente a baseline ingenuo de 0.50 y regresión logística de 0.8380). En producción, el vector debe calcularse sobre variables no crediticias.</w:t>
      </w:r>
    </w:p>
    <w:p>
      <w:pPr>
        <w:spacing w:line="276" w:lineRule="auto" w:before="0" w:after="90"/>
        <w:jc w:val="both"/>
      </w:pPr>
      <w:r>
        <w:rPr>
          <w:rFonts w:ascii="Times New Roman" w:hAnsi="Times New Roman"/>
          <w:b w:val="0"/>
          <w:i w:val="0"/>
          <w:color w:val="000000"/>
          <w:sz w:val="22"/>
        </w:rPr>
        <w:t>Mecanismo matemático del Coseno 1.0000 en disponentes: En análisis iniciales, clientes autorizados arrojaban similitud unitaria debido a que sus variables brutas eran cero; al estandarizar Z-Score, los vectores nulos colapsaban en el mismo punto (-mu / sigma). Al restringir el espacio a los 4,500 titulares independientes, este artefacto desaparece, revelando gemelos financieros genuinos (ej. Cliente #2 y Cliente #107 con cos = +0.9902). La Tabla 15 expone la matriz de similitud entre clientes titulares:</w:t>
      </w:r>
    </w:p>
    <w:p>
      <w:pPr>
        <w:keepNext/>
        <w:spacing w:before="200" w:after="80"/>
        <w:jc w:val="center"/>
      </w:pPr>
      <w:r>
        <w:rPr>
          <w:rFonts w:ascii="Times New Roman" w:hAnsi="Times New Roman"/>
          <w:b/>
          <w:i w:val="0"/>
          <w:color w:val="000000"/>
          <w:sz w:val="21"/>
        </w:rPr>
        <w:t>Tabla 15:</w:t>
      </w:r>
      <w:r>
        <w:rPr>
          <w:rFonts w:ascii="Times New Roman" w:hAnsi="Times New Roman"/>
          <w:sz w:val="21"/>
        </w:rPr>
        <w:t xml:space="preserve"> Matriz de Similitud Coseno Usuario a Usuario entre Titulares Activos (df_cliente_consolidado).</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100"/>
        <w:gridCol w:w="1100"/>
        <w:gridCol w:w="1100"/>
        <w:gridCol w:w="1100"/>
        <w:gridCol w:w="1100"/>
        <w:gridCol w:w="1100"/>
        <w:gridCol w:w="1100"/>
        <w:gridCol w:w="1100"/>
      </w:tblGrid>
      <w:tr>
        <w:trPr>
          <w:tblHeader/>
          <w:cantSplit/>
        </w:trPr>
        <w:tc>
          <w:tcPr>
            <w:tcW w:type="dxa" w:w="1296"/>
            <w:vAlign w:val="center"/>
            <w:tcBorders>
              <w:bottom w:val="single" w:sz="6" w:space="0" w:color="000000"/>
            </w:tcBorders>
          </w:tcPr>
          <w:p>
            <w:pPr>
              <w:spacing w:before="0" w:after="0" w:line="252" w:lineRule="auto"/>
              <w:jc w:val="center"/>
            </w:pPr>
            <w:r>
              <w:rPr>
                <w:rFonts w:ascii="Times New Roman" w:hAnsi="Times New Roman"/>
                <w:b/>
                <w:i w:val="0"/>
                <w:color w:val="000000"/>
                <w:sz w:val="16"/>
              </w:rPr>
              <w:t>Cliente Titular</w:t>
            </w:r>
          </w:p>
        </w:tc>
        <w:tc>
          <w:tcPr>
            <w:tcW w:type="dxa" w:w="936"/>
            <w:vAlign w:val="center"/>
            <w:tcBorders>
              <w:bottom w:val="single" w:sz="6" w:space="0" w:color="000000"/>
            </w:tcBorders>
          </w:tcPr>
          <w:p>
            <w:pPr>
              <w:spacing w:before="0" w:after="0" w:line="252" w:lineRule="auto"/>
              <w:jc w:val="center"/>
            </w:pPr>
            <w:r>
              <w:rPr>
                <w:rFonts w:ascii="Times New Roman" w:hAnsi="Times New Roman"/>
                <w:b/>
                <w:i w:val="0"/>
                <w:color w:val="000000"/>
                <w:sz w:val="16"/>
              </w:rPr>
              <w:t>Cliente #2</w:t>
            </w:r>
          </w:p>
        </w:tc>
        <w:tc>
          <w:tcPr>
            <w:tcW w:type="dxa" w:w="936"/>
            <w:vAlign w:val="center"/>
            <w:tcBorders>
              <w:bottom w:val="single" w:sz="6" w:space="0" w:color="000000"/>
            </w:tcBorders>
          </w:tcPr>
          <w:p>
            <w:pPr>
              <w:spacing w:before="0" w:after="0" w:line="252" w:lineRule="auto"/>
              <w:jc w:val="center"/>
            </w:pPr>
            <w:r>
              <w:rPr>
                <w:rFonts w:ascii="Times New Roman" w:hAnsi="Times New Roman"/>
                <w:b/>
                <w:i w:val="0"/>
                <w:color w:val="000000"/>
                <w:sz w:val="16"/>
              </w:rPr>
              <w:t>Cliente #19</w:t>
            </w:r>
          </w:p>
        </w:tc>
        <w:tc>
          <w:tcPr>
            <w:tcW w:type="dxa" w:w="936"/>
            <w:vAlign w:val="center"/>
            <w:tcBorders>
              <w:bottom w:val="single" w:sz="6" w:space="0" w:color="000000"/>
            </w:tcBorders>
          </w:tcPr>
          <w:p>
            <w:pPr>
              <w:spacing w:before="0" w:after="0" w:line="252" w:lineRule="auto"/>
              <w:jc w:val="center"/>
            </w:pPr>
            <w:r>
              <w:rPr>
                <w:rFonts w:ascii="Times New Roman" w:hAnsi="Times New Roman"/>
                <w:b/>
                <w:i w:val="0"/>
                <w:color w:val="000000"/>
                <w:sz w:val="16"/>
              </w:rPr>
              <w:t>Cliente #47</w:t>
            </w:r>
          </w:p>
        </w:tc>
        <w:tc>
          <w:tcPr>
            <w:tcW w:type="dxa" w:w="936"/>
            <w:vAlign w:val="center"/>
            <w:tcBorders>
              <w:bottom w:val="single" w:sz="6" w:space="0" w:color="000000"/>
            </w:tcBorders>
          </w:tcPr>
          <w:p>
            <w:pPr>
              <w:spacing w:before="0" w:after="0" w:line="252" w:lineRule="auto"/>
              <w:jc w:val="center"/>
            </w:pPr>
            <w:r>
              <w:rPr>
                <w:rFonts w:ascii="Times New Roman" w:hAnsi="Times New Roman"/>
                <w:b/>
                <w:i w:val="0"/>
                <w:color w:val="000000"/>
                <w:sz w:val="16"/>
              </w:rPr>
              <w:t>Cliente #107</w:t>
            </w:r>
          </w:p>
        </w:tc>
        <w:tc>
          <w:tcPr>
            <w:tcW w:type="dxa" w:w="936"/>
            <w:vAlign w:val="center"/>
            <w:tcBorders>
              <w:bottom w:val="single" w:sz="6" w:space="0" w:color="000000"/>
            </w:tcBorders>
          </w:tcPr>
          <w:p>
            <w:pPr>
              <w:spacing w:before="0" w:after="0" w:line="252" w:lineRule="auto"/>
              <w:jc w:val="center"/>
            </w:pPr>
            <w:r>
              <w:rPr>
                <w:rFonts w:ascii="Times New Roman" w:hAnsi="Times New Roman"/>
                <w:b/>
                <w:i w:val="0"/>
                <w:color w:val="000000"/>
                <w:sz w:val="16"/>
              </w:rPr>
              <w:t>Cliente #212</w:t>
            </w:r>
          </w:p>
        </w:tc>
        <w:tc>
          <w:tcPr>
            <w:tcW w:type="dxa" w:w="936"/>
            <w:vAlign w:val="center"/>
            <w:tcBorders>
              <w:bottom w:val="single" w:sz="6" w:space="0" w:color="000000"/>
            </w:tcBorders>
          </w:tcPr>
          <w:p>
            <w:pPr>
              <w:spacing w:before="0" w:after="0" w:line="252" w:lineRule="auto"/>
              <w:jc w:val="center"/>
            </w:pPr>
            <w:r>
              <w:rPr>
                <w:rFonts w:ascii="Times New Roman" w:hAnsi="Times New Roman"/>
                <w:b/>
                <w:i w:val="0"/>
                <w:color w:val="000000"/>
                <w:sz w:val="16"/>
              </w:rPr>
              <w:t>Cliente #321</w:t>
            </w:r>
          </w:p>
        </w:tc>
        <w:tc>
          <w:tcPr>
            <w:tcW w:type="dxa" w:w="1742"/>
            <w:vAlign w:val="center"/>
            <w:tcBorders>
              <w:bottom w:val="single" w:sz="6" w:space="0" w:color="000000"/>
            </w:tcBorders>
          </w:tcPr>
          <w:p>
            <w:pPr>
              <w:spacing w:before="0" w:after="0" w:line="252" w:lineRule="auto"/>
              <w:jc w:val="center"/>
            </w:pPr>
            <w:r>
              <w:rPr>
                <w:rFonts w:ascii="Times New Roman" w:hAnsi="Times New Roman"/>
                <w:b/>
                <w:i w:val="0"/>
                <w:color w:val="000000"/>
                <w:sz w:val="16"/>
              </w:rPr>
              <w:t>Perfil y Gemelo Comportamental Detectado</w:t>
            </w:r>
          </w:p>
        </w:tc>
      </w:tr>
      <w:tr>
        <w:trPr>
          <w:cantSplit/>
        </w:trPr>
        <w:tc>
          <w:tcPr>
            <w:tcW w:type="dxa" w:w="1296"/>
            <w:vAlign w:val="center"/>
          </w:tcPr>
          <w:p>
            <w:pPr>
              <w:spacing w:before="0" w:after="0" w:line="252" w:lineRule="auto"/>
              <w:jc w:val="left"/>
            </w:pPr>
            <w:r>
              <w:rPr>
                <w:rFonts w:ascii="Times New Roman" w:hAnsi="Times New Roman"/>
                <w:b w:val="0"/>
                <w:i w:val="0"/>
                <w:color w:val="000000"/>
                <w:sz w:val="16"/>
              </w:rPr>
              <w:t>Cliente #2</w:t>
            </w:r>
          </w:p>
        </w:tc>
        <w:tc>
          <w:tcPr>
            <w:tcW w:type="dxa" w:w="936"/>
            <w:vAlign w:val="center"/>
          </w:tcPr>
          <w:p>
            <w:pPr>
              <w:spacing w:before="0" w:after="0" w:line="252" w:lineRule="auto"/>
              <w:jc w:val="center"/>
            </w:pPr>
            <w:r>
              <w:rPr>
                <w:rFonts w:ascii="Times New Roman" w:hAnsi="Times New Roman"/>
                <w:b w:val="0"/>
                <w:i w:val="0"/>
                <w:color w:val="000000"/>
                <w:sz w:val="16"/>
              </w:rPr>
              <w:t>1.0000</w:t>
            </w:r>
          </w:p>
        </w:tc>
        <w:tc>
          <w:tcPr>
            <w:tcW w:type="dxa" w:w="936"/>
            <w:vAlign w:val="center"/>
          </w:tcPr>
          <w:p>
            <w:pPr>
              <w:spacing w:before="0" w:after="0" w:line="252" w:lineRule="auto"/>
              <w:jc w:val="center"/>
            </w:pPr>
            <w:r>
              <w:rPr>
                <w:rFonts w:ascii="Times New Roman" w:hAnsi="Times New Roman"/>
                <w:b w:val="0"/>
                <w:i w:val="0"/>
                <w:color w:val="000000"/>
                <w:sz w:val="16"/>
              </w:rPr>
              <w:t>-0.9455</w:t>
            </w:r>
          </w:p>
        </w:tc>
        <w:tc>
          <w:tcPr>
            <w:tcW w:type="dxa" w:w="936"/>
            <w:vAlign w:val="center"/>
          </w:tcPr>
          <w:p>
            <w:pPr>
              <w:spacing w:before="0" w:after="0" w:line="252" w:lineRule="auto"/>
              <w:jc w:val="center"/>
            </w:pPr>
            <w:r>
              <w:rPr>
                <w:rFonts w:ascii="Times New Roman" w:hAnsi="Times New Roman"/>
                <w:b w:val="0"/>
                <w:i w:val="0"/>
                <w:color w:val="000000"/>
                <w:sz w:val="16"/>
              </w:rPr>
              <w:t>+0.1478</w:t>
            </w:r>
          </w:p>
        </w:tc>
        <w:tc>
          <w:tcPr>
            <w:tcW w:type="dxa" w:w="936"/>
            <w:vAlign w:val="center"/>
          </w:tcPr>
          <w:p>
            <w:pPr>
              <w:spacing w:before="0" w:after="0" w:line="252" w:lineRule="auto"/>
              <w:jc w:val="center"/>
            </w:pPr>
            <w:r>
              <w:rPr>
                <w:rFonts w:ascii="Times New Roman" w:hAnsi="Times New Roman"/>
                <w:b w:val="0"/>
                <w:i w:val="0"/>
                <w:color w:val="000000"/>
                <w:sz w:val="16"/>
              </w:rPr>
              <w:t>+0.9902</w:t>
            </w:r>
          </w:p>
        </w:tc>
        <w:tc>
          <w:tcPr>
            <w:tcW w:type="dxa" w:w="936"/>
            <w:vAlign w:val="center"/>
          </w:tcPr>
          <w:p>
            <w:pPr>
              <w:spacing w:before="0" w:after="0" w:line="252" w:lineRule="auto"/>
              <w:jc w:val="center"/>
            </w:pPr>
            <w:r>
              <w:rPr>
                <w:rFonts w:ascii="Times New Roman" w:hAnsi="Times New Roman"/>
                <w:b w:val="0"/>
                <w:i w:val="0"/>
                <w:color w:val="000000"/>
                <w:sz w:val="16"/>
              </w:rPr>
              <w:t>-0.7514</w:t>
            </w:r>
          </w:p>
        </w:tc>
        <w:tc>
          <w:tcPr>
            <w:tcW w:type="dxa" w:w="936"/>
            <w:vAlign w:val="center"/>
          </w:tcPr>
          <w:p>
            <w:pPr>
              <w:spacing w:before="0" w:after="0" w:line="252" w:lineRule="auto"/>
              <w:jc w:val="center"/>
            </w:pPr>
            <w:r>
              <w:rPr>
                <w:rFonts w:ascii="Times New Roman" w:hAnsi="Times New Roman"/>
                <w:b w:val="0"/>
                <w:i w:val="0"/>
                <w:color w:val="000000"/>
                <w:sz w:val="16"/>
              </w:rPr>
              <w:t>+0.6442</w:t>
            </w:r>
          </w:p>
        </w:tc>
        <w:tc>
          <w:tcPr>
            <w:tcW w:type="dxa" w:w="1742"/>
            <w:vAlign w:val="center"/>
          </w:tcPr>
          <w:p>
            <w:pPr>
              <w:spacing w:before="0" w:after="0" w:line="252" w:lineRule="auto"/>
              <w:jc w:val="left"/>
            </w:pPr>
            <w:r>
              <w:rPr>
                <w:rFonts w:ascii="Times New Roman" w:hAnsi="Times New Roman"/>
                <w:b w:val="0"/>
                <w:i w:val="0"/>
                <w:color w:val="000000"/>
                <w:sz w:val="16"/>
              </w:rPr>
              <w:t>Gemelo financiero directo con Cliente #107 (alta dinámica y saldos medios &gt;31k CZK)</w:t>
            </w:r>
          </w:p>
        </w:tc>
      </w:tr>
      <w:tr>
        <w:trPr>
          <w:cantSplit/>
        </w:trPr>
        <w:tc>
          <w:tcPr>
            <w:tcW w:type="dxa" w:w="1296"/>
            <w:vAlign w:val="center"/>
          </w:tcPr>
          <w:p>
            <w:pPr>
              <w:spacing w:before="0" w:after="0" w:line="252" w:lineRule="auto"/>
              <w:jc w:val="left"/>
            </w:pPr>
            <w:r>
              <w:rPr>
                <w:rFonts w:ascii="Times New Roman" w:hAnsi="Times New Roman"/>
                <w:b w:val="0"/>
                <w:i w:val="0"/>
                <w:color w:val="000000"/>
                <w:sz w:val="16"/>
              </w:rPr>
              <w:t>Cliente #19</w:t>
            </w:r>
          </w:p>
        </w:tc>
        <w:tc>
          <w:tcPr>
            <w:tcW w:type="dxa" w:w="936"/>
            <w:vAlign w:val="center"/>
          </w:tcPr>
          <w:p>
            <w:pPr>
              <w:spacing w:before="0" w:after="0" w:line="252" w:lineRule="auto"/>
              <w:jc w:val="center"/>
            </w:pPr>
            <w:r>
              <w:rPr>
                <w:rFonts w:ascii="Times New Roman" w:hAnsi="Times New Roman"/>
                <w:b w:val="0"/>
                <w:i w:val="0"/>
                <w:color w:val="000000"/>
                <w:sz w:val="16"/>
              </w:rPr>
              <w:t>-0.9455</w:t>
            </w:r>
          </w:p>
        </w:tc>
        <w:tc>
          <w:tcPr>
            <w:tcW w:type="dxa" w:w="936"/>
            <w:vAlign w:val="center"/>
          </w:tcPr>
          <w:p>
            <w:pPr>
              <w:spacing w:before="0" w:after="0" w:line="252" w:lineRule="auto"/>
              <w:jc w:val="center"/>
            </w:pPr>
            <w:r>
              <w:rPr>
                <w:rFonts w:ascii="Times New Roman" w:hAnsi="Times New Roman"/>
                <w:b w:val="0"/>
                <w:i w:val="0"/>
                <w:color w:val="000000"/>
                <w:sz w:val="16"/>
              </w:rPr>
              <w:t>1.0000</w:t>
            </w:r>
          </w:p>
        </w:tc>
        <w:tc>
          <w:tcPr>
            <w:tcW w:type="dxa" w:w="936"/>
            <w:vAlign w:val="center"/>
          </w:tcPr>
          <w:p>
            <w:pPr>
              <w:spacing w:before="0" w:after="0" w:line="252" w:lineRule="auto"/>
              <w:jc w:val="center"/>
            </w:pPr>
            <w:r>
              <w:rPr>
                <w:rFonts w:ascii="Times New Roman" w:hAnsi="Times New Roman"/>
                <w:b w:val="0"/>
                <w:i w:val="0"/>
                <w:color w:val="000000"/>
                <w:sz w:val="16"/>
              </w:rPr>
              <w:t>-0.4089</w:t>
            </w:r>
          </w:p>
        </w:tc>
        <w:tc>
          <w:tcPr>
            <w:tcW w:type="dxa" w:w="936"/>
            <w:vAlign w:val="center"/>
          </w:tcPr>
          <w:p>
            <w:pPr>
              <w:spacing w:before="0" w:after="0" w:line="252" w:lineRule="auto"/>
              <w:jc w:val="center"/>
            </w:pPr>
            <w:r>
              <w:rPr>
                <w:rFonts w:ascii="Times New Roman" w:hAnsi="Times New Roman"/>
                <w:b w:val="0"/>
                <w:i w:val="0"/>
                <w:color w:val="000000"/>
                <w:sz w:val="16"/>
              </w:rPr>
              <w:t>-0.9640</w:t>
            </w:r>
          </w:p>
        </w:tc>
        <w:tc>
          <w:tcPr>
            <w:tcW w:type="dxa" w:w="936"/>
            <w:vAlign w:val="center"/>
          </w:tcPr>
          <w:p>
            <w:pPr>
              <w:spacing w:before="0" w:after="0" w:line="252" w:lineRule="auto"/>
              <w:jc w:val="center"/>
            </w:pPr>
            <w:r>
              <w:rPr>
                <w:rFonts w:ascii="Times New Roman" w:hAnsi="Times New Roman"/>
                <w:b w:val="0"/>
                <w:i w:val="0"/>
                <w:color w:val="000000"/>
                <w:sz w:val="16"/>
              </w:rPr>
              <w:t>+0.6056</w:t>
            </w:r>
          </w:p>
        </w:tc>
        <w:tc>
          <w:tcPr>
            <w:tcW w:type="dxa" w:w="936"/>
            <w:vAlign w:val="center"/>
          </w:tcPr>
          <w:p>
            <w:pPr>
              <w:spacing w:before="0" w:after="0" w:line="252" w:lineRule="auto"/>
              <w:jc w:val="center"/>
            </w:pPr>
            <w:r>
              <w:rPr>
                <w:rFonts w:ascii="Times New Roman" w:hAnsi="Times New Roman"/>
                <w:b w:val="0"/>
                <w:i w:val="0"/>
                <w:color w:val="000000"/>
                <w:sz w:val="16"/>
              </w:rPr>
              <w:t>-0.5522</w:t>
            </w:r>
          </w:p>
        </w:tc>
        <w:tc>
          <w:tcPr>
            <w:tcW w:type="dxa" w:w="1742"/>
            <w:vAlign w:val="center"/>
          </w:tcPr>
          <w:p>
            <w:pPr>
              <w:spacing w:before="0" w:after="0" w:line="252" w:lineRule="auto"/>
              <w:jc w:val="left"/>
            </w:pPr>
            <w:r>
              <w:rPr>
                <w:rFonts w:ascii="Times New Roman" w:hAnsi="Times New Roman"/>
                <w:b w:val="0"/>
                <w:i w:val="0"/>
                <w:color w:val="000000"/>
                <w:sz w:val="16"/>
              </w:rPr>
              <w:t>Perfil patrimonial pasivo con saldos elevados y baja rotación de débitos</w:t>
            </w:r>
          </w:p>
        </w:tc>
      </w:tr>
      <w:tr>
        <w:trPr>
          <w:cantSplit/>
        </w:trPr>
        <w:tc>
          <w:tcPr>
            <w:tcW w:type="dxa" w:w="1296"/>
            <w:vAlign w:val="center"/>
          </w:tcPr>
          <w:p>
            <w:pPr>
              <w:spacing w:before="0" w:after="0" w:line="252" w:lineRule="auto"/>
              <w:jc w:val="left"/>
            </w:pPr>
            <w:r>
              <w:rPr>
                <w:rFonts w:ascii="Times New Roman" w:hAnsi="Times New Roman"/>
                <w:b w:val="0"/>
                <w:i w:val="0"/>
                <w:color w:val="000000"/>
                <w:sz w:val="16"/>
              </w:rPr>
              <w:t>Cliente #47</w:t>
            </w:r>
          </w:p>
        </w:tc>
        <w:tc>
          <w:tcPr>
            <w:tcW w:type="dxa" w:w="936"/>
            <w:vAlign w:val="center"/>
          </w:tcPr>
          <w:p>
            <w:pPr>
              <w:spacing w:before="0" w:after="0" w:line="252" w:lineRule="auto"/>
              <w:jc w:val="center"/>
            </w:pPr>
            <w:r>
              <w:rPr>
                <w:rFonts w:ascii="Times New Roman" w:hAnsi="Times New Roman"/>
                <w:b w:val="0"/>
                <w:i w:val="0"/>
                <w:color w:val="000000"/>
                <w:sz w:val="16"/>
              </w:rPr>
              <w:t>+0.1478</w:t>
            </w:r>
          </w:p>
        </w:tc>
        <w:tc>
          <w:tcPr>
            <w:tcW w:type="dxa" w:w="936"/>
            <w:vAlign w:val="center"/>
          </w:tcPr>
          <w:p>
            <w:pPr>
              <w:spacing w:before="0" w:after="0" w:line="252" w:lineRule="auto"/>
              <w:jc w:val="center"/>
            </w:pPr>
            <w:r>
              <w:rPr>
                <w:rFonts w:ascii="Times New Roman" w:hAnsi="Times New Roman"/>
                <w:b w:val="0"/>
                <w:i w:val="0"/>
                <w:color w:val="000000"/>
                <w:sz w:val="16"/>
              </w:rPr>
              <w:t>-0.4089</w:t>
            </w:r>
          </w:p>
        </w:tc>
        <w:tc>
          <w:tcPr>
            <w:tcW w:type="dxa" w:w="936"/>
            <w:vAlign w:val="center"/>
          </w:tcPr>
          <w:p>
            <w:pPr>
              <w:spacing w:before="0" w:after="0" w:line="252" w:lineRule="auto"/>
              <w:jc w:val="center"/>
            </w:pPr>
            <w:r>
              <w:rPr>
                <w:rFonts w:ascii="Times New Roman" w:hAnsi="Times New Roman"/>
                <w:b w:val="0"/>
                <w:i w:val="0"/>
                <w:color w:val="000000"/>
                <w:sz w:val="16"/>
              </w:rPr>
              <w:t>1.0000</w:t>
            </w:r>
          </w:p>
        </w:tc>
        <w:tc>
          <w:tcPr>
            <w:tcW w:type="dxa" w:w="936"/>
            <w:vAlign w:val="center"/>
          </w:tcPr>
          <w:p>
            <w:pPr>
              <w:spacing w:before="0" w:after="0" w:line="252" w:lineRule="auto"/>
              <w:jc w:val="center"/>
            </w:pPr>
            <w:r>
              <w:rPr>
                <w:rFonts w:ascii="Times New Roman" w:hAnsi="Times New Roman"/>
                <w:b w:val="0"/>
                <w:i w:val="0"/>
                <w:color w:val="000000"/>
                <w:sz w:val="16"/>
              </w:rPr>
              <w:t>+0.2432</w:t>
            </w:r>
          </w:p>
        </w:tc>
        <w:tc>
          <w:tcPr>
            <w:tcW w:type="dxa" w:w="936"/>
            <w:vAlign w:val="center"/>
          </w:tcPr>
          <w:p>
            <w:pPr>
              <w:spacing w:before="0" w:after="0" w:line="252" w:lineRule="auto"/>
              <w:jc w:val="center"/>
            </w:pPr>
            <w:r>
              <w:rPr>
                <w:rFonts w:ascii="Times New Roman" w:hAnsi="Times New Roman"/>
                <w:b w:val="0"/>
                <w:i w:val="0"/>
                <w:color w:val="000000"/>
                <w:sz w:val="16"/>
              </w:rPr>
              <w:t>+0.2647</w:t>
            </w:r>
          </w:p>
        </w:tc>
        <w:tc>
          <w:tcPr>
            <w:tcW w:type="dxa" w:w="936"/>
            <w:vAlign w:val="center"/>
          </w:tcPr>
          <w:p>
            <w:pPr>
              <w:spacing w:before="0" w:after="0" w:line="252" w:lineRule="auto"/>
              <w:jc w:val="center"/>
            </w:pPr>
            <w:r>
              <w:rPr>
                <w:rFonts w:ascii="Times New Roman" w:hAnsi="Times New Roman"/>
                <w:b w:val="0"/>
                <w:i w:val="0"/>
                <w:color w:val="000000"/>
                <w:sz w:val="16"/>
              </w:rPr>
              <w:t>-0.4172</w:t>
            </w:r>
          </w:p>
        </w:tc>
        <w:tc>
          <w:tcPr>
            <w:tcW w:type="dxa" w:w="1742"/>
            <w:vAlign w:val="center"/>
          </w:tcPr>
          <w:p>
            <w:pPr>
              <w:spacing w:before="0" w:after="0" w:line="252" w:lineRule="auto"/>
              <w:jc w:val="left"/>
            </w:pPr>
            <w:r>
              <w:rPr>
                <w:rFonts w:ascii="Times New Roman" w:hAnsi="Times New Roman"/>
                <w:b w:val="0"/>
                <w:i w:val="0"/>
                <w:color w:val="000000"/>
                <w:sz w:val="16"/>
              </w:rPr>
              <w:t>Usuario joven transaccional moderado en cuenta básica</w:t>
            </w:r>
          </w:p>
        </w:tc>
      </w:tr>
      <w:tr>
        <w:trPr>
          <w:cantSplit/>
        </w:trPr>
        <w:tc>
          <w:tcPr>
            <w:tcW w:type="dxa" w:w="1296"/>
            <w:vAlign w:val="center"/>
          </w:tcPr>
          <w:p>
            <w:pPr>
              <w:spacing w:before="0" w:after="0" w:line="252" w:lineRule="auto"/>
              <w:jc w:val="left"/>
            </w:pPr>
            <w:r>
              <w:rPr>
                <w:rFonts w:ascii="Times New Roman" w:hAnsi="Times New Roman"/>
                <w:b w:val="0"/>
                <w:i w:val="0"/>
                <w:color w:val="000000"/>
                <w:sz w:val="16"/>
              </w:rPr>
              <w:t>Cliente #107</w:t>
            </w:r>
          </w:p>
        </w:tc>
        <w:tc>
          <w:tcPr>
            <w:tcW w:type="dxa" w:w="936"/>
            <w:vAlign w:val="center"/>
          </w:tcPr>
          <w:p>
            <w:pPr>
              <w:spacing w:before="0" w:after="0" w:line="252" w:lineRule="auto"/>
              <w:jc w:val="center"/>
            </w:pPr>
            <w:r>
              <w:rPr>
                <w:rFonts w:ascii="Times New Roman" w:hAnsi="Times New Roman"/>
                <w:b w:val="0"/>
                <w:i w:val="0"/>
                <w:color w:val="000000"/>
                <w:sz w:val="16"/>
              </w:rPr>
              <w:t>+0.9902</w:t>
            </w:r>
          </w:p>
        </w:tc>
        <w:tc>
          <w:tcPr>
            <w:tcW w:type="dxa" w:w="936"/>
            <w:vAlign w:val="center"/>
          </w:tcPr>
          <w:p>
            <w:pPr>
              <w:spacing w:before="0" w:after="0" w:line="252" w:lineRule="auto"/>
              <w:jc w:val="center"/>
            </w:pPr>
            <w:r>
              <w:rPr>
                <w:rFonts w:ascii="Times New Roman" w:hAnsi="Times New Roman"/>
                <w:b w:val="0"/>
                <w:i w:val="0"/>
                <w:color w:val="000000"/>
                <w:sz w:val="16"/>
              </w:rPr>
              <w:t>-0.9640</w:t>
            </w:r>
          </w:p>
        </w:tc>
        <w:tc>
          <w:tcPr>
            <w:tcW w:type="dxa" w:w="936"/>
            <w:vAlign w:val="center"/>
          </w:tcPr>
          <w:p>
            <w:pPr>
              <w:spacing w:before="0" w:after="0" w:line="252" w:lineRule="auto"/>
              <w:jc w:val="center"/>
            </w:pPr>
            <w:r>
              <w:rPr>
                <w:rFonts w:ascii="Times New Roman" w:hAnsi="Times New Roman"/>
                <w:b w:val="0"/>
                <w:i w:val="0"/>
                <w:color w:val="000000"/>
                <w:sz w:val="16"/>
              </w:rPr>
              <w:t>+0.2432</w:t>
            </w:r>
          </w:p>
        </w:tc>
        <w:tc>
          <w:tcPr>
            <w:tcW w:type="dxa" w:w="936"/>
            <w:vAlign w:val="center"/>
          </w:tcPr>
          <w:p>
            <w:pPr>
              <w:spacing w:before="0" w:after="0" w:line="252" w:lineRule="auto"/>
              <w:jc w:val="center"/>
            </w:pPr>
            <w:r>
              <w:rPr>
                <w:rFonts w:ascii="Times New Roman" w:hAnsi="Times New Roman"/>
                <w:b w:val="0"/>
                <w:i w:val="0"/>
                <w:color w:val="000000"/>
                <w:sz w:val="16"/>
              </w:rPr>
              <w:t>1.0000</w:t>
            </w:r>
          </w:p>
        </w:tc>
        <w:tc>
          <w:tcPr>
            <w:tcW w:type="dxa" w:w="936"/>
            <w:vAlign w:val="center"/>
          </w:tcPr>
          <w:p>
            <w:pPr>
              <w:spacing w:before="0" w:after="0" w:line="252" w:lineRule="auto"/>
              <w:jc w:val="center"/>
            </w:pPr>
            <w:r>
              <w:rPr>
                <w:rFonts w:ascii="Times New Roman" w:hAnsi="Times New Roman"/>
                <w:b w:val="0"/>
                <w:i w:val="0"/>
                <w:color w:val="000000"/>
                <w:sz w:val="16"/>
              </w:rPr>
              <w:t>-0.6532</w:t>
            </w:r>
          </w:p>
        </w:tc>
        <w:tc>
          <w:tcPr>
            <w:tcW w:type="dxa" w:w="936"/>
            <w:vAlign w:val="center"/>
          </w:tcPr>
          <w:p>
            <w:pPr>
              <w:spacing w:before="0" w:after="0" w:line="252" w:lineRule="auto"/>
              <w:jc w:val="center"/>
            </w:pPr>
            <w:r>
              <w:rPr>
                <w:rFonts w:ascii="Times New Roman" w:hAnsi="Times New Roman"/>
                <w:b w:val="0"/>
                <w:i w:val="0"/>
                <w:color w:val="000000"/>
                <w:sz w:val="16"/>
              </w:rPr>
              <w:t>+0.5598</w:t>
            </w:r>
          </w:p>
        </w:tc>
        <w:tc>
          <w:tcPr>
            <w:tcW w:type="dxa" w:w="1742"/>
            <w:vAlign w:val="center"/>
          </w:tcPr>
          <w:p>
            <w:pPr>
              <w:spacing w:before="0" w:after="0" w:line="252" w:lineRule="auto"/>
              <w:jc w:val="left"/>
            </w:pPr>
            <w:r>
              <w:rPr>
                <w:rFonts w:ascii="Times New Roman" w:hAnsi="Times New Roman"/>
                <w:b w:val="0"/>
                <w:i w:val="0"/>
                <w:color w:val="000000"/>
                <w:sz w:val="16"/>
              </w:rPr>
              <w:t>Gemelo genuino de Cliente #2; propensión idéntica a productos y seguros</w:t>
            </w:r>
          </w:p>
        </w:tc>
      </w:tr>
      <w:tr>
        <w:trPr>
          <w:cantSplit/>
        </w:trPr>
        <w:tc>
          <w:tcPr>
            <w:tcW w:type="dxa" w:w="1296"/>
            <w:vAlign w:val="center"/>
          </w:tcPr>
          <w:p>
            <w:pPr>
              <w:spacing w:before="0" w:after="0" w:line="252" w:lineRule="auto"/>
              <w:jc w:val="left"/>
            </w:pPr>
            <w:r>
              <w:rPr>
                <w:rFonts w:ascii="Times New Roman" w:hAnsi="Times New Roman"/>
                <w:b w:val="0"/>
                <w:i w:val="0"/>
                <w:color w:val="000000"/>
                <w:sz w:val="16"/>
              </w:rPr>
              <w:t>Cliente #212</w:t>
            </w:r>
          </w:p>
        </w:tc>
        <w:tc>
          <w:tcPr>
            <w:tcW w:type="dxa" w:w="936"/>
            <w:vAlign w:val="center"/>
          </w:tcPr>
          <w:p>
            <w:pPr>
              <w:spacing w:before="0" w:after="0" w:line="252" w:lineRule="auto"/>
              <w:jc w:val="center"/>
            </w:pPr>
            <w:r>
              <w:rPr>
                <w:rFonts w:ascii="Times New Roman" w:hAnsi="Times New Roman"/>
                <w:b w:val="0"/>
                <w:i w:val="0"/>
                <w:color w:val="000000"/>
                <w:sz w:val="16"/>
              </w:rPr>
              <w:t>-0.7514</w:t>
            </w:r>
          </w:p>
        </w:tc>
        <w:tc>
          <w:tcPr>
            <w:tcW w:type="dxa" w:w="936"/>
            <w:vAlign w:val="center"/>
          </w:tcPr>
          <w:p>
            <w:pPr>
              <w:spacing w:before="0" w:after="0" w:line="252" w:lineRule="auto"/>
              <w:jc w:val="center"/>
            </w:pPr>
            <w:r>
              <w:rPr>
                <w:rFonts w:ascii="Times New Roman" w:hAnsi="Times New Roman"/>
                <w:b w:val="0"/>
                <w:i w:val="0"/>
                <w:color w:val="000000"/>
                <w:sz w:val="16"/>
              </w:rPr>
              <w:t>+0.6056</w:t>
            </w:r>
          </w:p>
        </w:tc>
        <w:tc>
          <w:tcPr>
            <w:tcW w:type="dxa" w:w="936"/>
            <w:vAlign w:val="center"/>
          </w:tcPr>
          <w:p>
            <w:pPr>
              <w:spacing w:before="0" w:after="0" w:line="252" w:lineRule="auto"/>
              <w:jc w:val="center"/>
            </w:pPr>
            <w:r>
              <w:rPr>
                <w:rFonts w:ascii="Times New Roman" w:hAnsi="Times New Roman"/>
                <w:b w:val="0"/>
                <w:i w:val="0"/>
                <w:color w:val="000000"/>
                <w:sz w:val="16"/>
              </w:rPr>
              <w:t>+0.2647</w:t>
            </w:r>
          </w:p>
        </w:tc>
        <w:tc>
          <w:tcPr>
            <w:tcW w:type="dxa" w:w="936"/>
            <w:vAlign w:val="center"/>
          </w:tcPr>
          <w:p>
            <w:pPr>
              <w:spacing w:before="0" w:after="0" w:line="252" w:lineRule="auto"/>
              <w:jc w:val="center"/>
            </w:pPr>
            <w:r>
              <w:rPr>
                <w:rFonts w:ascii="Times New Roman" w:hAnsi="Times New Roman"/>
                <w:b w:val="0"/>
                <w:i w:val="0"/>
                <w:color w:val="000000"/>
                <w:sz w:val="16"/>
              </w:rPr>
              <w:t>-0.6532</w:t>
            </w:r>
          </w:p>
        </w:tc>
        <w:tc>
          <w:tcPr>
            <w:tcW w:type="dxa" w:w="936"/>
            <w:vAlign w:val="center"/>
          </w:tcPr>
          <w:p>
            <w:pPr>
              <w:spacing w:before="0" w:after="0" w:line="252" w:lineRule="auto"/>
              <w:jc w:val="center"/>
            </w:pPr>
            <w:r>
              <w:rPr>
                <w:rFonts w:ascii="Times New Roman" w:hAnsi="Times New Roman"/>
                <w:b w:val="0"/>
                <w:i w:val="0"/>
                <w:color w:val="000000"/>
                <w:sz w:val="16"/>
              </w:rPr>
              <w:t>1.0000</w:t>
            </w:r>
          </w:p>
        </w:tc>
        <w:tc>
          <w:tcPr>
            <w:tcW w:type="dxa" w:w="936"/>
            <w:vAlign w:val="center"/>
          </w:tcPr>
          <w:p>
            <w:pPr>
              <w:spacing w:before="0" w:after="0" w:line="252" w:lineRule="auto"/>
              <w:jc w:val="center"/>
            </w:pPr>
            <w:r>
              <w:rPr>
                <w:rFonts w:ascii="Times New Roman" w:hAnsi="Times New Roman"/>
                <w:b w:val="0"/>
                <w:i w:val="0"/>
                <w:color w:val="000000"/>
                <w:sz w:val="16"/>
              </w:rPr>
              <w:t>-0.8420</w:t>
            </w:r>
          </w:p>
        </w:tc>
        <w:tc>
          <w:tcPr>
            <w:tcW w:type="dxa" w:w="1742"/>
            <w:vAlign w:val="center"/>
          </w:tcPr>
          <w:p>
            <w:pPr>
              <w:spacing w:before="0" w:after="0" w:line="252" w:lineRule="auto"/>
              <w:jc w:val="left"/>
            </w:pPr>
            <w:r>
              <w:rPr>
                <w:rFonts w:ascii="Times New Roman" w:hAnsi="Times New Roman"/>
                <w:b w:val="0"/>
                <w:i w:val="0"/>
                <w:color w:val="000000"/>
                <w:sz w:val="16"/>
              </w:rPr>
              <w:t>Perfil de saldos ajustados sin préstamos activos</w:t>
            </w:r>
          </w:p>
        </w:tc>
      </w:tr>
      <w:tr>
        <w:trPr>
          <w:cantSplit/>
        </w:trPr>
        <w:tc>
          <w:tcPr>
            <w:tcW w:type="dxa" w:w="1296"/>
            <w:vAlign w:val="center"/>
          </w:tcPr>
          <w:p>
            <w:pPr>
              <w:spacing w:before="0" w:after="0" w:line="252" w:lineRule="auto"/>
              <w:jc w:val="left"/>
            </w:pPr>
            <w:r>
              <w:rPr>
                <w:rFonts w:ascii="Times New Roman" w:hAnsi="Times New Roman"/>
                <w:b w:val="0"/>
                <w:i w:val="0"/>
                <w:color w:val="000000"/>
                <w:sz w:val="16"/>
              </w:rPr>
              <w:t>Cliente #321</w:t>
            </w:r>
          </w:p>
        </w:tc>
        <w:tc>
          <w:tcPr>
            <w:tcW w:type="dxa" w:w="936"/>
            <w:vAlign w:val="center"/>
          </w:tcPr>
          <w:p>
            <w:pPr>
              <w:spacing w:before="0" w:after="0" w:line="252" w:lineRule="auto"/>
              <w:jc w:val="center"/>
            </w:pPr>
            <w:r>
              <w:rPr>
                <w:rFonts w:ascii="Times New Roman" w:hAnsi="Times New Roman"/>
                <w:b w:val="0"/>
                <w:i w:val="0"/>
                <w:color w:val="000000"/>
                <w:sz w:val="16"/>
              </w:rPr>
              <w:t>+0.6442</w:t>
            </w:r>
          </w:p>
        </w:tc>
        <w:tc>
          <w:tcPr>
            <w:tcW w:type="dxa" w:w="936"/>
            <w:vAlign w:val="center"/>
          </w:tcPr>
          <w:p>
            <w:pPr>
              <w:spacing w:before="0" w:after="0" w:line="252" w:lineRule="auto"/>
              <w:jc w:val="center"/>
            </w:pPr>
            <w:r>
              <w:rPr>
                <w:rFonts w:ascii="Times New Roman" w:hAnsi="Times New Roman"/>
                <w:b w:val="0"/>
                <w:i w:val="0"/>
                <w:color w:val="000000"/>
                <w:sz w:val="16"/>
              </w:rPr>
              <w:t>-0.5522</w:t>
            </w:r>
          </w:p>
        </w:tc>
        <w:tc>
          <w:tcPr>
            <w:tcW w:type="dxa" w:w="936"/>
            <w:vAlign w:val="center"/>
          </w:tcPr>
          <w:p>
            <w:pPr>
              <w:spacing w:before="0" w:after="0" w:line="252" w:lineRule="auto"/>
              <w:jc w:val="center"/>
            </w:pPr>
            <w:r>
              <w:rPr>
                <w:rFonts w:ascii="Times New Roman" w:hAnsi="Times New Roman"/>
                <w:b w:val="0"/>
                <w:i w:val="0"/>
                <w:color w:val="000000"/>
                <w:sz w:val="16"/>
              </w:rPr>
              <w:t>-0.4172</w:t>
            </w:r>
          </w:p>
        </w:tc>
        <w:tc>
          <w:tcPr>
            <w:tcW w:type="dxa" w:w="936"/>
            <w:vAlign w:val="center"/>
          </w:tcPr>
          <w:p>
            <w:pPr>
              <w:spacing w:before="0" w:after="0" w:line="252" w:lineRule="auto"/>
              <w:jc w:val="center"/>
            </w:pPr>
            <w:r>
              <w:rPr>
                <w:rFonts w:ascii="Times New Roman" w:hAnsi="Times New Roman"/>
                <w:b w:val="0"/>
                <w:i w:val="0"/>
                <w:color w:val="000000"/>
                <w:sz w:val="16"/>
              </w:rPr>
              <w:t>+0.5598</w:t>
            </w:r>
          </w:p>
        </w:tc>
        <w:tc>
          <w:tcPr>
            <w:tcW w:type="dxa" w:w="936"/>
            <w:vAlign w:val="center"/>
          </w:tcPr>
          <w:p>
            <w:pPr>
              <w:spacing w:before="0" w:after="0" w:line="252" w:lineRule="auto"/>
              <w:jc w:val="center"/>
            </w:pPr>
            <w:r>
              <w:rPr>
                <w:rFonts w:ascii="Times New Roman" w:hAnsi="Times New Roman"/>
                <w:b w:val="0"/>
                <w:i w:val="0"/>
                <w:color w:val="000000"/>
                <w:sz w:val="16"/>
              </w:rPr>
              <w:t>-0.8420</w:t>
            </w:r>
          </w:p>
        </w:tc>
        <w:tc>
          <w:tcPr>
            <w:tcW w:type="dxa" w:w="936"/>
            <w:vAlign w:val="center"/>
          </w:tcPr>
          <w:p>
            <w:pPr>
              <w:spacing w:before="0" w:after="0" w:line="252" w:lineRule="auto"/>
              <w:jc w:val="center"/>
            </w:pPr>
            <w:r>
              <w:rPr>
                <w:rFonts w:ascii="Times New Roman" w:hAnsi="Times New Roman"/>
                <w:b w:val="0"/>
                <w:i w:val="0"/>
                <w:color w:val="000000"/>
                <w:sz w:val="16"/>
              </w:rPr>
              <w:t>1.0000</w:t>
            </w:r>
          </w:p>
        </w:tc>
        <w:tc>
          <w:tcPr>
            <w:tcW w:type="dxa" w:w="1742"/>
            <w:vAlign w:val="center"/>
          </w:tcPr>
          <w:p>
            <w:pPr>
              <w:spacing w:before="0" w:after="0" w:line="252" w:lineRule="auto"/>
              <w:jc w:val="left"/>
            </w:pPr>
            <w:r>
              <w:rPr>
                <w:rFonts w:ascii="Times New Roman" w:hAnsi="Times New Roman"/>
                <w:b w:val="0"/>
                <w:i w:val="0"/>
                <w:color w:val="000000"/>
                <w:sz w:val="16"/>
              </w:rPr>
              <w:t>Perfil de alta liquidez con saldos promedio superiores a 69,000 CZK</w:t>
            </w:r>
          </w:p>
        </w:tc>
      </w:tr>
    </w:tbl>
    <w:p>
      <w:pPr>
        <w:spacing w:before="0" w:after="120"/>
      </w:pPr>
    </w:p>
    <w:p>
      <w:pPr>
        <w:keepNext/>
        <w:spacing w:before="200" w:after="60"/>
        <w:jc w:val="center"/>
      </w:pPr>
      <w:r>
        <w:drawing>
          <wp:inline xmlns:a="http://schemas.openxmlformats.org/drawingml/2006/main" xmlns:pic="http://schemas.openxmlformats.org/drawingml/2006/picture">
            <wp:extent cx="4389120" cy="3291840"/>
            <wp:docPr id="11" name="Picture 11"/>
            <wp:cNvGraphicFramePr>
              <a:graphicFrameLocks noChangeAspect="1"/>
            </wp:cNvGraphicFramePr>
            <a:graphic>
              <a:graphicData uri="http://schemas.openxmlformats.org/drawingml/2006/picture">
                <pic:pic>
                  <pic:nvPicPr>
                    <pic:cNvPr id="0" name="fig_4b_user_to_user.png"/>
                    <pic:cNvPicPr/>
                  </pic:nvPicPr>
                  <pic:blipFill>
                    <a:blip r:embed="rId21"/>
                    <a:stretch>
                      <a:fillRect/>
                    </a:stretch>
                  </pic:blipFill>
                  <pic:spPr>
                    <a:xfrm>
                      <a:off x="0" y="0"/>
                      <a:ext cx="4389120" cy="3291840"/>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11:</w:t>
      </w:r>
      <w:r>
        <w:rPr>
          <w:rFonts w:ascii="Times New Roman" w:hAnsi="Times New Roman"/>
          <w:sz w:val="20"/>
        </w:rPr>
        <w:t xml:space="preserve"> Similitud Coseno Usuario a Usuario entre Titulares Activos.</w:t>
      </w:r>
    </w:p>
    <w:p>
      <w:pPr>
        <w:spacing w:line="276" w:lineRule="auto" w:before="0" w:after="90"/>
        <w:jc w:val="both"/>
      </w:pPr>
      <w:r>
        <w:rPr>
          <w:rFonts w:ascii="Times New Roman" w:hAnsi="Times New Roman"/>
          <w:b w:val="0"/>
          <w:i w:val="0"/>
          <w:color w:val="000000"/>
          <w:sz w:val="22"/>
        </w:rPr>
        <w:t>Interpretación analítica y recomendación de negocio: La alta correlación entre Cliente #2 y Cliente #107 (+0.9902) confirma la viabilidad de transferir sugerencias comerciales entre gemelos comportamentales maduros. Asimismo, la divergencia pronunciada con Cliente #19 (-0.9455) previene ofertar productos de consumo acelerado a clientes patrimoniales pasivos.</w:t>
      </w:r>
    </w:p>
    <w:p>
      <w:pPr>
        <w:keepNext/>
        <w:spacing w:before="120" w:after="40"/>
        <w:jc w:val="left"/>
      </w:pPr>
      <w:r>
        <w:rPr>
          <w:rFonts w:ascii="Times New Roman" w:hAnsi="Times New Roman"/>
          <w:b/>
          <w:i w:val="0"/>
          <w:color w:val="000000"/>
          <w:sz w:val="22"/>
        </w:rPr>
        <w:t>Modelo 4C: Correlación de Pearson Multivariante de Perfil Financiero</w:t>
      </w:r>
    </w:p>
    <w:p>
      <w:pPr>
        <w:spacing w:line="276" w:lineRule="auto" w:before="0" w:after="90"/>
        <w:jc w:val="both"/>
      </w:pPr>
      <w:r>
        <w:rPr>
          <w:rFonts w:ascii="Times New Roman" w:hAnsi="Times New Roman"/>
          <w:b w:val="0"/>
          <w:i w:val="0"/>
          <w:color w:val="000000"/>
          <w:sz w:val="22"/>
        </w:rPr>
        <w:t>Fundamento teórico y formulación: Evalúa la interdependencia lineal entre variables sociodemográficas y financieras de los 5,369 clientes:</w:t>
      </w:r>
    </w:p>
    <w:p>
      <w:pPr>
        <w:keepNext/>
        <w:spacing w:before="80" w:after="80"/>
        <w:jc w:val="center"/>
      </w:pPr>
      <m:oMathPara>
        <m:oMath>
          <m:r>
            <m:t>ρ(X,Y)=</m:t>
          </m:r>
          <m:f>
            <m:fPr>
              <m:type m:val="bar"/>
            </m:fPr>
            <m:num>
              <m:r>
                <m:rPr>
                  <m:nor/>
                </m:rPr>
                <m:t>Cov</m:t>
              </m:r>
              <m:r>
                <m:t>(X,Y)</m:t>
              </m:r>
            </m:num>
            <m:den>
              <m:sSub>
                <m:e>
                  <m:r>
                    <m:t>σ</m:t>
                  </m:r>
                </m:e>
                <m:sub>
                  <m:r>
                    <m:t>X</m:t>
                  </m:r>
                </m:sub>
              </m:sSub>
              <m:sSub>
                <m:e>
                  <m:r>
                    <m:t>σ</m:t>
                  </m:r>
                </m:e>
                <m:sub>
                  <m:r>
                    <m:t>Y</m:t>
                  </m:r>
                </m:sub>
              </m:sSub>
            </m:den>
          </m:f>
        </m:oMath>
      </m:oMathPara>
    </w:p>
    <w:p>
      <w:pPr>
        <w:spacing w:line="276" w:lineRule="auto" w:before="0" w:after="90"/>
        <w:jc w:val="both"/>
      </w:pPr>
      <w:r>
        <w:rPr>
          <w:rFonts w:ascii="Times New Roman" w:hAnsi="Times New Roman"/>
          <w:b w:val="0"/>
          <w:i w:val="0"/>
          <w:color w:val="000000"/>
          <w:sz w:val="22"/>
        </w:rPr>
        <w:t>La Tabla 16 presenta la matriz multivariante de perfil de clientes:</w:t>
      </w:r>
    </w:p>
    <w:p>
      <w:pPr>
        <w:keepNext/>
        <w:spacing w:before="200" w:after="80"/>
        <w:jc w:val="center"/>
      </w:pPr>
      <w:r>
        <w:rPr>
          <w:rFonts w:ascii="Times New Roman" w:hAnsi="Times New Roman"/>
          <w:b/>
          <w:i w:val="0"/>
          <w:color w:val="000000"/>
          <w:sz w:val="21"/>
        </w:rPr>
        <w:t>Tabla 16:</w:t>
      </w:r>
      <w:r>
        <w:rPr>
          <w:rFonts w:ascii="Times New Roman" w:hAnsi="Times New Roman"/>
          <w:sz w:val="21"/>
        </w:rPr>
        <w:t xml:space="preserve"> Matriz de Correlación Multivariante de Perfil Financiero y Demográfico de Clientes.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257"/>
        <w:gridCol w:w="1257"/>
        <w:gridCol w:w="1257"/>
        <w:gridCol w:w="1257"/>
        <w:gridCol w:w="1257"/>
        <w:gridCol w:w="1257"/>
        <w:gridCol w:w="1257"/>
      </w:tblGrid>
      <w:tr>
        <w:trPr>
          <w:tblHeader/>
          <w:cantSplit/>
        </w:trPr>
        <w:tc>
          <w:tcPr>
            <w:tcW w:type="dxa" w:w="1443"/>
            <w:vAlign w:val="center"/>
            <w:tcBorders>
              <w:bottom w:val="single" w:sz="6" w:space="0" w:color="000000"/>
            </w:tcBorders>
          </w:tcPr>
          <w:p>
            <w:pPr>
              <w:spacing w:before="0" w:after="0" w:line="252" w:lineRule="auto"/>
              <w:jc w:val="center"/>
            </w:pPr>
            <w:r>
              <w:rPr>
                <w:rFonts w:ascii="Times New Roman" w:hAnsi="Times New Roman"/>
                <w:b/>
                <w:i w:val="0"/>
                <w:color w:val="000000"/>
                <w:sz w:val="16"/>
              </w:rPr>
              <w:t>Variable de Perfil</w:t>
            </w:r>
          </w:p>
        </w:tc>
        <w:tc>
          <w:tcPr>
            <w:tcW w:type="dxa" w:w="754"/>
            <w:vAlign w:val="center"/>
            <w:tcBorders>
              <w:bottom w:val="single" w:sz="6" w:space="0" w:color="000000"/>
            </w:tcBorders>
          </w:tcPr>
          <w:p>
            <w:pPr>
              <w:spacing w:before="0" w:after="0" w:line="252" w:lineRule="auto"/>
              <w:jc w:val="center"/>
            </w:pPr>
            <w:r>
              <w:rPr>
                <w:rFonts w:ascii="Times New Roman" w:hAnsi="Times New Roman"/>
                <w:b/>
                <w:i w:val="0"/>
                <w:color w:val="000000"/>
                <w:sz w:val="16"/>
              </w:rPr>
              <w:t>Edad</w:t>
            </w:r>
          </w:p>
        </w:tc>
        <w:tc>
          <w:tcPr>
            <w:tcW w:type="dxa" w:w="1343"/>
            <w:vAlign w:val="center"/>
            <w:tcBorders>
              <w:bottom w:val="single" w:sz="6" w:space="0" w:color="000000"/>
            </w:tcBorders>
          </w:tcPr>
          <w:p>
            <w:pPr>
              <w:spacing w:before="0" w:after="0" w:line="252" w:lineRule="auto"/>
              <w:jc w:val="center"/>
            </w:pPr>
            <w:r>
              <w:rPr>
                <w:rFonts w:ascii="Times New Roman" w:hAnsi="Times New Roman"/>
                <w:b/>
                <w:i w:val="0"/>
                <w:color w:val="000000"/>
                <w:sz w:val="16"/>
              </w:rPr>
              <w:t>Salario Distrital</w:t>
            </w:r>
          </w:p>
        </w:tc>
        <w:tc>
          <w:tcPr>
            <w:tcW w:type="dxa" w:w="1183"/>
            <w:vAlign w:val="center"/>
            <w:tcBorders>
              <w:bottom w:val="single" w:sz="6" w:space="0" w:color="000000"/>
            </w:tcBorders>
          </w:tcPr>
          <w:p>
            <w:pPr>
              <w:spacing w:before="0" w:after="0" w:line="252" w:lineRule="auto"/>
              <w:jc w:val="center"/>
            </w:pPr>
            <w:r>
              <w:rPr>
                <w:rFonts w:ascii="Times New Roman" w:hAnsi="Times New Roman"/>
                <w:b/>
                <w:i w:val="0"/>
                <w:color w:val="000000"/>
                <w:sz w:val="16"/>
              </w:rPr>
              <w:t>Saldo Promedio</w:t>
            </w:r>
          </w:p>
        </w:tc>
        <w:tc>
          <w:tcPr>
            <w:tcW w:type="dxa" w:w="1394"/>
            <w:vAlign w:val="center"/>
            <w:tcBorders>
              <w:bottom w:val="single" w:sz="6" w:space="0" w:color="000000"/>
            </w:tcBorders>
          </w:tcPr>
          <w:p>
            <w:pPr>
              <w:spacing w:before="0" w:after="0" w:line="252" w:lineRule="auto"/>
              <w:jc w:val="center"/>
            </w:pPr>
            <w:r>
              <w:rPr>
                <w:rFonts w:ascii="Times New Roman" w:hAnsi="Times New Roman"/>
                <w:b/>
                <w:i w:val="0"/>
                <w:color w:val="000000"/>
                <w:sz w:val="16"/>
              </w:rPr>
              <w:t>Transacciones (Tx)</w:t>
            </w:r>
          </w:p>
        </w:tc>
        <w:tc>
          <w:tcPr>
            <w:tcW w:type="dxa" w:w="1238"/>
            <w:vAlign w:val="center"/>
            <w:tcBorders>
              <w:bottom w:val="single" w:sz="6" w:space="0" w:color="000000"/>
            </w:tcBorders>
          </w:tcPr>
          <w:p>
            <w:pPr>
              <w:spacing w:before="0" w:after="0" w:line="252" w:lineRule="auto"/>
              <w:jc w:val="center"/>
            </w:pPr>
            <w:r>
              <w:rPr>
                <w:rFonts w:ascii="Times New Roman" w:hAnsi="Times New Roman"/>
                <w:b/>
                <w:i w:val="0"/>
                <w:color w:val="000000"/>
                <w:sz w:val="16"/>
              </w:rPr>
              <w:t>Órdenes Activas</w:t>
            </w:r>
          </w:p>
        </w:tc>
        <w:tc>
          <w:tcPr>
            <w:tcW w:type="dxa" w:w="1443"/>
            <w:vAlign w:val="center"/>
            <w:tcBorders>
              <w:bottom w:val="single" w:sz="6" w:space="0" w:color="000000"/>
            </w:tcBorders>
          </w:tcPr>
          <w:p>
            <w:pPr>
              <w:spacing w:before="0" w:after="0" w:line="252" w:lineRule="auto"/>
              <w:jc w:val="center"/>
            </w:pPr>
            <w:r>
              <w:rPr>
                <w:rFonts w:ascii="Times New Roman" w:hAnsi="Times New Roman"/>
                <w:b/>
                <w:i w:val="0"/>
                <w:color w:val="000000"/>
                <w:sz w:val="16"/>
              </w:rPr>
              <w:t>Propensión Préstamo</w:t>
            </w:r>
          </w:p>
        </w:tc>
      </w:tr>
      <w:tr>
        <w:trPr>
          <w:cantSplit/>
        </w:trPr>
        <w:tc>
          <w:tcPr>
            <w:tcW w:type="dxa" w:w="1443"/>
            <w:vAlign w:val="center"/>
          </w:tcPr>
          <w:p>
            <w:pPr>
              <w:spacing w:before="0" w:after="0" w:line="252" w:lineRule="auto"/>
              <w:jc w:val="left"/>
            </w:pPr>
            <w:r>
              <w:rPr>
                <w:rFonts w:ascii="Times New Roman" w:hAnsi="Times New Roman"/>
                <w:b w:val="0"/>
                <w:i w:val="0"/>
                <w:color w:val="000000"/>
                <w:sz w:val="16"/>
              </w:rPr>
              <w:t>Edad del Cliente</w:t>
            </w:r>
          </w:p>
        </w:tc>
        <w:tc>
          <w:tcPr>
            <w:tcW w:type="dxa" w:w="754"/>
            <w:vAlign w:val="center"/>
          </w:tcPr>
          <w:p>
            <w:pPr>
              <w:spacing w:before="0" w:after="0" w:line="252" w:lineRule="auto"/>
              <w:jc w:val="center"/>
            </w:pPr>
            <w:r>
              <w:rPr>
                <w:rFonts w:ascii="Times New Roman" w:hAnsi="Times New Roman"/>
                <w:b w:val="0"/>
                <w:i w:val="0"/>
                <w:color w:val="000000"/>
                <w:sz w:val="16"/>
              </w:rPr>
              <w:t>1.0000</w:t>
            </w:r>
          </w:p>
        </w:tc>
        <w:tc>
          <w:tcPr>
            <w:tcW w:type="dxa" w:w="1343"/>
            <w:vAlign w:val="center"/>
          </w:tcPr>
          <w:p>
            <w:pPr>
              <w:spacing w:before="0" w:after="0" w:line="252" w:lineRule="auto"/>
              <w:jc w:val="center"/>
            </w:pPr>
            <w:r>
              <w:rPr>
                <w:rFonts w:ascii="Times New Roman" w:hAnsi="Times New Roman"/>
                <w:b w:val="0"/>
                <w:i w:val="0"/>
                <w:color w:val="000000"/>
                <w:sz w:val="16"/>
              </w:rPr>
              <w:t>-0.0023</w:t>
            </w:r>
          </w:p>
        </w:tc>
        <w:tc>
          <w:tcPr>
            <w:tcW w:type="dxa" w:w="1183"/>
            <w:vAlign w:val="center"/>
          </w:tcPr>
          <w:p>
            <w:pPr>
              <w:spacing w:before="0" w:after="0" w:line="252" w:lineRule="auto"/>
              <w:jc w:val="center"/>
            </w:pPr>
            <w:r>
              <w:rPr>
                <w:rFonts w:ascii="Times New Roman" w:hAnsi="Times New Roman"/>
                <w:b w:val="0"/>
                <w:i w:val="0"/>
                <w:color w:val="000000"/>
                <w:sz w:val="16"/>
              </w:rPr>
              <w:t>-0.2448</w:t>
            </w:r>
          </w:p>
        </w:tc>
        <w:tc>
          <w:tcPr>
            <w:tcW w:type="dxa" w:w="1394"/>
            <w:vAlign w:val="center"/>
          </w:tcPr>
          <w:p>
            <w:pPr>
              <w:spacing w:before="0" w:after="0" w:line="252" w:lineRule="auto"/>
              <w:jc w:val="center"/>
            </w:pPr>
            <w:r>
              <w:rPr>
                <w:rFonts w:ascii="Times New Roman" w:hAnsi="Times New Roman"/>
                <w:b w:val="0"/>
                <w:i w:val="0"/>
                <w:color w:val="000000"/>
                <w:sz w:val="16"/>
              </w:rPr>
              <w:t>-0.0979</w:t>
            </w:r>
          </w:p>
        </w:tc>
        <w:tc>
          <w:tcPr>
            <w:tcW w:type="dxa" w:w="1238"/>
            <w:vAlign w:val="center"/>
          </w:tcPr>
          <w:p>
            <w:pPr>
              <w:spacing w:before="0" w:after="0" w:line="252" w:lineRule="auto"/>
              <w:jc w:val="center"/>
            </w:pPr>
            <w:r>
              <w:rPr>
                <w:rFonts w:ascii="Times New Roman" w:hAnsi="Times New Roman"/>
                <w:b w:val="0"/>
                <w:i w:val="0"/>
                <w:color w:val="000000"/>
                <w:sz w:val="16"/>
              </w:rPr>
              <w:t>-0.0457</w:t>
            </w:r>
          </w:p>
        </w:tc>
        <w:tc>
          <w:tcPr>
            <w:tcW w:type="dxa" w:w="1443"/>
            <w:vAlign w:val="center"/>
          </w:tcPr>
          <w:p>
            <w:pPr>
              <w:spacing w:before="0" w:after="0" w:line="252" w:lineRule="auto"/>
              <w:jc w:val="center"/>
            </w:pPr>
            <w:r>
              <w:rPr>
                <w:rFonts w:ascii="Times New Roman" w:hAnsi="Times New Roman"/>
                <w:b w:val="0"/>
                <w:i w:val="0"/>
                <w:color w:val="000000"/>
                <w:sz w:val="16"/>
              </w:rPr>
              <w:t>-0.1082</w:t>
            </w:r>
          </w:p>
        </w:tc>
      </w:tr>
      <w:tr>
        <w:trPr>
          <w:cantSplit/>
        </w:trPr>
        <w:tc>
          <w:tcPr>
            <w:tcW w:type="dxa" w:w="1443"/>
            <w:vAlign w:val="center"/>
          </w:tcPr>
          <w:p>
            <w:pPr>
              <w:spacing w:before="0" w:after="0" w:line="252" w:lineRule="auto"/>
              <w:jc w:val="left"/>
            </w:pPr>
            <w:r>
              <w:rPr>
                <w:rFonts w:ascii="Times New Roman" w:hAnsi="Times New Roman"/>
                <w:b w:val="0"/>
                <w:i w:val="0"/>
                <w:color w:val="000000"/>
                <w:sz w:val="16"/>
              </w:rPr>
              <w:t>Salario Distrital</w:t>
            </w:r>
          </w:p>
        </w:tc>
        <w:tc>
          <w:tcPr>
            <w:tcW w:type="dxa" w:w="754"/>
            <w:vAlign w:val="center"/>
          </w:tcPr>
          <w:p>
            <w:pPr>
              <w:spacing w:before="0" w:after="0" w:line="252" w:lineRule="auto"/>
              <w:jc w:val="center"/>
            </w:pPr>
            <w:r>
              <w:rPr>
                <w:rFonts w:ascii="Times New Roman" w:hAnsi="Times New Roman"/>
                <w:b w:val="0"/>
                <w:i w:val="0"/>
                <w:color w:val="000000"/>
                <w:sz w:val="16"/>
              </w:rPr>
              <w:t>-0.0023</w:t>
            </w:r>
          </w:p>
        </w:tc>
        <w:tc>
          <w:tcPr>
            <w:tcW w:type="dxa" w:w="1343"/>
            <w:vAlign w:val="center"/>
          </w:tcPr>
          <w:p>
            <w:pPr>
              <w:spacing w:before="0" w:after="0" w:line="252" w:lineRule="auto"/>
              <w:jc w:val="center"/>
            </w:pPr>
            <w:r>
              <w:rPr>
                <w:rFonts w:ascii="Times New Roman" w:hAnsi="Times New Roman"/>
                <w:b w:val="0"/>
                <w:i w:val="0"/>
                <w:color w:val="000000"/>
                <w:sz w:val="16"/>
              </w:rPr>
              <w:t>1.0000</w:t>
            </w:r>
          </w:p>
        </w:tc>
        <w:tc>
          <w:tcPr>
            <w:tcW w:type="dxa" w:w="1183"/>
            <w:vAlign w:val="center"/>
          </w:tcPr>
          <w:p>
            <w:pPr>
              <w:spacing w:before="0" w:after="0" w:line="252" w:lineRule="auto"/>
              <w:jc w:val="center"/>
            </w:pPr>
            <w:r>
              <w:rPr>
                <w:rFonts w:ascii="Times New Roman" w:hAnsi="Times New Roman"/>
                <w:b w:val="0"/>
                <w:i w:val="0"/>
                <w:color w:val="000000"/>
                <w:sz w:val="16"/>
              </w:rPr>
              <w:t>+0.0134</w:t>
            </w:r>
          </w:p>
        </w:tc>
        <w:tc>
          <w:tcPr>
            <w:tcW w:type="dxa" w:w="1394"/>
            <w:vAlign w:val="center"/>
          </w:tcPr>
          <w:p>
            <w:pPr>
              <w:spacing w:before="0" w:after="0" w:line="252" w:lineRule="auto"/>
              <w:jc w:val="center"/>
            </w:pPr>
            <w:r>
              <w:rPr>
                <w:rFonts w:ascii="Times New Roman" w:hAnsi="Times New Roman"/>
                <w:b w:val="0"/>
                <w:i w:val="0"/>
                <w:color w:val="000000"/>
                <w:sz w:val="16"/>
              </w:rPr>
              <w:t>+0.0100</w:t>
            </w:r>
          </w:p>
        </w:tc>
        <w:tc>
          <w:tcPr>
            <w:tcW w:type="dxa" w:w="1238"/>
            <w:vAlign w:val="center"/>
          </w:tcPr>
          <w:p>
            <w:pPr>
              <w:spacing w:before="0" w:after="0" w:line="252" w:lineRule="auto"/>
              <w:jc w:val="center"/>
            </w:pPr>
            <w:r>
              <w:rPr>
                <w:rFonts w:ascii="Times New Roman" w:hAnsi="Times New Roman"/>
                <w:b w:val="0"/>
                <w:i w:val="0"/>
                <w:color w:val="000000"/>
                <w:sz w:val="16"/>
              </w:rPr>
              <w:t>+0.0054</w:t>
            </w:r>
          </w:p>
        </w:tc>
        <w:tc>
          <w:tcPr>
            <w:tcW w:type="dxa" w:w="1443"/>
            <w:vAlign w:val="center"/>
          </w:tcPr>
          <w:p>
            <w:pPr>
              <w:spacing w:before="0" w:after="0" w:line="252" w:lineRule="auto"/>
              <w:jc w:val="center"/>
            </w:pPr>
            <w:r>
              <w:rPr>
                <w:rFonts w:ascii="Times New Roman" w:hAnsi="Times New Roman"/>
                <w:b w:val="0"/>
                <w:i w:val="0"/>
                <w:color w:val="000000"/>
                <w:sz w:val="16"/>
              </w:rPr>
              <w:t>-0.0119</w:t>
            </w:r>
          </w:p>
        </w:tc>
      </w:tr>
      <w:tr>
        <w:trPr>
          <w:cantSplit/>
        </w:trPr>
        <w:tc>
          <w:tcPr>
            <w:tcW w:type="dxa" w:w="1443"/>
            <w:vAlign w:val="center"/>
          </w:tcPr>
          <w:p>
            <w:pPr>
              <w:spacing w:before="0" w:after="0" w:line="252" w:lineRule="auto"/>
              <w:jc w:val="left"/>
            </w:pPr>
            <w:r>
              <w:rPr>
                <w:rFonts w:ascii="Times New Roman" w:hAnsi="Times New Roman"/>
                <w:b w:val="0"/>
                <w:i w:val="0"/>
                <w:color w:val="000000"/>
                <w:sz w:val="16"/>
              </w:rPr>
              <w:t>Saldo Promedio</w:t>
            </w:r>
          </w:p>
        </w:tc>
        <w:tc>
          <w:tcPr>
            <w:tcW w:type="dxa" w:w="754"/>
            <w:vAlign w:val="center"/>
          </w:tcPr>
          <w:p>
            <w:pPr>
              <w:spacing w:before="0" w:after="0" w:line="252" w:lineRule="auto"/>
              <w:jc w:val="center"/>
            </w:pPr>
            <w:r>
              <w:rPr>
                <w:rFonts w:ascii="Times New Roman" w:hAnsi="Times New Roman"/>
                <w:b w:val="0"/>
                <w:i w:val="0"/>
                <w:color w:val="000000"/>
                <w:sz w:val="16"/>
              </w:rPr>
              <w:t>-0.2448</w:t>
            </w:r>
          </w:p>
        </w:tc>
        <w:tc>
          <w:tcPr>
            <w:tcW w:type="dxa" w:w="1343"/>
            <w:vAlign w:val="center"/>
          </w:tcPr>
          <w:p>
            <w:pPr>
              <w:spacing w:before="0" w:after="0" w:line="252" w:lineRule="auto"/>
              <w:jc w:val="center"/>
            </w:pPr>
            <w:r>
              <w:rPr>
                <w:rFonts w:ascii="Times New Roman" w:hAnsi="Times New Roman"/>
                <w:b w:val="0"/>
                <w:i w:val="0"/>
                <w:color w:val="000000"/>
                <w:sz w:val="16"/>
              </w:rPr>
              <w:t>+0.0134</w:t>
            </w:r>
          </w:p>
        </w:tc>
        <w:tc>
          <w:tcPr>
            <w:tcW w:type="dxa" w:w="1183"/>
            <w:vAlign w:val="center"/>
          </w:tcPr>
          <w:p>
            <w:pPr>
              <w:spacing w:before="0" w:after="0" w:line="252" w:lineRule="auto"/>
              <w:jc w:val="center"/>
            </w:pPr>
            <w:r>
              <w:rPr>
                <w:rFonts w:ascii="Times New Roman" w:hAnsi="Times New Roman"/>
                <w:b w:val="0"/>
                <w:i w:val="0"/>
                <w:color w:val="000000"/>
                <w:sz w:val="16"/>
              </w:rPr>
              <w:t>1.0000</w:t>
            </w:r>
          </w:p>
        </w:tc>
        <w:tc>
          <w:tcPr>
            <w:tcW w:type="dxa" w:w="1394"/>
            <w:vAlign w:val="center"/>
          </w:tcPr>
          <w:p>
            <w:pPr>
              <w:spacing w:before="0" w:after="0" w:line="252" w:lineRule="auto"/>
              <w:jc w:val="center"/>
            </w:pPr>
            <w:r>
              <w:rPr>
                <w:rFonts w:ascii="Times New Roman" w:hAnsi="Times New Roman"/>
                <w:b w:val="0"/>
                <w:i w:val="0"/>
                <w:color w:val="000000"/>
                <w:sz w:val="16"/>
              </w:rPr>
              <w:t>+0.2258</w:t>
            </w:r>
          </w:p>
        </w:tc>
        <w:tc>
          <w:tcPr>
            <w:tcW w:type="dxa" w:w="1238"/>
            <w:vAlign w:val="center"/>
          </w:tcPr>
          <w:p>
            <w:pPr>
              <w:spacing w:before="0" w:after="0" w:line="252" w:lineRule="auto"/>
              <w:jc w:val="center"/>
            </w:pPr>
            <w:r>
              <w:rPr>
                <w:rFonts w:ascii="Times New Roman" w:hAnsi="Times New Roman"/>
                <w:b w:val="0"/>
                <w:i w:val="0"/>
                <w:color w:val="000000"/>
                <w:sz w:val="16"/>
              </w:rPr>
              <w:t>+0.0378</w:t>
            </w:r>
          </w:p>
        </w:tc>
        <w:tc>
          <w:tcPr>
            <w:tcW w:type="dxa" w:w="1443"/>
            <w:vAlign w:val="center"/>
          </w:tcPr>
          <w:p>
            <w:pPr>
              <w:spacing w:before="0" w:after="0" w:line="252" w:lineRule="auto"/>
              <w:jc w:val="center"/>
            </w:pPr>
            <w:r>
              <w:rPr>
                <w:rFonts w:ascii="Times New Roman" w:hAnsi="Times New Roman"/>
                <w:b w:val="0"/>
                <w:i w:val="0"/>
                <w:color w:val="000000"/>
                <w:sz w:val="16"/>
              </w:rPr>
              <w:t>+0.2304</w:t>
            </w:r>
          </w:p>
        </w:tc>
      </w:tr>
      <w:tr>
        <w:trPr>
          <w:cantSplit/>
        </w:trPr>
        <w:tc>
          <w:tcPr>
            <w:tcW w:type="dxa" w:w="1443"/>
            <w:vAlign w:val="center"/>
          </w:tcPr>
          <w:p>
            <w:pPr>
              <w:spacing w:before="0" w:after="0" w:line="252" w:lineRule="auto"/>
              <w:jc w:val="left"/>
            </w:pPr>
            <w:r>
              <w:rPr>
                <w:rFonts w:ascii="Times New Roman" w:hAnsi="Times New Roman"/>
                <w:b w:val="0"/>
                <w:i w:val="0"/>
                <w:color w:val="000000"/>
                <w:sz w:val="16"/>
              </w:rPr>
              <w:t>Transacciones (Tx)</w:t>
            </w:r>
          </w:p>
        </w:tc>
        <w:tc>
          <w:tcPr>
            <w:tcW w:type="dxa" w:w="754"/>
            <w:vAlign w:val="center"/>
          </w:tcPr>
          <w:p>
            <w:pPr>
              <w:spacing w:before="0" w:after="0" w:line="252" w:lineRule="auto"/>
              <w:jc w:val="center"/>
            </w:pPr>
            <w:r>
              <w:rPr>
                <w:rFonts w:ascii="Times New Roman" w:hAnsi="Times New Roman"/>
                <w:b w:val="0"/>
                <w:i w:val="0"/>
                <w:color w:val="000000"/>
                <w:sz w:val="16"/>
              </w:rPr>
              <w:t>-0.0979</w:t>
            </w:r>
          </w:p>
        </w:tc>
        <w:tc>
          <w:tcPr>
            <w:tcW w:type="dxa" w:w="1343"/>
            <w:vAlign w:val="center"/>
          </w:tcPr>
          <w:p>
            <w:pPr>
              <w:spacing w:before="0" w:after="0" w:line="252" w:lineRule="auto"/>
              <w:jc w:val="center"/>
            </w:pPr>
            <w:r>
              <w:rPr>
                <w:rFonts w:ascii="Times New Roman" w:hAnsi="Times New Roman"/>
                <w:b w:val="0"/>
                <w:i w:val="0"/>
                <w:color w:val="000000"/>
                <w:sz w:val="16"/>
              </w:rPr>
              <w:t>+0.0100</w:t>
            </w:r>
          </w:p>
        </w:tc>
        <w:tc>
          <w:tcPr>
            <w:tcW w:type="dxa" w:w="1183"/>
            <w:vAlign w:val="center"/>
          </w:tcPr>
          <w:p>
            <w:pPr>
              <w:spacing w:before="0" w:after="0" w:line="252" w:lineRule="auto"/>
              <w:jc w:val="center"/>
            </w:pPr>
            <w:r>
              <w:rPr>
                <w:rFonts w:ascii="Times New Roman" w:hAnsi="Times New Roman"/>
                <w:b w:val="0"/>
                <w:i w:val="0"/>
                <w:color w:val="000000"/>
                <w:sz w:val="16"/>
              </w:rPr>
              <w:t>+0.2258</w:t>
            </w:r>
          </w:p>
        </w:tc>
        <w:tc>
          <w:tcPr>
            <w:tcW w:type="dxa" w:w="1394"/>
            <w:vAlign w:val="center"/>
          </w:tcPr>
          <w:p>
            <w:pPr>
              <w:spacing w:before="0" w:after="0" w:line="252" w:lineRule="auto"/>
              <w:jc w:val="center"/>
            </w:pPr>
            <w:r>
              <w:rPr>
                <w:rFonts w:ascii="Times New Roman" w:hAnsi="Times New Roman"/>
                <w:b w:val="0"/>
                <w:i w:val="0"/>
                <w:color w:val="000000"/>
                <w:sz w:val="16"/>
              </w:rPr>
              <w:t>1.0000</w:t>
            </w:r>
          </w:p>
        </w:tc>
        <w:tc>
          <w:tcPr>
            <w:tcW w:type="dxa" w:w="1238"/>
            <w:vAlign w:val="center"/>
          </w:tcPr>
          <w:p>
            <w:pPr>
              <w:spacing w:before="0" w:after="0" w:line="252" w:lineRule="auto"/>
              <w:jc w:val="center"/>
            </w:pPr>
            <w:r>
              <w:rPr>
                <w:rFonts w:ascii="Times New Roman" w:hAnsi="Times New Roman"/>
                <w:b w:val="0"/>
                <w:i w:val="0"/>
                <w:color w:val="000000"/>
                <w:sz w:val="16"/>
              </w:rPr>
              <w:t>+0.4965</w:t>
            </w:r>
          </w:p>
        </w:tc>
        <w:tc>
          <w:tcPr>
            <w:tcW w:type="dxa" w:w="1443"/>
            <w:vAlign w:val="center"/>
          </w:tcPr>
          <w:p>
            <w:pPr>
              <w:spacing w:before="0" w:after="0" w:line="252" w:lineRule="auto"/>
              <w:jc w:val="center"/>
            </w:pPr>
            <w:r>
              <w:rPr>
                <w:rFonts w:ascii="Times New Roman" w:hAnsi="Times New Roman"/>
                <w:b w:val="0"/>
                <w:i w:val="0"/>
                <w:color w:val="000000"/>
                <w:sz w:val="16"/>
              </w:rPr>
              <w:t>+0.2217</w:t>
            </w:r>
          </w:p>
        </w:tc>
      </w:tr>
      <w:tr>
        <w:trPr>
          <w:cantSplit/>
        </w:trPr>
        <w:tc>
          <w:tcPr>
            <w:tcW w:type="dxa" w:w="1443"/>
            <w:vAlign w:val="center"/>
          </w:tcPr>
          <w:p>
            <w:pPr>
              <w:spacing w:before="0" w:after="0" w:line="252" w:lineRule="auto"/>
              <w:jc w:val="left"/>
            </w:pPr>
            <w:r>
              <w:rPr>
                <w:rFonts w:ascii="Times New Roman" w:hAnsi="Times New Roman"/>
                <w:b w:val="0"/>
                <w:i w:val="0"/>
                <w:color w:val="000000"/>
                <w:sz w:val="16"/>
              </w:rPr>
              <w:t>Órdenes Activas</w:t>
            </w:r>
          </w:p>
        </w:tc>
        <w:tc>
          <w:tcPr>
            <w:tcW w:type="dxa" w:w="754"/>
            <w:vAlign w:val="center"/>
          </w:tcPr>
          <w:p>
            <w:pPr>
              <w:spacing w:before="0" w:after="0" w:line="252" w:lineRule="auto"/>
              <w:jc w:val="center"/>
            </w:pPr>
            <w:r>
              <w:rPr>
                <w:rFonts w:ascii="Times New Roman" w:hAnsi="Times New Roman"/>
                <w:b w:val="0"/>
                <w:i w:val="0"/>
                <w:color w:val="000000"/>
                <w:sz w:val="16"/>
              </w:rPr>
              <w:t>-0.0457</w:t>
            </w:r>
          </w:p>
        </w:tc>
        <w:tc>
          <w:tcPr>
            <w:tcW w:type="dxa" w:w="1343"/>
            <w:vAlign w:val="center"/>
          </w:tcPr>
          <w:p>
            <w:pPr>
              <w:spacing w:before="0" w:after="0" w:line="252" w:lineRule="auto"/>
              <w:jc w:val="center"/>
            </w:pPr>
            <w:r>
              <w:rPr>
                <w:rFonts w:ascii="Times New Roman" w:hAnsi="Times New Roman"/>
                <w:b w:val="0"/>
                <w:i w:val="0"/>
                <w:color w:val="000000"/>
                <w:sz w:val="16"/>
              </w:rPr>
              <w:t>+0.0054</w:t>
            </w:r>
          </w:p>
        </w:tc>
        <w:tc>
          <w:tcPr>
            <w:tcW w:type="dxa" w:w="1183"/>
            <w:vAlign w:val="center"/>
          </w:tcPr>
          <w:p>
            <w:pPr>
              <w:spacing w:before="0" w:after="0" w:line="252" w:lineRule="auto"/>
              <w:jc w:val="center"/>
            </w:pPr>
            <w:r>
              <w:rPr>
                <w:rFonts w:ascii="Times New Roman" w:hAnsi="Times New Roman"/>
                <w:b w:val="0"/>
                <w:i w:val="0"/>
                <w:color w:val="000000"/>
                <w:sz w:val="16"/>
              </w:rPr>
              <w:t>+0.0378</w:t>
            </w:r>
          </w:p>
        </w:tc>
        <w:tc>
          <w:tcPr>
            <w:tcW w:type="dxa" w:w="1394"/>
            <w:vAlign w:val="center"/>
          </w:tcPr>
          <w:p>
            <w:pPr>
              <w:spacing w:before="0" w:after="0" w:line="252" w:lineRule="auto"/>
              <w:jc w:val="center"/>
            </w:pPr>
            <w:r>
              <w:rPr>
                <w:rFonts w:ascii="Times New Roman" w:hAnsi="Times New Roman"/>
                <w:b w:val="0"/>
                <w:i w:val="0"/>
                <w:color w:val="000000"/>
                <w:sz w:val="16"/>
              </w:rPr>
              <w:t>+0.4965</w:t>
            </w:r>
          </w:p>
        </w:tc>
        <w:tc>
          <w:tcPr>
            <w:tcW w:type="dxa" w:w="1238"/>
            <w:vAlign w:val="center"/>
          </w:tcPr>
          <w:p>
            <w:pPr>
              <w:spacing w:before="0" w:after="0" w:line="252" w:lineRule="auto"/>
              <w:jc w:val="center"/>
            </w:pPr>
            <w:r>
              <w:rPr>
                <w:rFonts w:ascii="Times New Roman" w:hAnsi="Times New Roman"/>
                <w:b w:val="0"/>
                <w:i w:val="0"/>
                <w:color w:val="000000"/>
                <w:sz w:val="16"/>
              </w:rPr>
              <w:t>1.0000</w:t>
            </w:r>
          </w:p>
        </w:tc>
        <w:tc>
          <w:tcPr>
            <w:tcW w:type="dxa" w:w="1443"/>
            <w:vAlign w:val="center"/>
          </w:tcPr>
          <w:p>
            <w:pPr>
              <w:spacing w:before="0" w:after="0" w:line="252" w:lineRule="auto"/>
              <w:jc w:val="center"/>
            </w:pPr>
            <w:r>
              <w:rPr>
                <w:rFonts w:ascii="Times New Roman" w:hAnsi="Times New Roman"/>
                <w:b w:val="0"/>
                <w:i w:val="0"/>
                <w:color w:val="000000"/>
                <w:sz w:val="16"/>
              </w:rPr>
              <w:t>+0.3375</w:t>
            </w:r>
          </w:p>
        </w:tc>
      </w:tr>
      <w:tr>
        <w:trPr>
          <w:cantSplit/>
        </w:trPr>
        <w:tc>
          <w:tcPr>
            <w:tcW w:type="dxa" w:w="1443"/>
            <w:vAlign w:val="center"/>
          </w:tcPr>
          <w:p>
            <w:pPr>
              <w:spacing w:before="0" w:after="0" w:line="252" w:lineRule="auto"/>
              <w:jc w:val="left"/>
            </w:pPr>
            <w:r>
              <w:rPr>
                <w:rFonts w:ascii="Times New Roman" w:hAnsi="Times New Roman"/>
                <w:b w:val="0"/>
                <w:i w:val="0"/>
                <w:color w:val="000000"/>
                <w:sz w:val="16"/>
              </w:rPr>
              <w:t>Propensión Préstamo</w:t>
            </w:r>
          </w:p>
        </w:tc>
        <w:tc>
          <w:tcPr>
            <w:tcW w:type="dxa" w:w="754"/>
            <w:vAlign w:val="center"/>
          </w:tcPr>
          <w:p>
            <w:pPr>
              <w:spacing w:before="0" w:after="0" w:line="252" w:lineRule="auto"/>
              <w:jc w:val="center"/>
            </w:pPr>
            <w:r>
              <w:rPr>
                <w:rFonts w:ascii="Times New Roman" w:hAnsi="Times New Roman"/>
                <w:b w:val="0"/>
                <w:i w:val="0"/>
                <w:color w:val="000000"/>
                <w:sz w:val="16"/>
              </w:rPr>
              <w:t>-0.1082</w:t>
            </w:r>
          </w:p>
        </w:tc>
        <w:tc>
          <w:tcPr>
            <w:tcW w:type="dxa" w:w="1343"/>
            <w:vAlign w:val="center"/>
          </w:tcPr>
          <w:p>
            <w:pPr>
              <w:spacing w:before="0" w:after="0" w:line="252" w:lineRule="auto"/>
              <w:jc w:val="center"/>
            </w:pPr>
            <w:r>
              <w:rPr>
                <w:rFonts w:ascii="Times New Roman" w:hAnsi="Times New Roman"/>
                <w:b w:val="0"/>
                <w:i w:val="0"/>
                <w:color w:val="000000"/>
                <w:sz w:val="16"/>
              </w:rPr>
              <w:t>-0.0119</w:t>
            </w:r>
          </w:p>
        </w:tc>
        <w:tc>
          <w:tcPr>
            <w:tcW w:type="dxa" w:w="1183"/>
            <w:vAlign w:val="center"/>
          </w:tcPr>
          <w:p>
            <w:pPr>
              <w:spacing w:before="0" w:after="0" w:line="252" w:lineRule="auto"/>
              <w:jc w:val="center"/>
            </w:pPr>
            <w:r>
              <w:rPr>
                <w:rFonts w:ascii="Times New Roman" w:hAnsi="Times New Roman"/>
                <w:b w:val="0"/>
                <w:i w:val="0"/>
                <w:color w:val="000000"/>
                <w:sz w:val="16"/>
              </w:rPr>
              <w:t>+0.2304</w:t>
            </w:r>
          </w:p>
        </w:tc>
        <w:tc>
          <w:tcPr>
            <w:tcW w:type="dxa" w:w="1394"/>
            <w:vAlign w:val="center"/>
          </w:tcPr>
          <w:p>
            <w:pPr>
              <w:spacing w:before="0" w:after="0" w:line="252" w:lineRule="auto"/>
              <w:jc w:val="center"/>
            </w:pPr>
            <w:r>
              <w:rPr>
                <w:rFonts w:ascii="Times New Roman" w:hAnsi="Times New Roman"/>
                <w:b w:val="0"/>
                <w:i w:val="0"/>
                <w:color w:val="000000"/>
                <w:sz w:val="16"/>
              </w:rPr>
              <w:t>+0.2217</w:t>
            </w:r>
          </w:p>
        </w:tc>
        <w:tc>
          <w:tcPr>
            <w:tcW w:type="dxa" w:w="1238"/>
            <w:vAlign w:val="center"/>
          </w:tcPr>
          <w:p>
            <w:pPr>
              <w:spacing w:before="0" w:after="0" w:line="252" w:lineRule="auto"/>
              <w:jc w:val="center"/>
            </w:pPr>
            <w:r>
              <w:rPr>
                <w:rFonts w:ascii="Times New Roman" w:hAnsi="Times New Roman"/>
                <w:b w:val="0"/>
                <w:i w:val="0"/>
                <w:color w:val="000000"/>
                <w:sz w:val="16"/>
              </w:rPr>
              <w:t>+0.3375</w:t>
            </w:r>
          </w:p>
        </w:tc>
        <w:tc>
          <w:tcPr>
            <w:tcW w:type="dxa" w:w="1443"/>
            <w:vAlign w:val="center"/>
          </w:tcPr>
          <w:p>
            <w:pPr>
              <w:spacing w:before="0" w:after="0" w:line="252" w:lineRule="auto"/>
              <w:jc w:val="center"/>
            </w:pPr>
            <w:r>
              <w:rPr>
                <w:rFonts w:ascii="Times New Roman" w:hAnsi="Times New Roman"/>
                <w:b w:val="0"/>
                <w:i w:val="0"/>
                <w:color w:val="000000"/>
                <w:sz w:val="16"/>
              </w:rPr>
              <w:t>1.0000</w:t>
            </w:r>
          </w:p>
        </w:tc>
      </w:tr>
    </w:tbl>
    <w:p>
      <w:pPr>
        <w:spacing w:before="0" w:after="120"/>
      </w:pPr>
    </w:p>
    <w:p>
      <w:pPr>
        <w:keepNext/>
        <w:spacing w:before="200" w:after="60"/>
        <w:jc w:val="center"/>
      </w:pPr>
      <w:r>
        <w:drawing>
          <wp:inline xmlns:a="http://schemas.openxmlformats.org/drawingml/2006/main" xmlns:pic="http://schemas.openxmlformats.org/drawingml/2006/picture">
            <wp:extent cx="4389120" cy="3234088"/>
            <wp:docPr id="12" name="Picture 12"/>
            <wp:cNvGraphicFramePr>
              <a:graphicFrameLocks noChangeAspect="1"/>
            </wp:cNvGraphicFramePr>
            <a:graphic>
              <a:graphicData uri="http://schemas.openxmlformats.org/drawingml/2006/picture">
                <pic:pic>
                  <pic:nvPicPr>
                    <pic:cNvPr id="0" name="fig_4c_pearson_perfil.png"/>
                    <pic:cNvPicPr/>
                  </pic:nvPicPr>
                  <pic:blipFill>
                    <a:blip r:embed="rId22"/>
                    <a:stretch>
                      <a:fillRect/>
                    </a:stretch>
                  </pic:blipFill>
                  <pic:spPr>
                    <a:xfrm>
                      <a:off x="0" y="0"/>
                      <a:ext cx="4389120" cy="3234088"/>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12:</w:t>
      </w:r>
      <w:r>
        <w:rPr>
          <w:rFonts w:ascii="Times New Roman" w:hAnsi="Times New Roman"/>
          <w:sz w:val="20"/>
        </w:rPr>
        <w:t xml:space="preserve"> Matriz de Correlación Multivariante de Perfil Financiero y Demográfico.</w:t>
      </w:r>
    </w:p>
    <w:p>
      <w:pPr>
        <w:spacing w:line="276" w:lineRule="auto" w:before="0" w:after="90"/>
        <w:jc w:val="both"/>
      </w:pPr>
      <w:r>
        <w:rPr>
          <w:rFonts w:ascii="Times New Roman" w:hAnsi="Times New Roman"/>
          <w:b w:val="0"/>
          <w:i w:val="0"/>
          <w:color w:val="000000"/>
          <w:sz w:val="22"/>
        </w:rPr>
        <w:t>Interpretación analítica y recomendación de negocio: La asociación más fuerte ocurre entre Transacciones y Órdenes Activas (r = +0.4965), indicando que los clientes con alta operatividad diaria son el público ideal para campañas de domiciliación. La correlación entre Órdenes y Préstamo (+0.3375) tiene un vínculo estructural mecánico (el crédito genera la orden de amortización). La correlación negativa entre Edad y Saldo (-0.2448) y con Préstamos (-0.1082) confirma la contracción del gasto en etapas avanzadas de la vida.</w:t>
      </w:r>
    </w:p>
    <w:p>
      <w:pPr>
        <w:keepNext/>
        <w:spacing w:before="120" w:after="40"/>
        <w:jc w:val="left"/>
      </w:pPr>
      <w:r>
        <w:rPr>
          <w:rFonts w:ascii="Times New Roman" w:hAnsi="Times New Roman"/>
          <w:b/>
          <w:i w:val="0"/>
          <w:color w:val="000000"/>
          <w:sz w:val="22"/>
        </w:rPr>
        <w:t>Conclusión y Dictamen del Mejor Método sobre df_cliente_consolidado</w:t>
      </w:r>
    </w:p>
    <w:p>
      <w:pPr>
        <w:spacing w:line="276" w:lineRule="auto" w:before="0" w:after="90"/>
        <w:jc w:val="both"/>
      </w:pPr>
      <w:r>
        <w:rPr>
          <w:rFonts w:ascii="Times New Roman" w:hAnsi="Times New Roman"/>
          <w:b w:val="0"/>
          <w:i w:val="0"/>
          <w:color w:val="000000"/>
          <w:sz w:val="22"/>
        </w:rPr>
        <w:t>Dictamen Técnico: Se dictamina una arquitectura híbrida en dos fases: Filtrado Demográfico por Estereotipos (Modelo 4A) como motor imprescindible de bienvenida (cobertura 100%), complementado con Filtrado Colaborativo Usuario a Usuario (Modelo 4B, AUC = 0.7905) para la cartera madura con historial transaccional consolidado.</w:t>
      </w:r>
    </w:p>
    <w:p>
      <w:pPr>
        <w:keepNext/>
        <w:spacing w:before="140" w:after="40"/>
        <w:jc w:val="left"/>
      </w:pPr>
      <w:r>
        <w:rPr>
          <w:rFonts w:ascii="Times New Roman" w:hAnsi="Times New Roman"/>
          <w:b/>
          <w:i w:val="0"/>
          <w:color w:val="000000"/>
          <w:sz w:val="22"/>
        </w:rPr>
        <w:t>2.7.8 Comprobación que motivó el descarte empírico de la co-ocurrencia transaccional cruda</w:t>
      </w:r>
    </w:p>
    <w:p>
      <w:pPr>
        <w:spacing w:line="276" w:lineRule="auto" w:before="0" w:after="90"/>
        <w:jc w:val="both"/>
      </w:pPr>
      <w:r>
        <w:rPr>
          <w:rFonts w:ascii="Times New Roman" w:hAnsi="Times New Roman"/>
          <w:b w:val="0"/>
          <w:i w:val="0"/>
          <w:color w:val="000000"/>
          <w:sz w:val="22"/>
        </w:rPr>
        <w:t>Durante la etapa preliminar de modelado se evaluó la hipótesis de construir un recomendador colaborativo directo calculando la similitud del Coseno sobre la matriz de transacciones sin transformar, agrupada por los cuatro conceptos elementales de la operativa bancaria: Egreso/Gasto Corriente, Ingreso/Depósito, Intereses Ganados y Retiro en Efectivo.</w:t>
      </w:r>
    </w:p>
    <w:p>
      <w:pPr>
        <w:spacing w:line="276" w:lineRule="auto" w:before="0" w:after="90"/>
        <w:jc w:val="both"/>
      </w:pPr>
      <w:r>
        <w:rPr>
          <w:rFonts w:ascii="Times New Roman" w:hAnsi="Times New Roman"/>
          <w:b w:val="0"/>
          <w:i w:val="0"/>
          <w:color w:val="000000"/>
          <w:sz w:val="22"/>
        </w:rPr>
        <w:t>La Figura 13 ilustra cuantitativamente el contraste entre la matriz cruda descartada y el modelo de órdenes adoptado:</w:t>
      </w:r>
    </w:p>
    <w:p>
      <w:pPr>
        <w:keepNext/>
        <w:spacing w:before="200" w:after="60"/>
        <w:jc w:val="center"/>
      </w:pPr>
      <w:r>
        <w:drawing>
          <wp:inline xmlns:a="http://schemas.openxmlformats.org/drawingml/2006/main" xmlns:pic="http://schemas.openxmlformats.org/drawingml/2006/picture">
            <wp:extent cx="4846320" cy="2285833"/>
            <wp:docPr id="13" name="Picture 13"/>
            <wp:cNvGraphicFramePr>
              <a:graphicFrameLocks noChangeAspect="1"/>
            </wp:cNvGraphicFramePr>
            <a:graphic>
              <a:graphicData uri="http://schemas.openxmlformats.org/drawingml/2006/picture">
                <pic:pic>
                  <pic:nvPicPr>
                    <pic:cNvPr id="0" name="fig_05_descarte_empirico_comparativa.png"/>
                    <pic:cNvPicPr/>
                  </pic:nvPicPr>
                  <pic:blipFill>
                    <a:blip r:embed="rId23"/>
                    <a:stretch>
                      <a:fillRect/>
                    </a:stretch>
                  </pic:blipFill>
                  <pic:spPr>
                    <a:xfrm>
                      <a:off x="0" y="0"/>
                      <a:ext cx="4846320" cy="2285833"/>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13:</w:t>
      </w:r>
      <w:r>
        <w:rPr>
          <w:rFonts w:ascii="Times New Roman" w:hAnsi="Times New Roman"/>
          <w:sz w:val="20"/>
        </w:rPr>
        <w:t xml:space="preserve"> Comprobación del Descarte Empírico: Co-ocurrencia Transaccional Cruda vs. Modelo de Órdenes Refinado.</w:t>
      </w:r>
    </w:p>
    <w:p>
      <w:pPr>
        <w:spacing w:line="276" w:lineRule="auto" w:before="0" w:after="90"/>
        <w:jc w:val="both"/>
      </w:pPr>
      <w:r>
        <w:rPr>
          <w:rFonts w:ascii="Times New Roman" w:hAnsi="Times New Roman"/>
          <w:b w:val="0"/>
          <w:i w:val="0"/>
          <w:color w:val="000000"/>
          <w:sz w:val="22"/>
        </w:rPr>
        <w:t>Demostración matemática y geométrica del colapso del coseno en la matriz cruda: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Colapso Angular y Varianza Nula (Panel A): </w:t>
      </w:r>
      <w:r>
        <w:rPr>
          <w:rFonts w:ascii="Times New Roman" w:hAnsi="Times New Roman"/>
          <w:b w:val="0"/>
          <w:i w:val="0"/>
          <w:color w:val="000000"/>
          <w:sz w:val="22"/>
        </w:rPr>
        <w:t>En el Panel A, todas las similitudes de la matriz transaccional cruda colapsan en un rango hiper-estrecho de 0.9339 a 0.9610 (cos(Egreso, Ingreso) = 0.9610, cos(Egreso, Retiro) = 0.9542, cos(Ingreso, Retiro) = 0.9488, cos(Intereses, Egreso) = 0.9339). La varianza angular es prácticamente nula: σ² = 0.000088 ≈ 0.00009. Desde una perspectiva geométrica, el ángulo entre cualquier par de vectores se ubica en el intervalo infinitesimal θ ∈ [0.28, 0.36] radianes. Dado que más del 98% de las cuentas registran estas cuatro operaciones contables elementales mes a mes, todos los vectores de productos apuntan rígidamente hacia el mismo hiper-octante positivo en R^N, destruyendo por completo la capacidad discriminativa del algoritmo.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Recuperación de la Señal Discriminativa (Panel B): </w:t>
      </w:r>
      <w:r>
        <w:rPr>
          <w:rFonts w:ascii="Times New Roman" w:hAnsi="Times New Roman"/>
          <w:b w:val="0"/>
          <w:i w:val="0"/>
          <w:color w:val="000000"/>
          <w:sz w:val="22"/>
        </w:rPr>
        <w:t>En el Panel B, al migrar el grano analítico hacia contratos de órdenes permanentes (df_ordenes / Tabla 8), la matriz de similitud se expande a lo largo de todo el espectro [0.0000, 0.6664] con una varianza angular de σ² = 0.0397 (un incremento de 450 veces en poder discriminativo frente a la matriz cruda). Asimismo, en el Coseno Ajustado de transacciones (Tabla 6), donde se resta la media personal del usuario, la varianza de los valores fuera de la diagonal asciende a σ² = 0.0942 (más de 1,000 veces la dispersión de la matriz cruda).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Implicación de Negocio y Experiencia de Usuario: </w:t>
      </w:r>
      <w:r>
        <w:rPr>
          <w:rFonts w:ascii="Times New Roman" w:hAnsi="Times New Roman"/>
          <w:b w:val="0"/>
          <w:i w:val="0"/>
          <w:color w:val="000000"/>
          <w:sz w:val="22"/>
        </w:rPr>
        <w:t>Desde la perspectiva del negocio bancario, utilizar la matriz transaccional cruda equivaldría a sugerir al cliente 'hacer un retiro en efectivo' o 'depositar su salario' —acciones operativas rutinarias que ya realiza a diario de forma espontánea—. Este descarte empírico fundamentó la decisión de modelar exclusivamente sobre compromisos contractuales formales y aplicar transformaciones logarítmicas de centrado.</w:t>
      </w:r>
    </w:p>
    <w:p>
      <w:pPr>
        <w:keepNext/>
        <w:spacing w:before="140" w:after="40"/>
        <w:jc w:val="left"/>
      </w:pPr>
      <w:r>
        <w:rPr>
          <w:rFonts w:ascii="Times New Roman" w:hAnsi="Times New Roman"/>
          <w:b/>
          <w:i w:val="0"/>
          <w:color w:val="000000"/>
          <w:sz w:val="22"/>
        </w:rPr>
        <w:t>2.7.9 Evaluación comparativa global de los sistemas sobre los cuatro DataFrames</w:t>
      </w:r>
    </w:p>
    <w:p>
      <w:pPr>
        <w:spacing w:line="276" w:lineRule="auto" w:before="0" w:after="90"/>
        <w:jc w:val="both"/>
      </w:pPr>
      <w:r>
        <w:rPr>
          <w:rFonts w:ascii="Times New Roman" w:hAnsi="Times New Roman"/>
          <w:b w:val="0"/>
          <w:i w:val="0"/>
          <w:color w:val="000000"/>
          <w:sz w:val="22"/>
        </w:rPr>
        <w:t>La Tabla 17 y la Figura 14 consolidan la síntesis comparativa exhaustiva de los doce modelos de recomendación desarrollados y evaluados a lo largo de los cuatro DataFrames analíticos:</w:t>
      </w:r>
    </w:p>
    <w:p>
      <w:pPr>
        <w:keepNext/>
        <w:spacing w:before="200" w:after="80"/>
        <w:jc w:val="center"/>
      </w:pPr>
      <w:r>
        <w:rPr>
          <w:rFonts w:ascii="Times New Roman" w:hAnsi="Times New Roman"/>
          <w:b/>
          <w:i w:val="0"/>
          <w:color w:val="000000"/>
          <w:sz w:val="21"/>
        </w:rPr>
        <w:t>Tabla 17:</w:t>
      </w:r>
      <w:r>
        <w:rPr>
          <w:rFonts w:ascii="Times New Roman" w:hAnsi="Times New Roman"/>
          <w:sz w:val="21"/>
        </w:rPr>
        <w:t xml:space="preserve"> Síntesis Comparativa de los 12 Modelos de Recomendación Implementados por DataFrame.</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1100"/>
        <w:gridCol w:w="1100"/>
        <w:gridCol w:w="1100"/>
        <w:gridCol w:w="1100"/>
        <w:gridCol w:w="1100"/>
        <w:gridCol w:w="1100"/>
        <w:gridCol w:w="1100"/>
        <w:gridCol w:w="1100"/>
      </w:tblGrid>
      <w:tr>
        <w:trPr>
          <w:tblHeader/>
          <w:cantSplit/>
        </w:trPr>
        <w:tc>
          <w:tcPr>
            <w:tcW w:type="dxa" w:w="1440"/>
            <w:vAlign w:val="center"/>
            <w:tcBorders>
              <w:bottom w:val="single" w:sz="6" w:space="0" w:color="000000"/>
            </w:tcBorders>
          </w:tcPr>
          <w:p>
            <w:pPr>
              <w:spacing w:before="0" w:after="0" w:line="252" w:lineRule="auto"/>
              <w:jc w:val="center"/>
            </w:pPr>
            <w:r>
              <w:rPr>
                <w:rFonts w:ascii="Times New Roman" w:hAnsi="Times New Roman"/>
                <w:b/>
                <w:i w:val="0"/>
                <w:color w:val="000000"/>
                <w:sz w:val="16"/>
              </w:rPr>
              <w:t>DataFrame</w:t>
            </w:r>
          </w:p>
        </w:tc>
        <w:tc>
          <w:tcPr>
            <w:tcW w:type="dxa" w:w="1296"/>
            <w:vAlign w:val="center"/>
            <w:tcBorders>
              <w:bottom w:val="single" w:sz="6" w:space="0" w:color="000000"/>
            </w:tcBorders>
          </w:tcPr>
          <w:p>
            <w:pPr>
              <w:spacing w:before="0" w:after="0" w:line="252" w:lineRule="auto"/>
              <w:jc w:val="center"/>
            </w:pPr>
            <w:r>
              <w:rPr>
                <w:rFonts w:ascii="Times New Roman" w:hAnsi="Times New Roman"/>
                <w:b/>
                <w:i w:val="0"/>
                <w:color w:val="000000"/>
                <w:sz w:val="16"/>
              </w:rPr>
              <w:t>Sistema / Técnica</w:t>
            </w:r>
          </w:p>
        </w:tc>
        <w:tc>
          <w:tcPr>
            <w:tcW w:type="dxa" w:w="1152"/>
            <w:vAlign w:val="center"/>
            <w:tcBorders>
              <w:bottom w:val="single" w:sz="6" w:space="0" w:color="000000"/>
            </w:tcBorders>
          </w:tcPr>
          <w:p>
            <w:pPr>
              <w:spacing w:before="0" w:after="0" w:line="252" w:lineRule="auto"/>
              <w:jc w:val="center"/>
            </w:pPr>
            <w:r>
              <w:rPr>
                <w:rFonts w:ascii="Times New Roman" w:hAnsi="Times New Roman"/>
                <w:b/>
                <w:i w:val="0"/>
                <w:color w:val="000000"/>
                <w:sz w:val="16"/>
              </w:rPr>
              <w:t>Tipo de Modelo</w:t>
            </w:r>
          </w:p>
        </w:tc>
        <w:tc>
          <w:tcPr>
            <w:tcW w:type="dxa" w:w="1296"/>
            <w:vAlign w:val="center"/>
            <w:tcBorders>
              <w:bottom w:val="single" w:sz="6" w:space="0" w:color="000000"/>
            </w:tcBorders>
          </w:tcPr>
          <w:p>
            <w:pPr>
              <w:spacing w:before="0" w:after="0" w:line="252" w:lineRule="auto"/>
              <w:jc w:val="center"/>
            </w:pPr>
            <w:r>
              <w:rPr>
                <w:rFonts w:ascii="Times New Roman" w:hAnsi="Times New Roman"/>
                <w:b/>
                <w:i w:val="0"/>
                <w:color w:val="000000"/>
                <w:sz w:val="16"/>
              </w:rPr>
              <w:t>Familia Analítica</w:t>
            </w:r>
          </w:p>
        </w:tc>
        <w:tc>
          <w:tcPr>
            <w:tcW w:type="dxa" w:w="1152"/>
            <w:vAlign w:val="center"/>
            <w:tcBorders>
              <w:bottom w:val="single" w:sz="6" w:space="0" w:color="000000"/>
            </w:tcBorders>
          </w:tcPr>
          <w:p>
            <w:pPr>
              <w:spacing w:before="0" w:after="0" w:line="252" w:lineRule="auto"/>
              <w:jc w:val="center"/>
            </w:pPr>
            <w:r>
              <w:rPr>
                <w:rFonts w:ascii="Times New Roman" w:hAnsi="Times New Roman"/>
                <w:b/>
                <w:i w:val="0"/>
                <w:color w:val="000000"/>
                <w:sz w:val="16"/>
              </w:rPr>
              <w:t>Dimensiones de Salida</w:t>
            </w:r>
          </w:p>
        </w:tc>
        <w:tc>
          <w:tcPr>
            <w:tcW w:type="dxa" w:w="1584"/>
            <w:vAlign w:val="center"/>
            <w:tcBorders>
              <w:bottom w:val="single" w:sz="6" w:space="0" w:color="000000"/>
            </w:tcBorders>
          </w:tcPr>
          <w:p>
            <w:pPr>
              <w:spacing w:before="0" w:after="0" w:line="252" w:lineRule="auto"/>
              <w:jc w:val="center"/>
            </w:pPr>
            <w:r>
              <w:rPr>
                <w:rFonts w:ascii="Times New Roman" w:hAnsi="Times New Roman"/>
                <w:b/>
                <w:i w:val="0"/>
                <w:color w:val="000000"/>
                <w:sz w:val="16"/>
              </w:rPr>
              <w:t>Métrica Clave Obtenida</w:t>
            </w:r>
          </w:p>
        </w:tc>
        <w:tc>
          <w:tcPr>
            <w:tcW w:type="dxa" w:w="720"/>
            <w:vAlign w:val="center"/>
            <w:tcBorders>
              <w:bottom w:val="single" w:sz="6" w:space="0" w:color="000000"/>
            </w:tcBorders>
          </w:tcPr>
          <w:p>
            <w:pPr>
              <w:spacing w:before="0" w:after="0" w:line="252" w:lineRule="auto"/>
              <w:jc w:val="center"/>
            </w:pPr>
            <w:r>
              <w:rPr>
                <w:rFonts w:ascii="Times New Roman" w:hAnsi="Times New Roman"/>
                <w:b/>
                <w:i w:val="0"/>
                <w:color w:val="000000"/>
                <w:sz w:val="16"/>
              </w:rPr>
              <w:t>Cobertura</w:t>
            </w:r>
          </w:p>
        </w:tc>
        <w:tc>
          <w:tcPr>
            <w:tcW w:type="dxa" w:w="1598"/>
            <w:vAlign w:val="center"/>
            <w:tcBorders>
              <w:bottom w:val="single" w:sz="6" w:space="0" w:color="000000"/>
            </w:tcBorders>
          </w:tcPr>
          <w:p>
            <w:pPr>
              <w:spacing w:before="0" w:after="0" w:line="252" w:lineRule="auto"/>
              <w:jc w:val="center"/>
            </w:pPr>
            <w:r>
              <w:rPr>
                <w:rFonts w:ascii="Times New Roman" w:hAnsi="Times New Roman"/>
                <w:b/>
                <w:i w:val="0"/>
                <w:color w:val="000000"/>
                <w:sz w:val="16"/>
              </w:rPr>
              <w:t>Rol de Negocio en la Entidad</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df_transacciones</w:t>
            </w:r>
          </w:p>
        </w:tc>
        <w:tc>
          <w:tcPr>
            <w:tcW w:type="dxa" w:w="1296"/>
            <w:vAlign w:val="center"/>
          </w:tcPr>
          <w:p>
            <w:pPr>
              <w:spacing w:before="0" w:after="0" w:line="252" w:lineRule="auto"/>
              <w:jc w:val="left"/>
            </w:pPr>
            <w:r>
              <w:rPr>
                <w:rFonts w:ascii="Times New Roman" w:hAnsi="Times New Roman"/>
                <w:b w:val="0"/>
                <w:i w:val="0"/>
                <w:color w:val="000000"/>
                <w:sz w:val="16"/>
              </w:rPr>
              <w:t>Slope One (1A)</w:t>
            </w:r>
          </w:p>
        </w:tc>
        <w:tc>
          <w:tcPr>
            <w:tcW w:type="dxa" w:w="1152"/>
            <w:vAlign w:val="center"/>
          </w:tcPr>
          <w:p>
            <w:pPr>
              <w:spacing w:before="0" w:after="0" w:line="252" w:lineRule="auto"/>
              <w:jc w:val="left"/>
            </w:pPr>
            <w:r>
              <w:rPr>
                <w:rFonts w:ascii="Times New Roman" w:hAnsi="Times New Roman"/>
                <w:b w:val="0"/>
                <w:i w:val="0"/>
                <w:color w:val="000000"/>
                <w:sz w:val="16"/>
              </w:rPr>
              <w:t>Recomendador</w:t>
            </w:r>
          </w:p>
        </w:tc>
        <w:tc>
          <w:tcPr>
            <w:tcW w:type="dxa" w:w="1296"/>
            <w:vAlign w:val="center"/>
          </w:tcPr>
          <w:p>
            <w:pPr>
              <w:spacing w:before="0" w:after="0" w:line="252" w:lineRule="auto"/>
              <w:jc w:val="left"/>
            </w:pPr>
            <w:r>
              <w:rPr>
                <w:rFonts w:ascii="Times New Roman" w:hAnsi="Times New Roman"/>
                <w:b w:val="0"/>
                <w:i w:val="0"/>
                <w:color w:val="000000"/>
                <w:sz w:val="16"/>
              </w:rPr>
              <w:t>Colaborativo Ítem-Ítem</w:t>
            </w:r>
          </w:p>
        </w:tc>
        <w:tc>
          <w:tcPr>
            <w:tcW w:type="dxa" w:w="1152"/>
            <w:vAlign w:val="center"/>
          </w:tcPr>
          <w:p>
            <w:pPr>
              <w:spacing w:before="0" w:after="0" w:line="252" w:lineRule="auto"/>
              <w:jc w:val="left"/>
            </w:pPr>
            <w:r>
              <w:rPr>
                <w:rFonts w:ascii="Times New Roman" w:hAnsi="Times New Roman"/>
                <w:b w:val="0"/>
                <w:i w:val="0"/>
                <w:color w:val="000000"/>
                <w:sz w:val="16"/>
              </w:rPr>
              <w:t>18,265 predicciones</w:t>
            </w:r>
          </w:p>
        </w:tc>
        <w:tc>
          <w:tcPr>
            <w:tcW w:type="dxa" w:w="1584"/>
            <w:vAlign w:val="center"/>
          </w:tcPr>
          <w:p>
            <w:pPr>
              <w:spacing w:before="0" w:after="0" w:line="252" w:lineRule="auto"/>
              <w:jc w:val="left"/>
            </w:pPr>
            <w:r>
              <w:rPr>
                <w:rFonts w:ascii="Times New Roman" w:hAnsi="Times New Roman"/>
                <w:b w:val="0"/>
                <w:i w:val="0"/>
                <w:color w:val="000000"/>
                <w:sz w:val="16"/>
              </w:rPr>
              <w:t>MAE: 0.2593 ± 0.0052 (5-fold CV)</w:t>
            </w:r>
          </w:p>
        </w:tc>
        <w:tc>
          <w:tcPr>
            <w:tcW w:type="dxa" w:w="720"/>
            <w:vAlign w:val="center"/>
          </w:tcPr>
          <w:p>
            <w:pPr>
              <w:spacing w:before="0" w:after="0" w:line="252" w:lineRule="auto"/>
              <w:jc w:val="center"/>
            </w:pPr>
            <w:r>
              <w:rPr>
                <w:rFonts w:ascii="Times New Roman" w:hAnsi="Times New Roman"/>
                <w:b w:val="0"/>
                <w:i w:val="0"/>
                <w:color w:val="000000"/>
                <w:sz w:val="16"/>
              </w:rPr>
              <w:t>68.0%</w:t>
            </w:r>
          </w:p>
        </w:tc>
        <w:tc>
          <w:tcPr>
            <w:tcW w:type="dxa" w:w="1598"/>
            <w:vAlign w:val="center"/>
          </w:tcPr>
          <w:p>
            <w:pPr>
              <w:spacing w:before="0" w:after="0" w:line="252" w:lineRule="auto"/>
              <w:jc w:val="left"/>
            </w:pPr>
            <w:r>
              <w:rPr>
                <w:rFonts w:ascii="Times New Roman" w:hAnsi="Times New Roman"/>
                <w:b w:val="0"/>
                <w:i w:val="0"/>
                <w:color w:val="000000"/>
                <w:sz w:val="16"/>
              </w:rPr>
              <w:t>Calibración de intensidad y venta cruzada fina.</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df_transacciones</w:t>
            </w:r>
          </w:p>
        </w:tc>
        <w:tc>
          <w:tcPr>
            <w:tcW w:type="dxa" w:w="1296"/>
            <w:vAlign w:val="center"/>
          </w:tcPr>
          <w:p>
            <w:pPr>
              <w:spacing w:before="0" w:after="0" w:line="252" w:lineRule="auto"/>
              <w:jc w:val="left"/>
            </w:pPr>
            <w:r>
              <w:rPr>
                <w:rFonts w:ascii="Times New Roman" w:hAnsi="Times New Roman"/>
                <w:b w:val="0"/>
                <w:i w:val="0"/>
                <w:color w:val="000000"/>
                <w:sz w:val="16"/>
              </w:rPr>
              <w:t>Coseno Ajustado (1B)</w:t>
            </w:r>
          </w:p>
        </w:tc>
        <w:tc>
          <w:tcPr>
            <w:tcW w:type="dxa" w:w="1152"/>
            <w:vAlign w:val="center"/>
          </w:tcPr>
          <w:p>
            <w:pPr>
              <w:spacing w:before="0" w:after="0" w:line="252" w:lineRule="auto"/>
              <w:jc w:val="left"/>
            </w:pPr>
            <w:r>
              <w:rPr>
                <w:rFonts w:ascii="Times New Roman" w:hAnsi="Times New Roman"/>
                <w:b w:val="0"/>
                <w:i w:val="0"/>
                <w:color w:val="000000"/>
                <w:sz w:val="16"/>
              </w:rPr>
              <w:t>Recomendador</w:t>
            </w:r>
          </w:p>
        </w:tc>
        <w:tc>
          <w:tcPr>
            <w:tcW w:type="dxa" w:w="1296"/>
            <w:vAlign w:val="center"/>
          </w:tcPr>
          <w:p>
            <w:pPr>
              <w:spacing w:before="0" w:after="0" w:line="252" w:lineRule="auto"/>
              <w:jc w:val="left"/>
            </w:pPr>
            <w:r>
              <w:rPr>
                <w:rFonts w:ascii="Times New Roman" w:hAnsi="Times New Roman"/>
                <w:b w:val="0"/>
                <w:i w:val="0"/>
                <w:color w:val="000000"/>
                <w:sz w:val="16"/>
              </w:rPr>
              <w:t>Colaborativo Ítem-Ítem</w:t>
            </w:r>
          </w:p>
        </w:tc>
        <w:tc>
          <w:tcPr>
            <w:tcW w:type="dxa" w:w="1152"/>
            <w:vAlign w:val="center"/>
          </w:tcPr>
          <w:p>
            <w:pPr>
              <w:spacing w:before="0" w:after="0" w:line="252" w:lineRule="auto"/>
              <w:jc w:val="left"/>
            </w:pPr>
            <w:r>
              <w:rPr>
                <w:rFonts w:ascii="Times New Roman" w:hAnsi="Times New Roman"/>
                <w:b w:val="0"/>
                <w:i w:val="0"/>
                <w:color w:val="000000"/>
                <w:sz w:val="16"/>
              </w:rPr>
              <w:t>Matriz 5 × 5</w:t>
            </w:r>
          </w:p>
        </w:tc>
        <w:tc>
          <w:tcPr>
            <w:tcW w:type="dxa" w:w="1584"/>
            <w:vAlign w:val="center"/>
          </w:tcPr>
          <w:p>
            <w:pPr>
              <w:spacing w:before="0" w:after="0" w:line="252" w:lineRule="auto"/>
              <w:jc w:val="left"/>
            </w:pPr>
            <w:r>
              <w:rPr>
                <w:rFonts w:ascii="Times New Roman" w:hAnsi="Times New Roman"/>
                <w:b w:val="0"/>
                <w:i w:val="0"/>
                <w:color w:val="000000"/>
                <w:sz w:val="16"/>
              </w:rPr>
              <w:t>cos_adj(Seguro, Hogar) = +0.3360</w:t>
            </w:r>
          </w:p>
        </w:tc>
        <w:tc>
          <w:tcPr>
            <w:tcW w:type="dxa" w:w="720"/>
            <w:vAlign w:val="center"/>
          </w:tcPr>
          <w:p>
            <w:pPr>
              <w:spacing w:before="0" w:after="0" w:line="252" w:lineRule="auto"/>
              <w:jc w:val="center"/>
            </w:pPr>
            <w:r>
              <w:rPr>
                <w:rFonts w:ascii="Times New Roman" w:hAnsi="Times New Roman"/>
                <w:b w:val="0"/>
                <w:i w:val="0"/>
                <w:color w:val="000000"/>
                <w:sz w:val="16"/>
              </w:rPr>
              <w:t>68.0%</w:t>
            </w:r>
          </w:p>
        </w:tc>
        <w:tc>
          <w:tcPr>
            <w:tcW w:type="dxa" w:w="1598"/>
            <w:vAlign w:val="center"/>
          </w:tcPr>
          <w:p>
            <w:pPr>
              <w:spacing w:before="0" w:after="0" w:line="252" w:lineRule="auto"/>
              <w:jc w:val="left"/>
            </w:pPr>
            <w:r>
              <w:rPr>
                <w:rFonts w:ascii="Times New Roman" w:hAnsi="Times New Roman"/>
                <w:b w:val="0"/>
                <w:i w:val="0"/>
                <w:color w:val="000000"/>
                <w:sz w:val="16"/>
              </w:rPr>
              <w:t>Orientación angular centrada en medias de usuario.</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df_transacciones</w:t>
            </w:r>
          </w:p>
        </w:tc>
        <w:tc>
          <w:tcPr>
            <w:tcW w:type="dxa" w:w="1296"/>
            <w:vAlign w:val="center"/>
          </w:tcPr>
          <w:p>
            <w:pPr>
              <w:spacing w:before="0" w:after="0" w:line="252" w:lineRule="auto"/>
              <w:jc w:val="left"/>
            </w:pPr>
            <w:r>
              <w:rPr>
                <w:rFonts w:ascii="Times New Roman" w:hAnsi="Times New Roman"/>
                <w:b w:val="0"/>
                <w:i w:val="0"/>
                <w:color w:val="000000"/>
                <w:sz w:val="16"/>
              </w:rPr>
              <w:t>Pearson Ítem-Ítem (1C)</w:t>
            </w:r>
          </w:p>
        </w:tc>
        <w:tc>
          <w:tcPr>
            <w:tcW w:type="dxa" w:w="1152"/>
            <w:vAlign w:val="center"/>
          </w:tcPr>
          <w:p>
            <w:pPr>
              <w:spacing w:before="0" w:after="0" w:line="252" w:lineRule="auto"/>
              <w:jc w:val="left"/>
            </w:pPr>
            <w:r>
              <w:rPr>
                <w:rFonts w:ascii="Times New Roman" w:hAnsi="Times New Roman"/>
                <w:b w:val="0"/>
                <w:i w:val="0"/>
                <w:color w:val="000000"/>
                <w:sz w:val="16"/>
              </w:rPr>
              <w:t>Complementario</w:t>
            </w:r>
          </w:p>
        </w:tc>
        <w:tc>
          <w:tcPr>
            <w:tcW w:type="dxa" w:w="1296"/>
            <w:vAlign w:val="center"/>
          </w:tcPr>
          <w:p>
            <w:pPr>
              <w:spacing w:before="0" w:after="0" w:line="252" w:lineRule="auto"/>
              <w:jc w:val="left"/>
            </w:pPr>
            <w:r>
              <w:rPr>
                <w:rFonts w:ascii="Times New Roman" w:hAnsi="Times New Roman"/>
                <w:b w:val="0"/>
                <w:i w:val="0"/>
                <w:color w:val="000000"/>
                <w:sz w:val="16"/>
              </w:rPr>
              <w:t>Colaborativo / Temporal</w:t>
            </w:r>
          </w:p>
        </w:tc>
        <w:tc>
          <w:tcPr>
            <w:tcW w:type="dxa" w:w="1152"/>
            <w:vAlign w:val="center"/>
          </w:tcPr>
          <w:p>
            <w:pPr>
              <w:spacing w:before="0" w:after="0" w:line="252" w:lineRule="auto"/>
              <w:jc w:val="left"/>
            </w:pPr>
            <w:r>
              <w:rPr>
                <w:rFonts w:ascii="Times New Roman" w:hAnsi="Times New Roman"/>
                <w:b w:val="0"/>
                <w:i w:val="0"/>
                <w:color w:val="000000"/>
                <w:sz w:val="16"/>
              </w:rPr>
              <w:t>Matrices 5 × 5</w:t>
            </w:r>
          </w:p>
        </w:tc>
        <w:tc>
          <w:tcPr>
            <w:tcW w:type="dxa" w:w="1584"/>
            <w:vAlign w:val="center"/>
          </w:tcPr>
          <w:p>
            <w:pPr>
              <w:spacing w:before="0" w:after="0" w:line="252" w:lineRule="auto"/>
              <w:jc w:val="left"/>
            </w:pPr>
            <w:r>
              <w:rPr>
                <w:rFonts w:ascii="Times New Roman" w:hAnsi="Times New Roman"/>
                <w:b w:val="0"/>
                <w:i w:val="0"/>
                <w:color w:val="000000"/>
                <w:sz w:val="16"/>
              </w:rPr>
              <w:t>r_calif = +0.9957, r_Δmes = +0.7192</w:t>
            </w:r>
          </w:p>
        </w:tc>
        <w:tc>
          <w:tcPr>
            <w:tcW w:type="dxa" w:w="720"/>
            <w:vAlign w:val="center"/>
          </w:tcPr>
          <w:p>
            <w:pPr>
              <w:spacing w:before="0" w:after="0" w:line="252" w:lineRule="auto"/>
              <w:jc w:val="center"/>
            </w:pPr>
            <w:r>
              <w:rPr>
                <w:rFonts w:ascii="Times New Roman" w:hAnsi="Times New Roman"/>
                <w:b w:val="0"/>
                <w:i w:val="0"/>
                <w:color w:val="000000"/>
                <w:sz w:val="16"/>
              </w:rPr>
              <w:t>100.0%</w:t>
            </w:r>
          </w:p>
        </w:tc>
        <w:tc>
          <w:tcPr>
            <w:tcW w:type="dxa" w:w="1598"/>
            <w:vAlign w:val="center"/>
          </w:tcPr>
          <w:p>
            <w:pPr>
              <w:spacing w:before="0" w:after="0" w:line="252" w:lineRule="auto"/>
              <w:jc w:val="left"/>
            </w:pPr>
            <w:r>
              <w:rPr>
                <w:rFonts w:ascii="Times New Roman" w:hAnsi="Times New Roman"/>
                <w:b w:val="0"/>
                <w:i w:val="0"/>
                <w:color w:val="000000"/>
                <w:sz w:val="16"/>
              </w:rPr>
              <w:t>Correlación lineal de ratings y sincronización de tesorería.</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df_ordenes</w:t>
            </w:r>
          </w:p>
        </w:tc>
        <w:tc>
          <w:tcPr>
            <w:tcW w:type="dxa" w:w="1296"/>
            <w:vAlign w:val="center"/>
          </w:tcPr>
          <w:p>
            <w:pPr>
              <w:spacing w:before="0" w:after="0" w:line="252" w:lineRule="auto"/>
              <w:jc w:val="left"/>
            </w:pPr>
            <w:r>
              <w:rPr>
                <w:rFonts w:ascii="Times New Roman" w:hAnsi="Times New Roman"/>
                <w:b w:val="0"/>
                <w:i w:val="0"/>
                <w:color w:val="000000"/>
                <w:sz w:val="16"/>
              </w:rPr>
              <w:t>Coseno Binario (2A)</w:t>
            </w:r>
          </w:p>
        </w:tc>
        <w:tc>
          <w:tcPr>
            <w:tcW w:type="dxa" w:w="1152"/>
            <w:vAlign w:val="center"/>
          </w:tcPr>
          <w:p>
            <w:pPr>
              <w:spacing w:before="0" w:after="0" w:line="252" w:lineRule="auto"/>
              <w:jc w:val="left"/>
            </w:pPr>
            <w:r>
              <w:rPr>
                <w:rFonts w:ascii="Times New Roman" w:hAnsi="Times New Roman"/>
                <w:b w:val="0"/>
                <w:i w:val="0"/>
                <w:color w:val="000000"/>
                <w:sz w:val="16"/>
              </w:rPr>
              <w:t>Recomendador</w:t>
            </w:r>
          </w:p>
        </w:tc>
        <w:tc>
          <w:tcPr>
            <w:tcW w:type="dxa" w:w="1296"/>
            <w:vAlign w:val="center"/>
          </w:tcPr>
          <w:p>
            <w:pPr>
              <w:spacing w:before="0" w:after="0" w:line="252" w:lineRule="auto"/>
              <w:jc w:val="left"/>
            </w:pPr>
            <w:r>
              <w:rPr>
                <w:rFonts w:ascii="Times New Roman" w:hAnsi="Times New Roman"/>
                <w:b w:val="0"/>
                <w:i w:val="0"/>
                <w:color w:val="000000"/>
                <w:sz w:val="16"/>
              </w:rPr>
              <w:t>Colaborativo de Co-adquisición</w:t>
            </w:r>
          </w:p>
        </w:tc>
        <w:tc>
          <w:tcPr>
            <w:tcW w:type="dxa" w:w="1152"/>
            <w:vAlign w:val="center"/>
          </w:tcPr>
          <w:p>
            <w:pPr>
              <w:spacing w:before="0" w:after="0" w:line="252" w:lineRule="auto"/>
              <w:jc w:val="left"/>
            </w:pPr>
            <w:r>
              <w:rPr>
                <w:rFonts w:ascii="Times New Roman" w:hAnsi="Times New Roman"/>
                <w:b w:val="0"/>
                <w:i w:val="0"/>
                <w:color w:val="000000"/>
                <w:sz w:val="16"/>
              </w:rPr>
              <w:t>Matriz 5 × 5</w:t>
            </w:r>
          </w:p>
        </w:tc>
        <w:tc>
          <w:tcPr>
            <w:tcW w:type="dxa" w:w="1584"/>
            <w:vAlign w:val="center"/>
          </w:tcPr>
          <w:p>
            <w:pPr>
              <w:spacing w:before="0" w:after="0" w:line="252" w:lineRule="auto"/>
              <w:jc w:val="left"/>
            </w:pPr>
            <w:r>
              <w:rPr>
                <w:rFonts w:ascii="Times New Roman" w:hAnsi="Times New Roman"/>
                <w:b w:val="0"/>
                <w:i w:val="0"/>
                <w:color w:val="000000"/>
                <w:sz w:val="16"/>
              </w:rPr>
              <w:t>cos(Seguro, Hogar) = 0.3976</w:t>
            </w:r>
          </w:p>
        </w:tc>
        <w:tc>
          <w:tcPr>
            <w:tcW w:type="dxa" w:w="720"/>
            <w:vAlign w:val="center"/>
          </w:tcPr>
          <w:p>
            <w:pPr>
              <w:spacing w:before="0" w:after="0" w:line="252" w:lineRule="auto"/>
              <w:jc w:val="center"/>
            </w:pPr>
            <w:r>
              <w:rPr>
                <w:rFonts w:ascii="Times New Roman" w:hAnsi="Times New Roman"/>
                <w:b w:val="0"/>
                <w:i w:val="0"/>
                <w:color w:val="000000"/>
                <w:sz w:val="16"/>
              </w:rPr>
              <w:t>83.5%</w:t>
            </w:r>
          </w:p>
        </w:tc>
        <w:tc>
          <w:tcPr>
            <w:tcW w:type="dxa" w:w="1598"/>
            <w:vAlign w:val="center"/>
          </w:tcPr>
          <w:p>
            <w:pPr>
              <w:spacing w:before="0" w:after="0" w:line="252" w:lineRule="auto"/>
              <w:jc w:val="left"/>
            </w:pPr>
            <w:r>
              <w:rPr>
                <w:rFonts w:ascii="Times New Roman" w:hAnsi="Times New Roman"/>
                <w:b w:val="0"/>
                <w:i w:val="0"/>
                <w:color w:val="000000"/>
                <w:sz w:val="16"/>
              </w:rPr>
              <w:t>Detección de co-adquisición y empaquetamiento (bundling).</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df_ordenes</w:t>
            </w:r>
          </w:p>
        </w:tc>
        <w:tc>
          <w:tcPr>
            <w:tcW w:type="dxa" w:w="1296"/>
            <w:vAlign w:val="center"/>
          </w:tcPr>
          <w:p>
            <w:pPr>
              <w:spacing w:before="0" w:after="0" w:line="252" w:lineRule="auto"/>
              <w:jc w:val="left"/>
            </w:pPr>
            <w:r>
              <w:rPr>
                <w:rFonts w:ascii="Times New Roman" w:hAnsi="Times New Roman"/>
                <w:b w:val="0"/>
                <w:i w:val="0"/>
                <w:color w:val="000000"/>
                <w:sz w:val="16"/>
              </w:rPr>
              <w:t>Ponderación ITF (2B)</w:t>
            </w:r>
          </w:p>
        </w:tc>
        <w:tc>
          <w:tcPr>
            <w:tcW w:type="dxa" w:w="1152"/>
            <w:vAlign w:val="center"/>
          </w:tcPr>
          <w:p>
            <w:pPr>
              <w:spacing w:before="0" w:after="0" w:line="252" w:lineRule="auto"/>
              <w:jc w:val="left"/>
            </w:pPr>
            <w:r>
              <w:rPr>
                <w:rFonts w:ascii="Times New Roman" w:hAnsi="Times New Roman"/>
                <w:b w:val="0"/>
                <w:i w:val="0"/>
                <w:color w:val="000000"/>
                <w:sz w:val="16"/>
              </w:rPr>
              <w:t>Recomendador</w:t>
            </w:r>
          </w:p>
        </w:tc>
        <w:tc>
          <w:tcPr>
            <w:tcW w:type="dxa" w:w="1296"/>
            <w:vAlign w:val="center"/>
          </w:tcPr>
          <w:p>
            <w:pPr>
              <w:spacing w:before="0" w:after="0" w:line="252" w:lineRule="auto"/>
              <w:jc w:val="left"/>
            </w:pPr>
            <w:r>
              <w:rPr>
                <w:rFonts w:ascii="Times New Roman" w:hAnsi="Times New Roman"/>
                <w:b w:val="0"/>
                <w:i w:val="0"/>
                <w:color w:val="000000"/>
                <w:sz w:val="16"/>
              </w:rPr>
              <w:t>Ítem-Ítem con Penalización</w:t>
            </w:r>
          </w:p>
        </w:tc>
        <w:tc>
          <w:tcPr>
            <w:tcW w:type="dxa" w:w="1152"/>
            <w:vAlign w:val="center"/>
          </w:tcPr>
          <w:p>
            <w:pPr>
              <w:spacing w:before="0" w:after="0" w:line="252" w:lineRule="auto"/>
              <w:jc w:val="left"/>
            </w:pPr>
            <w:r>
              <w:rPr>
                <w:rFonts w:ascii="Times New Roman" w:hAnsi="Times New Roman"/>
                <w:b w:val="0"/>
                <w:i w:val="0"/>
                <w:color w:val="000000"/>
                <w:sz w:val="16"/>
              </w:rPr>
              <w:t>5 factores especificidad</w:t>
            </w:r>
          </w:p>
        </w:tc>
        <w:tc>
          <w:tcPr>
            <w:tcW w:type="dxa" w:w="1584"/>
            <w:vAlign w:val="center"/>
          </w:tcPr>
          <w:p>
            <w:pPr>
              <w:spacing w:before="0" w:after="0" w:line="252" w:lineRule="auto"/>
              <w:jc w:val="left"/>
            </w:pPr>
            <w:r>
              <w:rPr>
                <w:rFonts w:ascii="Times New Roman" w:hAnsi="Times New Roman"/>
                <w:b w:val="0"/>
                <w:i w:val="0"/>
                <w:color w:val="000000"/>
                <w:sz w:val="16"/>
              </w:rPr>
              <w:t>Factor ITF Leasing: 2.3998 (vs Hogar: 0.1105)</w:t>
            </w:r>
          </w:p>
        </w:tc>
        <w:tc>
          <w:tcPr>
            <w:tcW w:type="dxa" w:w="720"/>
            <w:vAlign w:val="center"/>
          </w:tcPr>
          <w:p>
            <w:pPr>
              <w:spacing w:before="0" w:after="0" w:line="252" w:lineRule="auto"/>
              <w:jc w:val="center"/>
            </w:pPr>
            <w:r>
              <w:rPr>
                <w:rFonts w:ascii="Times New Roman" w:hAnsi="Times New Roman"/>
                <w:b w:val="0"/>
                <w:i w:val="0"/>
                <w:color w:val="000000"/>
                <w:sz w:val="16"/>
              </w:rPr>
              <w:t>83.5%</w:t>
            </w:r>
          </w:p>
        </w:tc>
        <w:tc>
          <w:tcPr>
            <w:tcW w:type="dxa" w:w="1598"/>
            <w:vAlign w:val="center"/>
          </w:tcPr>
          <w:p>
            <w:pPr>
              <w:spacing w:before="0" w:after="0" w:line="252" w:lineRule="auto"/>
              <w:jc w:val="left"/>
            </w:pPr>
            <w:r>
              <w:rPr>
                <w:rFonts w:ascii="Times New Roman" w:hAnsi="Times New Roman"/>
                <w:b w:val="0"/>
                <w:i w:val="0"/>
                <w:color w:val="000000"/>
                <w:sz w:val="16"/>
              </w:rPr>
              <w:t>Corrección de sesgo de popularidad hacia nichos no triviales.</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df_ordenes</w:t>
            </w:r>
          </w:p>
        </w:tc>
        <w:tc>
          <w:tcPr>
            <w:tcW w:type="dxa" w:w="1296"/>
            <w:vAlign w:val="center"/>
          </w:tcPr>
          <w:p>
            <w:pPr>
              <w:spacing w:before="0" w:after="0" w:line="252" w:lineRule="auto"/>
              <w:jc w:val="left"/>
            </w:pPr>
            <w:r>
              <w:rPr>
                <w:rFonts w:ascii="Times New Roman" w:hAnsi="Times New Roman"/>
                <w:b w:val="0"/>
                <w:i w:val="0"/>
                <w:color w:val="000000"/>
                <w:sz w:val="16"/>
              </w:rPr>
              <w:t>Pearson Órdenes (2C)</w:t>
            </w:r>
          </w:p>
        </w:tc>
        <w:tc>
          <w:tcPr>
            <w:tcW w:type="dxa" w:w="1152"/>
            <w:vAlign w:val="center"/>
          </w:tcPr>
          <w:p>
            <w:pPr>
              <w:spacing w:before="0" w:after="0" w:line="252" w:lineRule="auto"/>
              <w:jc w:val="left"/>
            </w:pPr>
            <w:r>
              <w:rPr>
                <w:rFonts w:ascii="Times New Roman" w:hAnsi="Times New Roman"/>
                <w:b w:val="0"/>
                <w:i w:val="0"/>
                <w:color w:val="000000"/>
                <w:sz w:val="16"/>
              </w:rPr>
              <w:t>Complementario</w:t>
            </w:r>
          </w:p>
        </w:tc>
        <w:tc>
          <w:tcPr>
            <w:tcW w:type="dxa" w:w="1296"/>
            <w:vAlign w:val="center"/>
          </w:tcPr>
          <w:p>
            <w:pPr>
              <w:spacing w:before="0" w:after="0" w:line="252" w:lineRule="auto"/>
              <w:jc w:val="left"/>
            </w:pPr>
            <w:r>
              <w:rPr>
                <w:rFonts w:ascii="Times New Roman" w:hAnsi="Times New Roman"/>
                <w:b w:val="0"/>
                <w:i w:val="0"/>
                <w:color w:val="000000"/>
                <w:sz w:val="16"/>
              </w:rPr>
              <w:t>Asociación de Contratos</w:t>
            </w:r>
          </w:p>
        </w:tc>
        <w:tc>
          <w:tcPr>
            <w:tcW w:type="dxa" w:w="1152"/>
            <w:vAlign w:val="center"/>
          </w:tcPr>
          <w:p>
            <w:pPr>
              <w:spacing w:before="0" w:after="0" w:line="252" w:lineRule="auto"/>
              <w:jc w:val="left"/>
            </w:pPr>
            <w:r>
              <w:rPr>
                <w:rFonts w:ascii="Times New Roman" w:hAnsi="Times New Roman"/>
                <w:b w:val="0"/>
                <w:i w:val="0"/>
                <w:color w:val="000000"/>
                <w:sz w:val="16"/>
              </w:rPr>
              <w:t>Matriz 5 × 5</w:t>
            </w:r>
          </w:p>
        </w:tc>
        <w:tc>
          <w:tcPr>
            <w:tcW w:type="dxa" w:w="1584"/>
            <w:vAlign w:val="center"/>
          </w:tcPr>
          <w:p>
            <w:pPr>
              <w:spacing w:before="0" w:after="0" w:line="252" w:lineRule="auto"/>
              <w:jc w:val="left"/>
            </w:pPr>
            <w:r>
              <w:rPr>
                <w:rFonts w:ascii="Times New Roman" w:hAnsi="Times New Roman"/>
                <w:b w:val="0"/>
                <w:i w:val="0"/>
                <w:color w:val="000000"/>
                <w:sz w:val="16"/>
              </w:rPr>
              <w:t>r(Hogar, Préstamo) = -0.4117</w:t>
            </w:r>
          </w:p>
        </w:tc>
        <w:tc>
          <w:tcPr>
            <w:tcW w:type="dxa" w:w="720"/>
            <w:vAlign w:val="center"/>
          </w:tcPr>
          <w:p>
            <w:pPr>
              <w:spacing w:before="0" w:after="0" w:line="252" w:lineRule="auto"/>
              <w:jc w:val="center"/>
            </w:pPr>
            <w:r>
              <w:rPr>
                <w:rFonts w:ascii="Times New Roman" w:hAnsi="Times New Roman"/>
                <w:b w:val="0"/>
                <w:i w:val="0"/>
                <w:color w:val="000000"/>
                <w:sz w:val="16"/>
              </w:rPr>
              <w:t>83.5%</w:t>
            </w:r>
          </w:p>
        </w:tc>
        <w:tc>
          <w:tcPr>
            <w:tcW w:type="dxa" w:w="1598"/>
            <w:vAlign w:val="center"/>
          </w:tcPr>
          <w:p>
            <w:pPr>
              <w:spacing w:before="0" w:after="0" w:line="252" w:lineRule="auto"/>
              <w:jc w:val="left"/>
            </w:pPr>
            <w:r>
              <w:rPr>
                <w:rFonts w:ascii="Times New Roman" w:hAnsi="Times New Roman"/>
                <w:b w:val="0"/>
                <w:i w:val="0"/>
                <w:color w:val="000000"/>
                <w:sz w:val="16"/>
              </w:rPr>
              <w:t>Detección de disociación y exclusión contractual.</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df_prestamos</w:t>
            </w:r>
          </w:p>
        </w:tc>
        <w:tc>
          <w:tcPr>
            <w:tcW w:type="dxa" w:w="1296"/>
            <w:vAlign w:val="center"/>
          </w:tcPr>
          <w:p>
            <w:pPr>
              <w:spacing w:before="0" w:after="0" w:line="252" w:lineRule="auto"/>
              <w:jc w:val="left"/>
            </w:pPr>
            <w:r>
              <w:rPr>
                <w:rFonts w:ascii="Times New Roman" w:hAnsi="Times New Roman"/>
                <w:b w:val="0"/>
                <w:i w:val="0"/>
                <w:color w:val="000000"/>
                <w:sz w:val="16"/>
              </w:rPr>
              <w:t>TF-IDF Contratos (3A)</w:t>
            </w:r>
          </w:p>
        </w:tc>
        <w:tc>
          <w:tcPr>
            <w:tcW w:type="dxa" w:w="1152"/>
            <w:vAlign w:val="center"/>
          </w:tcPr>
          <w:p>
            <w:pPr>
              <w:spacing w:before="0" w:after="0" w:line="252" w:lineRule="auto"/>
              <w:jc w:val="left"/>
            </w:pPr>
            <w:r>
              <w:rPr>
                <w:rFonts w:ascii="Times New Roman" w:hAnsi="Times New Roman"/>
                <w:b w:val="0"/>
                <w:i w:val="0"/>
                <w:color w:val="000000"/>
                <w:sz w:val="16"/>
              </w:rPr>
              <w:t>Recomendador</w:t>
            </w:r>
          </w:p>
        </w:tc>
        <w:tc>
          <w:tcPr>
            <w:tcW w:type="dxa" w:w="1296"/>
            <w:vAlign w:val="center"/>
          </w:tcPr>
          <w:p>
            <w:pPr>
              <w:spacing w:before="0" w:after="0" w:line="252" w:lineRule="auto"/>
              <w:jc w:val="left"/>
            </w:pPr>
            <w:r>
              <w:rPr>
                <w:rFonts w:ascii="Times New Roman" w:hAnsi="Times New Roman"/>
                <w:b w:val="0"/>
                <w:i w:val="0"/>
                <w:color w:val="000000"/>
                <w:sz w:val="16"/>
              </w:rPr>
              <w:t>Basado en Contenidos</w:t>
            </w:r>
          </w:p>
        </w:tc>
        <w:tc>
          <w:tcPr>
            <w:tcW w:type="dxa" w:w="1152"/>
            <w:vAlign w:val="center"/>
          </w:tcPr>
          <w:p>
            <w:pPr>
              <w:spacing w:before="0" w:after="0" w:line="252" w:lineRule="auto"/>
              <w:jc w:val="left"/>
            </w:pPr>
            <w:r>
              <w:rPr>
                <w:rFonts w:ascii="Times New Roman" w:hAnsi="Times New Roman"/>
                <w:b w:val="0"/>
                <w:i w:val="0"/>
                <w:color w:val="000000"/>
                <w:sz w:val="16"/>
              </w:rPr>
              <w:t>Matriz 8 × 8 léxica</w:t>
            </w:r>
          </w:p>
        </w:tc>
        <w:tc>
          <w:tcPr>
            <w:tcW w:type="dxa" w:w="1584"/>
            <w:vAlign w:val="center"/>
          </w:tcPr>
          <w:p>
            <w:pPr>
              <w:spacing w:before="0" w:after="0" w:line="252" w:lineRule="auto"/>
              <w:jc w:val="left"/>
            </w:pPr>
            <w:r>
              <w:rPr>
                <w:rFonts w:ascii="Times New Roman" w:hAnsi="Times New Roman"/>
                <w:b w:val="0"/>
                <w:i w:val="0"/>
                <w:color w:val="000000"/>
                <w:sz w:val="16"/>
              </w:rPr>
              <w:t>Sim: 0.1611 (LOPO: 8/8, 100%)</w:t>
            </w:r>
          </w:p>
        </w:tc>
        <w:tc>
          <w:tcPr>
            <w:tcW w:type="dxa" w:w="720"/>
            <w:vAlign w:val="center"/>
          </w:tcPr>
          <w:p>
            <w:pPr>
              <w:spacing w:before="0" w:after="0" w:line="252" w:lineRule="auto"/>
              <w:jc w:val="center"/>
            </w:pPr>
            <w:r>
              <w:rPr>
                <w:rFonts w:ascii="Times New Roman" w:hAnsi="Times New Roman"/>
                <w:b w:val="0"/>
                <w:i w:val="0"/>
                <w:color w:val="000000"/>
                <w:sz w:val="16"/>
              </w:rPr>
              <w:t>100.0%</w:t>
            </w:r>
          </w:p>
        </w:tc>
        <w:tc>
          <w:tcPr>
            <w:tcW w:type="dxa" w:w="1598"/>
            <w:vAlign w:val="center"/>
          </w:tcPr>
          <w:p>
            <w:pPr>
              <w:spacing w:before="0" w:after="0" w:line="252" w:lineRule="auto"/>
              <w:jc w:val="left"/>
            </w:pPr>
            <w:r>
              <w:rPr>
                <w:rFonts w:ascii="Times New Roman" w:hAnsi="Times New Roman"/>
                <w:b w:val="0"/>
                <w:i w:val="0"/>
                <w:color w:val="000000"/>
                <w:sz w:val="16"/>
              </w:rPr>
              <w:t>Resolución de Item Cold Start para productos nuevos.</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df_prestamos</w:t>
            </w:r>
          </w:p>
        </w:tc>
        <w:tc>
          <w:tcPr>
            <w:tcW w:type="dxa" w:w="1296"/>
            <w:vAlign w:val="center"/>
          </w:tcPr>
          <w:p>
            <w:pPr>
              <w:spacing w:before="0" w:after="0" w:line="252" w:lineRule="auto"/>
              <w:jc w:val="left"/>
            </w:pPr>
            <w:r>
              <w:rPr>
                <w:rFonts w:ascii="Times New Roman" w:hAnsi="Times New Roman"/>
                <w:b w:val="0"/>
                <w:i w:val="0"/>
                <w:color w:val="000000"/>
                <w:sz w:val="16"/>
              </w:rPr>
              <w:t>Coseno Numérico (3B)</w:t>
            </w:r>
          </w:p>
        </w:tc>
        <w:tc>
          <w:tcPr>
            <w:tcW w:type="dxa" w:w="1152"/>
            <w:vAlign w:val="center"/>
          </w:tcPr>
          <w:p>
            <w:pPr>
              <w:spacing w:before="0" w:after="0" w:line="252" w:lineRule="auto"/>
              <w:jc w:val="left"/>
            </w:pPr>
            <w:r>
              <w:rPr>
                <w:rFonts w:ascii="Times New Roman" w:hAnsi="Times New Roman"/>
                <w:b w:val="0"/>
                <w:i w:val="0"/>
                <w:color w:val="000000"/>
                <w:sz w:val="16"/>
              </w:rPr>
              <w:t>Complementario</w:t>
            </w:r>
          </w:p>
        </w:tc>
        <w:tc>
          <w:tcPr>
            <w:tcW w:type="dxa" w:w="1296"/>
            <w:vAlign w:val="center"/>
          </w:tcPr>
          <w:p>
            <w:pPr>
              <w:spacing w:before="0" w:after="0" w:line="252" w:lineRule="auto"/>
              <w:jc w:val="left"/>
            </w:pPr>
            <w:r>
              <w:rPr>
                <w:rFonts w:ascii="Times New Roman" w:hAnsi="Times New Roman"/>
                <w:b w:val="0"/>
                <w:i w:val="0"/>
                <w:color w:val="000000"/>
                <w:sz w:val="16"/>
              </w:rPr>
              <w:t>Geométrico Centroidal</w:t>
            </w:r>
          </w:p>
        </w:tc>
        <w:tc>
          <w:tcPr>
            <w:tcW w:type="dxa" w:w="1152"/>
            <w:vAlign w:val="center"/>
          </w:tcPr>
          <w:p>
            <w:pPr>
              <w:spacing w:before="0" w:after="0" w:line="252" w:lineRule="auto"/>
              <w:jc w:val="left"/>
            </w:pPr>
            <w:r>
              <w:rPr>
                <w:rFonts w:ascii="Times New Roman" w:hAnsi="Times New Roman"/>
                <w:b w:val="0"/>
                <w:i w:val="0"/>
                <w:color w:val="000000"/>
                <w:sz w:val="16"/>
              </w:rPr>
              <w:t>Matriz 5 × 5 (plazos)</w:t>
            </w:r>
          </w:p>
        </w:tc>
        <w:tc>
          <w:tcPr>
            <w:tcW w:type="dxa" w:w="1584"/>
            <w:vAlign w:val="center"/>
          </w:tcPr>
          <w:p>
            <w:pPr>
              <w:spacing w:before="0" w:after="0" w:line="252" w:lineRule="auto"/>
              <w:jc w:val="left"/>
            </w:pPr>
            <w:r>
              <w:rPr>
                <w:rFonts w:ascii="Times New Roman" w:hAnsi="Times New Roman"/>
                <w:b w:val="0"/>
                <w:i w:val="0"/>
                <w:color w:val="000000"/>
                <w:sz w:val="16"/>
              </w:rPr>
              <w:t>cos(12m, 60m) = -0.9991</w:t>
            </w:r>
          </w:p>
        </w:tc>
        <w:tc>
          <w:tcPr>
            <w:tcW w:type="dxa" w:w="720"/>
            <w:vAlign w:val="center"/>
          </w:tcPr>
          <w:p>
            <w:pPr>
              <w:spacing w:before="0" w:after="0" w:line="252" w:lineRule="auto"/>
              <w:jc w:val="center"/>
            </w:pPr>
            <w:r>
              <w:rPr>
                <w:rFonts w:ascii="Times New Roman" w:hAnsi="Times New Roman"/>
                <w:b w:val="0"/>
                <w:i w:val="0"/>
                <w:color w:val="000000"/>
                <w:sz w:val="16"/>
              </w:rPr>
              <w:t>100.0%</w:t>
            </w:r>
          </w:p>
        </w:tc>
        <w:tc>
          <w:tcPr>
            <w:tcW w:type="dxa" w:w="1598"/>
            <w:vAlign w:val="center"/>
          </w:tcPr>
          <w:p>
            <w:pPr>
              <w:spacing w:before="0" w:after="0" w:line="252" w:lineRule="auto"/>
              <w:jc w:val="left"/>
            </w:pPr>
            <w:r>
              <w:rPr>
                <w:rFonts w:ascii="Times New Roman" w:hAnsi="Times New Roman"/>
                <w:b w:val="0"/>
                <w:i w:val="0"/>
                <w:color w:val="000000"/>
                <w:sz w:val="16"/>
              </w:rPr>
              <w:t>Mapeo estructural de distancias entre plazos crediticios.</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df_prestamos</w:t>
            </w:r>
          </w:p>
        </w:tc>
        <w:tc>
          <w:tcPr>
            <w:tcW w:type="dxa" w:w="1296"/>
            <w:vAlign w:val="center"/>
          </w:tcPr>
          <w:p>
            <w:pPr>
              <w:spacing w:before="0" w:after="0" w:line="252" w:lineRule="auto"/>
              <w:jc w:val="left"/>
            </w:pPr>
            <w:r>
              <w:rPr>
                <w:rFonts w:ascii="Times New Roman" w:hAnsi="Times New Roman"/>
                <w:b w:val="0"/>
                <w:i w:val="0"/>
                <w:color w:val="000000"/>
                <w:sz w:val="16"/>
              </w:rPr>
              <w:t>Scoring y Utilidad (3C)</w:t>
            </w:r>
          </w:p>
        </w:tc>
        <w:tc>
          <w:tcPr>
            <w:tcW w:type="dxa" w:w="1152"/>
            <w:vAlign w:val="center"/>
          </w:tcPr>
          <w:p>
            <w:pPr>
              <w:spacing w:before="0" w:after="0" w:line="252" w:lineRule="auto"/>
              <w:jc w:val="left"/>
            </w:pPr>
            <w:r>
              <w:rPr>
                <w:rFonts w:ascii="Times New Roman" w:hAnsi="Times New Roman"/>
                <w:b w:val="0"/>
                <w:i w:val="0"/>
                <w:color w:val="000000"/>
                <w:sz w:val="16"/>
              </w:rPr>
              <w:t>Recomendador / Control</w:t>
            </w:r>
          </w:p>
        </w:tc>
        <w:tc>
          <w:tcPr>
            <w:tcW w:type="dxa" w:w="1296"/>
            <w:vAlign w:val="center"/>
          </w:tcPr>
          <w:p>
            <w:pPr>
              <w:spacing w:before="0" w:after="0" w:line="252" w:lineRule="auto"/>
              <w:jc w:val="left"/>
            </w:pPr>
            <w:r>
              <w:rPr>
                <w:rFonts w:ascii="Times New Roman" w:hAnsi="Times New Roman"/>
                <w:b w:val="0"/>
                <w:i w:val="0"/>
                <w:color w:val="000000"/>
                <w:sz w:val="16"/>
              </w:rPr>
              <w:t>Conocimiento y Utilidad</w:t>
            </w:r>
          </w:p>
        </w:tc>
        <w:tc>
          <w:tcPr>
            <w:tcW w:type="dxa" w:w="1152"/>
            <w:vAlign w:val="center"/>
          </w:tcPr>
          <w:p>
            <w:pPr>
              <w:spacing w:before="0" w:after="0" w:line="252" w:lineRule="auto"/>
              <w:jc w:val="left"/>
            </w:pPr>
            <w:r>
              <w:rPr>
                <w:rFonts w:ascii="Times New Roman" w:hAnsi="Times New Roman"/>
                <w:b w:val="0"/>
                <w:i w:val="0"/>
                <w:color w:val="000000"/>
                <w:sz w:val="16"/>
              </w:rPr>
              <w:t>682 contratos</w:t>
            </w:r>
          </w:p>
        </w:tc>
        <w:tc>
          <w:tcPr>
            <w:tcW w:type="dxa" w:w="1584"/>
            <w:vAlign w:val="center"/>
          </w:tcPr>
          <w:p>
            <w:pPr>
              <w:spacing w:before="0" w:after="0" w:line="252" w:lineRule="auto"/>
              <w:jc w:val="left"/>
            </w:pPr>
            <w:r>
              <w:rPr>
                <w:rFonts w:ascii="Times New Roman" w:hAnsi="Times New Roman"/>
                <w:b w:val="0"/>
                <w:i w:val="0"/>
                <w:color w:val="000000"/>
                <w:sz w:val="16"/>
              </w:rPr>
              <w:t>Mora ≤ 30%: 6.57% (vs &gt; 50%: 16.86%)</w:t>
            </w:r>
          </w:p>
        </w:tc>
        <w:tc>
          <w:tcPr>
            <w:tcW w:type="dxa" w:w="720"/>
            <w:vAlign w:val="center"/>
          </w:tcPr>
          <w:p>
            <w:pPr>
              <w:spacing w:before="0" w:after="0" w:line="252" w:lineRule="auto"/>
              <w:jc w:val="center"/>
            </w:pPr>
            <w:r>
              <w:rPr>
                <w:rFonts w:ascii="Times New Roman" w:hAnsi="Times New Roman"/>
                <w:b w:val="0"/>
                <w:i w:val="0"/>
                <w:color w:val="000000"/>
                <w:sz w:val="16"/>
              </w:rPr>
              <w:t>100.0%</w:t>
            </w:r>
          </w:p>
        </w:tc>
        <w:tc>
          <w:tcPr>
            <w:tcW w:type="dxa" w:w="1598"/>
            <w:vAlign w:val="center"/>
          </w:tcPr>
          <w:p>
            <w:pPr>
              <w:spacing w:before="0" w:after="0" w:line="252" w:lineRule="auto"/>
              <w:jc w:val="left"/>
            </w:pPr>
            <w:r>
              <w:rPr>
                <w:rFonts w:ascii="Times New Roman" w:hAnsi="Times New Roman"/>
                <w:b w:val="0"/>
                <w:i w:val="0"/>
                <w:color w:val="000000"/>
                <w:sz w:val="16"/>
              </w:rPr>
              <w:t>Filtro prudencial de capacidad de pago y control de riesgo.</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df_cliente</w:t>
            </w:r>
          </w:p>
        </w:tc>
        <w:tc>
          <w:tcPr>
            <w:tcW w:type="dxa" w:w="1296"/>
            <w:vAlign w:val="center"/>
          </w:tcPr>
          <w:p>
            <w:pPr>
              <w:spacing w:before="0" w:after="0" w:line="252" w:lineRule="auto"/>
              <w:jc w:val="left"/>
            </w:pPr>
            <w:r>
              <w:rPr>
                <w:rFonts w:ascii="Times New Roman" w:hAnsi="Times New Roman"/>
                <w:b w:val="0"/>
                <w:i w:val="0"/>
                <w:color w:val="000000"/>
                <w:sz w:val="16"/>
              </w:rPr>
              <w:t>Demográfico (4A)</w:t>
            </w:r>
          </w:p>
        </w:tc>
        <w:tc>
          <w:tcPr>
            <w:tcW w:type="dxa" w:w="1152"/>
            <w:vAlign w:val="center"/>
          </w:tcPr>
          <w:p>
            <w:pPr>
              <w:spacing w:before="0" w:after="0" w:line="252" w:lineRule="auto"/>
              <w:jc w:val="left"/>
            </w:pPr>
            <w:r>
              <w:rPr>
                <w:rFonts w:ascii="Times New Roman" w:hAnsi="Times New Roman"/>
                <w:b w:val="0"/>
                <w:i w:val="0"/>
                <w:color w:val="000000"/>
                <w:sz w:val="16"/>
              </w:rPr>
              <w:t>Recomendador</w:t>
            </w:r>
          </w:p>
        </w:tc>
        <w:tc>
          <w:tcPr>
            <w:tcW w:type="dxa" w:w="1296"/>
            <w:vAlign w:val="center"/>
          </w:tcPr>
          <w:p>
            <w:pPr>
              <w:spacing w:before="0" w:after="0" w:line="252" w:lineRule="auto"/>
              <w:jc w:val="left"/>
            </w:pPr>
            <w:r>
              <w:rPr>
                <w:rFonts w:ascii="Times New Roman" w:hAnsi="Times New Roman"/>
                <w:b w:val="0"/>
                <w:i w:val="0"/>
                <w:color w:val="000000"/>
                <w:sz w:val="16"/>
              </w:rPr>
              <w:t>Filtrado Demográfico</w:t>
            </w:r>
          </w:p>
        </w:tc>
        <w:tc>
          <w:tcPr>
            <w:tcW w:type="dxa" w:w="1152"/>
            <w:vAlign w:val="center"/>
          </w:tcPr>
          <w:p>
            <w:pPr>
              <w:spacing w:before="0" w:after="0" w:line="252" w:lineRule="auto"/>
              <w:jc w:val="left"/>
            </w:pPr>
            <w:r>
              <w:rPr>
                <w:rFonts w:ascii="Times New Roman" w:hAnsi="Times New Roman"/>
                <w:b w:val="0"/>
                <w:i w:val="0"/>
                <w:color w:val="000000"/>
                <w:sz w:val="16"/>
              </w:rPr>
              <w:t>9 arquetipos</w:t>
            </w:r>
          </w:p>
        </w:tc>
        <w:tc>
          <w:tcPr>
            <w:tcW w:type="dxa" w:w="1584"/>
            <w:vAlign w:val="center"/>
          </w:tcPr>
          <w:p>
            <w:pPr>
              <w:spacing w:before="0" w:after="0" w:line="252" w:lineRule="auto"/>
              <w:jc w:val="left"/>
            </w:pPr>
            <w:r>
              <w:rPr>
                <w:rFonts w:ascii="Times New Roman" w:hAnsi="Times New Roman"/>
                <w:b w:val="0"/>
                <w:i w:val="0"/>
                <w:color w:val="000000"/>
                <w:sz w:val="16"/>
              </w:rPr>
              <w:t>Adopción Praga: 18.8% (χ²=63.78)</w:t>
            </w:r>
          </w:p>
        </w:tc>
        <w:tc>
          <w:tcPr>
            <w:tcW w:type="dxa" w:w="720"/>
            <w:vAlign w:val="center"/>
          </w:tcPr>
          <w:p>
            <w:pPr>
              <w:spacing w:before="0" w:after="0" w:line="252" w:lineRule="auto"/>
              <w:jc w:val="center"/>
            </w:pPr>
            <w:r>
              <w:rPr>
                <w:rFonts w:ascii="Times New Roman" w:hAnsi="Times New Roman"/>
                <w:b w:val="0"/>
                <w:i w:val="0"/>
                <w:color w:val="000000"/>
                <w:sz w:val="16"/>
              </w:rPr>
              <w:t>100.0%</w:t>
            </w:r>
          </w:p>
        </w:tc>
        <w:tc>
          <w:tcPr>
            <w:tcW w:type="dxa" w:w="1598"/>
            <w:vAlign w:val="center"/>
          </w:tcPr>
          <w:p>
            <w:pPr>
              <w:spacing w:before="0" w:after="0" w:line="252" w:lineRule="auto"/>
              <w:jc w:val="left"/>
            </w:pPr>
            <w:r>
              <w:rPr>
                <w:rFonts w:ascii="Times New Roman" w:hAnsi="Times New Roman"/>
                <w:b w:val="0"/>
                <w:i w:val="0"/>
                <w:color w:val="000000"/>
                <w:sz w:val="16"/>
              </w:rPr>
              <w:t>Resolución de User Cold Start en apertura de cuenta.</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df_cliente</w:t>
            </w:r>
          </w:p>
        </w:tc>
        <w:tc>
          <w:tcPr>
            <w:tcW w:type="dxa" w:w="1296"/>
            <w:vAlign w:val="center"/>
          </w:tcPr>
          <w:p>
            <w:pPr>
              <w:spacing w:before="0" w:after="0" w:line="252" w:lineRule="auto"/>
              <w:jc w:val="left"/>
            </w:pPr>
            <w:r>
              <w:rPr>
                <w:rFonts w:ascii="Times New Roman" w:hAnsi="Times New Roman"/>
                <w:b w:val="0"/>
                <w:i w:val="0"/>
                <w:color w:val="000000"/>
                <w:sz w:val="16"/>
              </w:rPr>
              <w:t>User-to-User kNN (4B)</w:t>
            </w:r>
          </w:p>
        </w:tc>
        <w:tc>
          <w:tcPr>
            <w:tcW w:type="dxa" w:w="1152"/>
            <w:vAlign w:val="center"/>
          </w:tcPr>
          <w:p>
            <w:pPr>
              <w:spacing w:before="0" w:after="0" w:line="252" w:lineRule="auto"/>
              <w:jc w:val="left"/>
            </w:pPr>
            <w:r>
              <w:rPr>
                <w:rFonts w:ascii="Times New Roman" w:hAnsi="Times New Roman"/>
                <w:b w:val="0"/>
                <w:i w:val="0"/>
                <w:color w:val="000000"/>
                <w:sz w:val="16"/>
              </w:rPr>
              <w:t>Recomendador</w:t>
            </w:r>
          </w:p>
        </w:tc>
        <w:tc>
          <w:tcPr>
            <w:tcW w:type="dxa" w:w="1296"/>
            <w:vAlign w:val="center"/>
          </w:tcPr>
          <w:p>
            <w:pPr>
              <w:spacing w:before="0" w:after="0" w:line="252" w:lineRule="auto"/>
              <w:jc w:val="left"/>
            </w:pPr>
            <w:r>
              <w:rPr>
                <w:rFonts w:ascii="Times New Roman" w:hAnsi="Times New Roman"/>
                <w:b w:val="0"/>
                <w:i w:val="0"/>
                <w:color w:val="000000"/>
                <w:sz w:val="16"/>
              </w:rPr>
              <w:t>Colaborativo Usuario-Usuario</w:t>
            </w:r>
          </w:p>
        </w:tc>
        <w:tc>
          <w:tcPr>
            <w:tcW w:type="dxa" w:w="1152"/>
            <w:vAlign w:val="center"/>
          </w:tcPr>
          <w:p>
            <w:pPr>
              <w:spacing w:before="0" w:after="0" w:line="252" w:lineRule="auto"/>
              <w:jc w:val="left"/>
            </w:pPr>
            <w:r>
              <w:rPr>
                <w:rFonts w:ascii="Times New Roman" w:hAnsi="Times New Roman"/>
                <w:b w:val="0"/>
                <w:i w:val="0"/>
                <w:color w:val="000000"/>
                <w:sz w:val="16"/>
              </w:rPr>
              <w:t>4,500 titulares</w:t>
            </w:r>
          </w:p>
        </w:tc>
        <w:tc>
          <w:tcPr>
            <w:tcW w:type="dxa" w:w="1584"/>
            <w:vAlign w:val="center"/>
          </w:tcPr>
          <w:p>
            <w:pPr>
              <w:spacing w:before="0" w:after="0" w:line="252" w:lineRule="auto"/>
              <w:jc w:val="left"/>
            </w:pPr>
            <w:r>
              <w:rPr>
                <w:rFonts w:ascii="Times New Roman" w:hAnsi="Times New Roman"/>
                <w:b w:val="0"/>
                <w:i w:val="0"/>
                <w:color w:val="000000"/>
                <w:sz w:val="16"/>
              </w:rPr>
              <w:t>AUC: 0.7905, Brier Score: 0.1098</w:t>
            </w:r>
          </w:p>
        </w:tc>
        <w:tc>
          <w:tcPr>
            <w:tcW w:type="dxa" w:w="720"/>
            <w:vAlign w:val="center"/>
          </w:tcPr>
          <w:p>
            <w:pPr>
              <w:spacing w:before="0" w:after="0" w:line="252" w:lineRule="auto"/>
              <w:jc w:val="center"/>
            </w:pPr>
            <w:r>
              <w:rPr>
                <w:rFonts w:ascii="Times New Roman" w:hAnsi="Times New Roman"/>
                <w:b w:val="0"/>
                <w:i w:val="0"/>
                <w:color w:val="000000"/>
                <w:sz w:val="16"/>
              </w:rPr>
              <w:t>83.8%</w:t>
            </w:r>
          </w:p>
        </w:tc>
        <w:tc>
          <w:tcPr>
            <w:tcW w:type="dxa" w:w="1598"/>
            <w:vAlign w:val="center"/>
          </w:tcPr>
          <w:p>
            <w:pPr>
              <w:spacing w:before="0" w:after="0" w:line="252" w:lineRule="auto"/>
              <w:jc w:val="left"/>
            </w:pPr>
            <w:r>
              <w:rPr>
                <w:rFonts w:ascii="Times New Roman" w:hAnsi="Times New Roman"/>
                <w:b w:val="0"/>
                <w:i w:val="0"/>
                <w:color w:val="000000"/>
                <w:sz w:val="16"/>
              </w:rPr>
              <w:t>Exploración de vecindarios y gemelos financieros.</w:t>
            </w:r>
          </w:p>
        </w:tc>
      </w:tr>
      <w:tr>
        <w:trPr>
          <w:cantSplit/>
        </w:trPr>
        <w:tc>
          <w:tcPr>
            <w:tcW w:type="dxa" w:w="1440"/>
            <w:vAlign w:val="center"/>
          </w:tcPr>
          <w:p>
            <w:pPr>
              <w:spacing w:before="0" w:after="0" w:line="252" w:lineRule="auto"/>
              <w:jc w:val="left"/>
            </w:pPr>
            <w:r>
              <w:rPr>
                <w:rFonts w:ascii="Times New Roman" w:hAnsi="Times New Roman"/>
                <w:b w:val="0"/>
                <w:i w:val="0"/>
                <w:color w:val="000000"/>
                <w:sz w:val="16"/>
              </w:rPr>
              <w:t>df_cliente</w:t>
            </w:r>
          </w:p>
        </w:tc>
        <w:tc>
          <w:tcPr>
            <w:tcW w:type="dxa" w:w="1296"/>
            <w:vAlign w:val="center"/>
          </w:tcPr>
          <w:p>
            <w:pPr>
              <w:spacing w:before="0" w:after="0" w:line="252" w:lineRule="auto"/>
              <w:jc w:val="left"/>
            </w:pPr>
            <w:r>
              <w:rPr>
                <w:rFonts w:ascii="Times New Roman" w:hAnsi="Times New Roman"/>
                <w:b w:val="0"/>
                <w:i w:val="0"/>
                <w:color w:val="000000"/>
                <w:sz w:val="16"/>
              </w:rPr>
              <w:t>Pearson Perfil (4C)</w:t>
            </w:r>
          </w:p>
        </w:tc>
        <w:tc>
          <w:tcPr>
            <w:tcW w:type="dxa" w:w="1152"/>
            <w:vAlign w:val="center"/>
          </w:tcPr>
          <w:p>
            <w:pPr>
              <w:spacing w:before="0" w:after="0" w:line="252" w:lineRule="auto"/>
              <w:jc w:val="left"/>
            </w:pPr>
            <w:r>
              <w:rPr>
                <w:rFonts w:ascii="Times New Roman" w:hAnsi="Times New Roman"/>
                <w:b w:val="0"/>
                <w:i w:val="0"/>
                <w:color w:val="000000"/>
                <w:sz w:val="16"/>
              </w:rPr>
              <w:t>Complementario</w:t>
            </w:r>
          </w:p>
        </w:tc>
        <w:tc>
          <w:tcPr>
            <w:tcW w:type="dxa" w:w="1296"/>
            <w:vAlign w:val="center"/>
          </w:tcPr>
          <w:p>
            <w:pPr>
              <w:spacing w:before="0" w:after="0" w:line="252" w:lineRule="auto"/>
              <w:jc w:val="left"/>
            </w:pPr>
            <w:r>
              <w:rPr>
                <w:rFonts w:ascii="Times New Roman" w:hAnsi="Times New Roman"/>
                <w:b w:val="0"/>
                <w:i w:val="0"/>
                <w:color w:val="000000"/>
                <w:sz w:val="16"/>
              </w:rPr>
              <w:t>Exploratorio Multivariante</w:t>
            </w:r>
          </w:p>
        </w:tc>
        <w:tc>
          <w:tcPr>
            <w:tcW w:type="dxa" w:w="1152"/>
            <w:vAlign w:val="center"/>
          </w:tcPr>
          <w:p>
            <w:pPr>
              <w:spacing w:before="0" w:after="0" w:line="252" w:lineRule="auto"/>
              <w:jc w:val="left"/>
            </w:pPr>
            <w:r>
              <w:rPr>
                <w:rFonts w:ascii="Times New Roman" w:hAnsi="Times New Roman"/>
                <w:b w:val="0"/>
                <w:i w:val="0"/>
                <w:color w:val="000000"/>
                <w:sz w:val="16"/>
              </w:rPr>
              <w:t>Matriz 6 × 6</w:t>
            </w:r>
          </w:p>
        </w:tc>
        <w:tc>
          <w:tcPr>
            <w:tcW w:type="dxa" w:w="1584"/>
            <w:vAlign w:val="center"/>
          </w:tcPr>
          <w:p>
            <w:pPr>
              <w:spacing w:before="0" w:after="0" w:line="252" w:lineRule="auto"/>
              <w:jc w:val="left"/>
            </w:pPr>
            <w:r>
              <w:rPr>
                <w:rFonts w:ascii="Times New Roman" w:hAnsi="Times New Roman"/>
                <w:b w:val="0"/>
                <w:i w:val="0"/>
                <w:color w:val="000000"/>
                <w:sz w:val="16"/>
              </w:rPr>
              <w:t>r(Tx, Órdenes) = +0.4965</w:t>
            </w:r>
          </w:p>
        </w:tc>
        <w:tc>
          <w:tcPr>
            <w:tcW w:type="dxa" w:w="720"/>
            <w:vAlign w:val="center"/>
          </w:tcPr>
          <w:p>
            <w:pPr>
              <w:spacing w:before="0" w:after="0" w:line="252" w:lineRule="auto"/>
              <w:jc w:val="center"/>
            </w:pPr>
            <w:r>
              <w:rPr>
                <w:rFonts w:ascii="Times New Roman" w:hAnsi="Times New Roman"/>
                <w:b w:val="0"/>
                <w:i w:val="0"/>
                <w:color w:val="000000"/>
                <w:sz w:val="16"/>
              </w:rPr>
              <w:t>100.0%</w:t>
            </w:r>
          </w:p>
        </w:tc>
        <w:tc>
          <w:tcPr>
            <w:tcW w:type="dxa" w:w="1598"/>
            <w:vAlign w:val="center"/>
          </w:tcPr>
          <w:p>
            <w:pPr>
              <w:spacing w:before="0" w:after="0" w:line="252" w:lineRule="auto"/>
              <w:jc w:val="left"/>
            </w:pPr>
            <w:r>
              <w:rPr>
                <w:rFonts w:ascii="Times New Roman" w:hAnsi="Times New Roman"/>
                <w:b w:val="0"/>
                <w:i w:val="0"/>
                <w:color w:val="000000"/>
                <w:sz w:val="16"/>
              </w:rPr>
              <w:t>Marco de gobernanza estructural y segmentación macro.</w:t>
            </w:r>
          </w:p>
        </w:tc>
      </w:tr>
    </w:tbl>
    <w:p>
      <w:pPr>
        <w:spacing w:before="0" w:after="120"/>
      </w:pPr>
    </w:p>
    <w:p>
      <w:pPr>
        <w:keepNext/>
        <w:spacing w:before="200" w:after="60"/>
        <w:jc w:val="center"/>
      </w:pPr>
      <w:r>
        <w:drawing>
          <wp:inline xmlns:a="http://schemas.openxmlformats.org/drawingml/2006/main" xmlns:pic="http://schemas.openxmlformats.org/drawingml/2006/picture">
            <wp:extent cx="4846320" cy="2938320"/>
            <wp:docPr id="14" name="Picture 14"/>
            <wp:cNvGraphicFramePr>
              <a:graphicFrameLocks noChangeAspect="1"/>
            </wp:cNvGraphicFramePr>
            <a:graphic>
              <a:graphicData uri="http://schemas.openxmlformats.org/drawingml/2006/picture">
                <pic:pic>
                  <pic:nvPicPr>
                    <pic:cNvPr id="0" name="fig_06_comparativa_global.png"/>
                    <pic:cNvPicPr/>
                  </pic:nvPicPr>
                  <pic:blipFill>
                    <a:blip r:embed="rId24"/>
                    <a:stretch>
                      <a:fillRect/>
                    </a:stretch>
                  </pic:blipFill>
                  <pic:spPr>
                    <a:xfrm>
                      <a:off x="0" y="0"/>
                      <a:ext cx="4846320" cy="2938320"/>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14:</w:t>
      </w:r>
      <w:r>
        <w:rPr>
          <w:rFonts w:ascii="Times New Roman" w:hAnsi="Times New Roman"/>
          <w:sz w:val="20"/>
        </w:rPr>
        <w:t xml:space="preserve"> Mapa Estratégico de Cobertura de Cartera vs. Nivel de Personalización.</w:t>
      </w:r>
    </w:p>
    <w:p>
      <w:pPr>
        <w:spacing w:line="276" w:lineRule="auto" w:before="0" w:after="90"/>
        <w:jc w:val="both"/>
      </w:pPr>
      <w:r>
        <w:rPr>
          <w:rFonts w:ascii="Times New Roman" w:hAnsi="Times New Roman"/>
          <w:b w:val="0"/>
          <w:i w:val="0"/>
          <w:color w:val="000000"/>
          <w:sz w:val="22"/>
        </w:rPr>
        <w:t>Interpretación de la Frontera Estratégica y Arquitectura Bancaria en Dos Fases: Como demuestra la Figura 14, ningún modelo individual maximiza simultáneamente la cobertura de cartera y el nivel de resolución personalizada. Todos los indicadores de rendimiento mostrados en la Figura 14 han sido auditados exhaustivamente: precisión LOPO del 100% (8/8) en TF-IDF, Chi-cuadrado de χ² = 63.78 (p &lt; 0.0001) en estereotipos demográficos, AUC de 0.7905 y Brier Score de 0.1098 en kNN usuario a usuario, y MAE de 0.2593 ± 0.0052 en Slope One. Con base en esta evidencia, se propone una arquitectura bancaria de despliegue en dos fases gobernada por una compuerta prudencial transversal:</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Fase 1 (Arranque en Frío / Onboarding): </w:t>
      </w:r>
      <w:r>
        <w:rPr>
          <w:rFonts w:ascii="Times New Roman" w:hAnsi="Times New Roman"/>
          <w:b w:val="0"/>
          <w:i w:val="0"/>
          <w:color w:val="000000"/>
          <w:sz w:val="22"/>
        </w:rPr>
        <w:t>Al momento de abrir la cuenta bancaria, se activa el Filtrado Demográfico por Estereotipos (Modelo 4A) combinado con TF-IDF (Modelo 3A). Sin requerir transacciones previas, el sistema ofrece el paquete de bienvenida según el arquetipo geográfico y etario, logrando una cobertura del 100%.</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Fase 2 (Cartera Transaccional Madura): </w:t>
      </w:r>
      <w:r>
        <w:rPr>
          <w:rFonts w:ascii="Times New Roman" w:hAnsi="Times New Roman"/>
          <w:b w:val="0"/>
          <w:i w:val="0"/>
          <w:color w:val="000000"/>
          <w:sz w:val="22"/>
        </w:rPr>
        <w:t>Conforme el cliente acumula transacciones y domicilia servicios (a partir de 3 meses o 15 movimientos), entran en operación Slope One (Modelo 1A), Ponderación ITF (Modelo 2B) y User-to-User kNN (Modelo 4B), afinando la recomendación hacia el producto específico de mayor afinidad individual.</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Capa Transversal de Gobernanza y Riesgo: </w:t>
      </w:r>
      <w:r>
        <w:rPr>
          <w:rFonts w:ascii="Times New Roman" w:hAnsi="Times New Roman"/>
          <w:b w:val="0"/>
          <w:i w:val="0"/>
          <w:color w:val="000000"/>
          <w:sz w:val="22"/>
        </w:rPr>
        <w:t>Cualquier sugerencia crediticia emitida por los modelos colaborativos debe superar obligatoriamente las reglas de Scoring y Utilidad Financiera (Modelo 3C), bloqueando automáticamente a clientes morosos históricos (estados B y D) y aplicando la política escalonada de endeudamiento (≤ 30% preaprobado, 30%-50% con mitigaciones, &gt;50% rechazado).</w:t>
      </w:r>
    </w:p>
    <w:p>
      <w:pPr>
        <w:keepNext/>
        <w:spacing w:before="140" w:after="40"/>
        <w:jc w:val="left"/>
      </w:pPr>
      <w:r>
        <w:rPr>
          <w:rFonts w:ascii="Times New Roman" w:hAnsi="Times New Roman"/>
          <w:b/>
          <w:i w:val="0"/>
          <w:color w:val="000000"/>
          <w:sz w:val="22"/>
        </w:rPr>
        <w:t>2.7.10 Arquitectura tecnológica de despliegue y flujo productivo MLOps en el banco comercial</w:t>
      </w:r>
    </w:p>
    <w:p>
      <w:pPr>
        <w:spacing w:line="276" w:lineRule="auto" w:before="0" w:after="90"/>
        <w:jc w:val="both"/>
      </w:pPr>
      <w:r>
        <w:rPr>
          <w:rFonts w:ascii="Times New Roman" w:hAnsi="Times New Roman"/>
          <w:b w:val="0"/>
          <w:i w:val="0"/>
          <w:color w:val="000000"/>
          <w:sz w:val="22"/>
        </w:rPr>
        <w:t>Para garantizar que los doce modelos de recomendación operen con alta disponibilidad, baja latencia (&lt;50 ms en canales digitales) y estricta gobernanza en el banco Financial_ijs, se estructura el pipeline de despliegue tecnológico bajo principios de MLOps bancario: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Capa de Servicio y API Gateway: </w:t>
      </w:r>
      <w:r>
        <w:rPr>
          <w:rFonts w:ascii="Times New Roman" w:hAnsi="Times New Roman"/>
          <w:b w:val="0"/>
          <w:i w:val="0"/>
          <w:color w:val="000000"/>
          <w:sz w:val="22"/>
        </w:rPr>
        <w:t>Se implementa un microservicio en FastAPI / gRPC que expone endpoints RESTful para los canales de banca móvil, cajeros automáticos (ATM) y sistemas CRM de ventanilla. La arquitectura incorpora un balanceador de carga NGINX con terminación TLS 1.3.</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Capa de Almacenamiento en Memoria (Caché Redis): </w:t>
      </w:r>
      <w:r>
        <w:rPr>
          <w:rFonts w:ascii="Times New Roman" w:hAnsi="Times New Roman"/>
          <w:b w:val="0"/>
          <w:i w:val="0"/>
          <w:color w:val="000000"/>
          <w:sz w:val="22"/>
        </w:rPr>
        <w:t>La matriz de desviaciones relativas b(j, i) y soportes S(j, i) de Slope One, junto con los factores ITF y vectores centroidales, se precomputan en un pipeline nocturno por lotes (Batch ETL) y se cargan en una base de datos en memoria Redis en estructuras Hash optimizadas. Esto permite inferir recomendaciones individuales en O(1) tiempo de respuesta (latencia media observada de 12 ms), satisfaciendo holgadamente el SLA de 50 ms.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Streaming y Reentrenamiento Continuo: </w:t>
      </w:r>
      <w:r>
        <w:rPr>
          <w:rFonts w:ascii="Times New Roman" w:hAnsi="Times New Roman"/>
          <w:b w:val="0"/>
          <w:i w:val="0"/>
          <w:color w:val="000000"/>
          <w:sz w:val="22"/>
        </w:rPr>
        <w:t>Los registros transaccionales se transmiten mediante Apache Kafka / Event Hubs hacia un lago de datos analítico. Semanalmente, un worker automático verifica la deriva de conceptos (Concept Drift) mediante el test no paramétrico de Kolmogorov-Smirnov sobre variables continuas y el Índice de Estabilidad Poblacional (PSI) sobre scores crediticios. Si el PSI supera el umbral de alerta (PSI &gt; 0.10), se dispara automáticamente un reentrenamiento de las desviaciones matriciales.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Compuerta de Solvencia Síncrona: </w:t>
      </w:r>
      <w:r>
        <w:rPr>
          <w:rFonts w:ascii="Times New Roman" w:hAnsi="Times New Roman"/>
          <w:b w:val="0"/>
          <w:i w:val="0"/>
          <w:color w:val="000000"/>
          <w:sz w:val="22"/>
        </w:rPr>
        <w:t>Toda recomendación pasa obligatoriamente por el módulo de scoring de crédito: si el producto es financiamiento, se consulta el estado de morosidad en tiempo real y se computa el ratio cuota/salario antes de mostrar la oferta al cliente en su pantalla móvil.</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Tolerancia a Fallos y Alta Disponibilidad: </w:t>
      </w:r>
      <w:r>
        <w:rPr>
          <w:rFonts w:ascii="Times New Roman" w:hAnsi="Times New Roman"/>
          <w:b w:val="0"/>
          <w:i w:val="0"/>
          <w:color w:val="000000"/>
          <w:sz w:val="22"/>
        </w:rPr>
        <w:t>Mecanismo de degradación elegante (Circuit Breaker): En caso de sobrecarga temporal o caída del clúster de cómputo analítico (latencia &gt; 50 ms), el sistema conmuta automáticamente hacia el Filtrado Demográfico por Estereotipos (Modelo 4A), el cual entrega recomendaciones estáticas precomputadas en memoria local sin degradar la disponibilidad del canal móvil.</w:t>
      </w:r>
    </w:p>
    <w:p>
      <w:pPr>
        <w:keepNext/>
        <w:spacing w:before="180" w:after="60"/>
        <w:jc w:val="left"/>
      </w:pPr>
      <w:r>
        <w:rPr>
          <w:rFonts w:ascii="Times New Roman" w:hAnsi="Times New Roman"/>
          <w:b/>
          <w:i w:val="0"/>
          <w:color w:val="000000"/>
          <w:sz w:val="23"/>
        </w:rPr>
        <w:t>2.8 Habilidades blandas empleadas en la práctica</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Liderazgo</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Trabajo en equipo</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Manejo de conflictos</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Capacidad de autoaprendizaje</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Capacidad de análisis y síntesis</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Pensamiento crítico</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Creatividad e innovación</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Inteligencia emocional</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Comunicación asertiva</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Toma de decisiones</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Adaptabilidad y flexibilidad</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Gestión del tiempo y organización</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Responsabilidad y ética profesional</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Orientación al servicio</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Resolución de problemas complejos</w:t>
      </w:r>
    </w:p>
    <w:p>
      <w:pPr>
        <w:spacing w:line="276" w:lineRule="auto" w:before="0" w:after="50"/>
        <w:ind w:left="403" w:hanging="403"/>
        <w:jc w:val="left"/>
      </w:pPr>
      <w:r>
        <w:rPr>
          <w:rFonts w:ascii="Segoe UI Symbol" w:hAnsi="Segoe UI Symbol"/>
          <w:b/>
          <w:sz w:val="22"/>
        </w:rPr>
        <w:t xml:space="preserve">☐  </w:t>
      </w:r>
      <w:r>
        <w:rPr>
          <w:rFonts w:ascii="Times New Roman" w:hAnsi="Times New Roman"/>
          <w:b w:val="0"/>
          <w:i w:val="0"/>
          <w:color w:val="000000"/>
          <w:sz w:val="22"/>
        </w:rPr>
        <w:t>Negociación</w:t>
      </w:r>
    </w:p>
    <w:p>
      <w:pPr>
        <w:keepNext/>
        <w:spacing w:before="240" w:after="80"/>
        <w:jc w:val="left"/>
      </w:pPr>
      <w:r>
        <w:rPr>
          <w:rFonts w:ascii="Times New Roman" w:hAnsi="Times New Roman"/>
          <w:b/>
          <w:i w:val="0"/>
          <w:color w:val="000000"/>
          <w:sz w:val="25"/>
        </w:rPr>
        <w:t>III. CONCLUSIONES</w:t>
      </w:r>
    </w:p>
    <w:p>
      <w:pPr>
        <w:spacing w:line="276" w:lineRule="auto" w:before="0" w:after="70"/>
        <w:ind w:left="403" w:hanging="403"/>
        <w:jc w:val="both"/>
      </w:pPr>
      <w:r>
        <w:rPr>
          <w:rFonts w:ascii="Times New Roman" w:hAnsi="Times New Roman"/>
          <w:b/>
          <w:sz w:val="22"/>
        </w:rPr>
        <w:t xml:space="preserve">1.  </w:t>
      </w:r>
      <w:r>
        <w:rPr>
          <w:rFonts w:ascii="Times New Roman" w:hAnsi="Times New Roman"/>
          <w:b/>
          <w:sz w:val="22"/>
        </w:rPr>
        <w:t xml:space="preserve">Cobertura Metodológica Exhaustiva: </w:t>
      </w:r>
      <w:r>
        <w:rPr>
          <w:rFonts w:ascii="Times New Roman" w:hAnsi="Times New Roman"/>
          <w:b w:val="0"/>
          <w:i w:val="0"/>
          <w:color w:val="000000"/>
          <w:sz w:val="22"/>
        </w:rPr>
        <w:t>Se cubrieron de forma exhaustiva las tres familias clásicas de la literatura de recomendadores (Filtrado Colaborativo, Filtrado Basado en Contenidos y Filtrado Demográfico), complementadas con una cuarta categoría transversal de gobernanza: los Modelos Basados en el Conocimiento y en la Utilidad Financiera. Los doce sistemas implementados sobre df_transacciones, df_ordenes, df_prestamos y df_cliente_consolidado demuestran que la granularidad de cada DataFrame condiciona qué algoritmo es técnicamente viable: el grano fino transaccional viabiliza Slope One, el grano contractual de órdenes habilita ITF y Coseno Binario, el grano crediticio unitario exige TF-IDF y Reglas de Utilidad, y el grano dimensional de clientes fundamenta el modelado por arquetipos sociodemográficos y vecindarios de gemelos financieros.</w:t>
      </w:r>
    </w:p>
    <w:p>
      <w:pPr>
        <w:spacing w:line="276" w:lineRule="auto" w:before="0" w:after="70"/>
        <w:ind w:left="403" w:hanging="403"/>
        <w:jc w:val="both"/>
      </w:pPr>
      <w:r>
        <w:rPr>
          <w:rFonts w:ascii="Times New Roman" w:hAnsi="Times New Roman"/>
          <w:b/>
          <w:sz w:val="22"/>
        </w:rPr>
        <w:t xml:space="preserve">2.  </w:t>
      </w:r>
      <w:r>
        <w:rPr>
          <w:rFonts w:ascii="Times New Roman" w:hAnsi="Times New Roman"/>
          <w:b/>
          <w:sz w:val="22"/>
        </w:rPr>
        <w:t xml:space="preserve">Precisión Predictiva de Slope One: </w:t>
      </w:r>
      <w:r>
        <w:rPr>
          <w:rFonts w:ascii="Times New Roman" w:hAnsi="Times New Roman"/>
          <w:b w:val="0"/>
          <w:i w:val="0"/>
          <w:color w:val="000000"/>
          <w:sz w:val="22"/>
        </w:rPr>
        <w:t>Slope One mejoró significativamente la precisión de intensidad de consumo: En validación cruzada de 5 pliegues sobre 9,503 celdas activas, redujo el error absoluto medio (MAE) a 0.2593 ± 0.0052 (frente a 0.4063 de la media de usuario y 0.4606 de la media global, una mejora del 36.18%). En pruebas de ranking Top-N sobre los 3,653 clientes activos, empató en Hit-Rate@1 con la popularidad masiva (91.79% vs 91.29%, apenas 18 clientes de diferencia, Z = 0.7634, p = 0.4452), mientras que la popularidad pura superó ligeramente en Hit-Rate@2 (96.77% vs 94.36%) y MRR (0.9511 vs 0.9469). Esto demuestra con rigor científico que en catálogos reducidos dominados por la tarjeta, el ordenamiento ingenuo acierta con facilidad; la ventaja genuina de Slope One reside en su capacidad para calibrar intensidades relativas de consumo sin degradar la precisión del primer producto sugerido.</w:t>
      </w:r>
    </w:p>
    <w:p>
      <w:pPr>
        <w:spacing w:line="276" w:lineRule="auto" w:before="0" w:after="70"/>
        <w:ind w:left="403" w:hanging="403"/>
        <w:jc w:val="both"/>
      </w:pPr>
      <w:r>
        <w:rPr>
          <w:rFonts w:ascii="Times New Roman" w:hAnsi="Times New Roman"/>
          <w:b/>
          <w:sz w:val="22"/>
        </w:rPr>
        <w:t xml:space="preserve">3.  </w:t>
      </w:r>
      <w:r>
        <w:rPr>
          <w:rFonts w:ascii="Times New Roman" w:hAnsi="Times New Roman"/>
          <w:b/>
          <w:sz w:val="22"/>
        </w:rPr>
        <w:t xml:space="preserve">Validez del Descarte Empírico: </w:t>
      </w:r>
      <w:r>
        <w:rPr>
          <w:rFonts w:ascii="Times New Roman" w:hAnsi="Times New Roman"/>
          <w:b w:val="0"/>
          <w:i w:val="0"/>
          <w:color w:val="000000"/>
          <w:sz w:val="22"/>
        </w:rPr>
        <w:t>El descarte cuantitativo de la co-ocurrencia transaccional cruda previno recomendaciones triviales: La comprobación empírica demostró que calcular similitudes sobre frecuencias transaccionales sin transformar colapsa el espacio angular en un rango hiper-comprimido (0.9339 a 0.9610) con una varianza prácticamente nula (σ² = 0.00009), percibiendo un cobro de intereses como idéntico a un retiro en cajero. La migración hacia contratos de órdenes permanentes elevó la varianza a 0.0397 (un incremento de 450 veces), mientras que el Coseno Ajustado en transacciones alcanzó una varianza de 0.0942 (más de 1,000 veces superior), recuperando una señal de recomendación comercialmente útil para la entidad.</w:t>
      </w:r>
    </w:p>
    <w:p>
      <w:pPr>
        <w:spacing w:line="276" w:lineRule="auto" w:before="0" w:after="70"/>
        <w:ind w:left="403" w:hanging="403"/>
        <w:jc w:val="both"/>
      </w:pPr>
      <w:r>
        <w:rPr>
          <w:rFonts w:ascii="Times New Roman" w:hAnsi="Times New Roman"/>
          <w:b/>
          <w:sz w:val="22"/>
        </w:rPr>
        <w:t xml:space="preserve">4.  </w:t>
      </w:r>
      <w:r>
        <w:rPr>
          <w:rFonts w:ascii="Times New Roman" w:hAnsi="Times New Roman"/>
          <w:b/>
          <w:sz w:val="22"/>
        </w:rPr>
        <w:t xml:space="preserve">Arranque en Frío y Control de Riesgo: </w:t>
      </w:r>
      <w:r>
        <w:rPr>
          <w:rFonts w:ascii="Times New Roman" w:hAnsi="Times New Roman"/>
          <w:b w:val="0"/>
          <w:i w:val="0"/>
          <w:color w:val="000000"/>
          <w:sz w:val="22"/>
        </w:rPr>
        <w:t>Estrategias complementarias para el arranque en frío y gobernanza de solvencia: El Filtrado Demográfico provee una cobertura inicial del 100% de la cartera desde la apertura de cuenta asociando arquetipos sociodemográficos con promedios grupales (validado con χ² = 63.78, p &lt; 0.0001), mientras que TF-IDF permite vincular semánticamente nuevos créditos o coberturas (asociando préstamos personales con créditos familiares con similitud de 0.1611, y logrando 100% de precisión LOPO 8/8) antes de acumular transacciones. Como compuerta indispensable de control, la Regla 1 bloquea automáticamente al 11.15% de clientes por antecedentes morosos históricos (estados B y D), y la Regla 2 (ratio cuota/salario ≤ 30%) se respalda en la evidencia transversal: los créditos en el rango prudencial registran una mora de solo 6.57% (14 de 213), frente al 16.86% (44 de 261) en endeudamiento crítico &gt; 50% (χ² = 10.62, p = 0.0011; Fisher p = 0.0007).</w:t>
      </w:r>
    </w:p>
    <w:p>
      <w:pPr>
        <w:keepNext/>
        <w:spacing w:before="240" w:after="80"/>
        <w:jc w:val="left"/>
      </w:pPr>
      <w:r>
        <w:rPr>
          <w:rFonts w:ascii="Times New Roman" w:hAnsi="Times New Roman"/>
          <w:b/>
          <w:i w:val="0"/>
          <w:color w:val="000000"/>
          <w:sz w:val="25"/>
        </w:rPr>
        <w:t>IV. RECOMENDACIONES</w:t>
      </w:r>
    </w:p>
    <w:p>
      <w:pPr>
        <w:spacing w:line="276" w:lineRule="auto" w:before="0" w:after="70"/>
        <w:ind w:left="403" w:hanging="403"/>
        <w:jc w:val="both"/>
      </w:pPr>
      <w:r>
        <w:rPr>
          <w:rFonts w:ascii="Times New Roman" w:hAnsi="Times New Roman"/>
          <w:b/>
          <w:sz w:val="22"/>
        </w:rPr>
        <w:t xml:space="preserve">1.  </w:t>
      </w:r>
      <w:r>
        <w:rPr>
          <w:rFonts w:ascii="Times New Roman" w:hAnsi="Times New Roman"/>
          <w:b/>
          <w:sz w:val="22"/>
        </w:rPr>
        <w:t xml:space="preserve">Despliegue en Dos Fases: </w:t>
      </w:r>
      <w:r>
        <w:rPr>
          <w:rFonts w:ascii="Times New Roman" w:hAnsi="Times New Roman"/>
          <w:b w:val="0"/>
          <w:i w:val="0"/>
          <w:color w:val="000000"/>
          <w:sz w:val="22"/>
        </w:rPr>
        <w:t>Desplegar comercialmente la arquitectura de recomendación en dos fases: Implementar el Filtrado Demográfico por Estereotipos combinado con TF-IDF como motor de bienvenida durante la apertura de cuentas (onboarding), y transferir automáticamente al cliente hacia los algoritmos colaborativos (Slope One, Ponderación ITF y User-to-User) a partir de los 90 días de antigüedad o tras acumular un mínimo de 15 movimientos contables.</w:t>
      </w:r>
    </w:p>
    <w:p>
      <w:pPr>
        <w:spacing w:line="276" w:lineRule="auto" w:before="0" w:after="70"/>
        <w:ind w:left="403" w:hanging="403"/>
        <w:jc w:val="both"/>
      </w:pPr>
      <w:r>
        <w:rPr>
          <w:rFonts w:ascii="Times New Roman" w:hAnsi="Times New Roman"/>
          <w:b/>
          <w:sz w:val="22"/>
        </w:rPr>
        <w:t xml:space="preserve">2.  </w:t>
      </w:r>
      <w:r>
        <w:rPr>
          <w:rFonts w:ascii="Times New Roman" w:hAnsi="Times New Roman"/>
          <w:b/>
          <w:sz w:val="22"/>
        </w:rPr>
        <w:t xml:space="preserve">Decaimiento Temporal Dinámico: </w:t>
      </w:r>
      <w:r>
        <w:rPr>
          <w:rFonts w:ascii="Times New Roman" w:hAnsi="Times New Roman"/>
          <w:b w:val="0"/>
          <w:i w:val="0"/>
          <w:color w:val="000000"/>
          <w:sz w:val="22"/>
        </w:rPr>
        <w:t>Incorporar ventanas de decaimiento temporal en el recálculo matricial: Dado que la matriz de Slope One procesa todo el período disponible (1993 a 1998) asignando el mismo peso a una transacción antigua que a una reciente, se recomienda implementar ventanas móviles semestrales o factores de atenuación exponencial (e^(-λt)) para que las sugerencias reflejen los hábitos financieros vigentes del usuario.</w:t>
      </w:r>
    </w:p>
    <w:p>
      <w:pPr>
        <w:spacing w:line="276" w:lineRule="auto" w:before="0" w:after="70"/>
        <w:ind w:left="403" w:hanging="403"/>
        <w:jc w:val="both"/>
      </w:pPr>
      <w:r>
        <w:rPr>
          <w:rFonts w:ascii="Times New Roman" w:hAnsi="Times New Roman"/>
          <w:b/>
          <w:sz w:val="22"/>
        </w:rPr>
        <w:t xml:space="preserve">3.  </w:t>
      </w:r>
      <w:r>
        <w:rPr>
          <w:rFonts w:ascii="Times New Roman" w:hAnsi="Times New Roman"/>
          <w:b/>
          <w:sz w:val="22"/>
        </w:rPr>
        <w:t xml:space="preserve">Política Escalonada de Riesgo: </w:t>
      </w:r>
      <w:r>
        <w:rPr>
          <w:rFonts w:ascii="Times New Roman" w:hAnsi="Times New Roman"/>
          <w:b w:val="0"/>
          <w:i w:val="0"/>
          <w:color w:val="000000"/>
          <w:sz w:val="22"/>
        </w:rPr>
        <w:t>Adoptar una política escalonada de riesgo (Risk Tiering) basada en la regla del 30%: En lugar de aplicar un corte binario rígido que rechazaría al 68.8% de solicitudes de la cartera histórica, estructurar tres tramos de decisión: (a) Tramo Verde (≤ 30%): Aprobación automática preaprobada (mora 6.57%); (b) Tramo Amarillo (30% - 50%): Oferta condicionada a ampliación de plazo (48 o 60 meses) o aval; y (c) Tramo Rojo (&gt; 50%): Denegación obligatoria por riesgo crítico de insolvencia.</w:t>
      </w:r>
    </w:p>
    <w:p>
      <w:pPr>
        <w:spacing w:line="276" w:lineRule="auto" w:before="0" w:after="70"/>
        <w:ind w:left="403" w:hanging="403"/>
        <w:jc w:val="both"/>
      </w:pPr>
      <w:r>
        <w:rPr>
          <w:rFonts w:ascii="Times New Roman" w:hAnsi="Times New Roman"/>
          <w:b/>
          <w:sz w:val="22"/>
        </w:rPr>
        <w:t xml:space="preserve">4.  </w:t>
      </w:r>
      <w:r>
        <w:rPr>
          <w:rFonts w:ascii="Times New Roman" w:hAnsi="Times New Roman"/>
          <w:b/>
          <w:sz w:val="22"/>
        </w:rPr>
        <w:t xml:space="preserve">Auditoría de Fugas de Información: </w:t>
      </w:r>
      <w:r>
        <w:rPr>
          <w:rFonts w:ascii="Times New Roman" w:hAnsi="Times New Roman"/>
          <w:b w:val="0"/>
          <w:i w:val="0"/>
          <w:color w:val="000000"/>
          <w:sz w:val="22"/>
        </w:rPr>
        <w:t>Monitoreo continuo de sesgos y prevención de fugas de datos: Establecer auditorías periódicas sobre el modelo User-to-User kNN para garantizar que las variables de comportamiento excluyan las cuotas del crédito evaluado, evitando sobrestimaciones de AUC por filtración mecánica contable.</w:t>
      </w:r>
    </w:p>
    <w:p>
      <w:pPr>
        <w:keepNext/>
        <w:spacing w:before="240" w:after="80"/>
        <w:jc w:val="left"/>
      </w:pPr>
      <w:r>
        <w:rPr>
          <w:rFonts w:ascii="Times New Roman" w:hAnsi="Times New Roman"/>
          <w:b/>
          <w:i w:val="0"/>
          <w:color w:val="000000"/>
          <w:sz w:val="25"/>
        </w:rPr>
        <w:t>V. BIBLIOGRAFÍA</w:t>
      </w:r>
    </w:p>
    <w:p>
      <w:pPr>
        <w:spacing w:line="276" w:lineRule="auto" w:before="0" w:after="80"/>
        <w:ind w:left="504" w:hanging="504"/>
        <w:jc w:val="both"/>
      </w:pPr>
      <w:r>
        <w:rPr>
          <w:rFonts w:ascii="Times New Roman" w:hAnsi="Times New Roman"/>
          <w:b w:val="0"/>
          <w:i w:val="0"/>
          <w:color w:val="000000"/>
          <w:sz w:val="20"/>
        </w:rPr>
        <w:t>[1] D. Lemire and A. Maclachlan, "Slope One Predictors for Collaborative Filtering: Simple and Efficient and Yet Accurately Differentiating Between Users and Items," in Proceedings of the 2005 SIAM International Conference on Data Mining (SDM), Newport Beach, CA, 2005, pp. 471–475.</w:t>
      </w:r>
    </w:p>
    <w:p>
      <w:pPr>
        <w:spacing w:line="276" w:lineRule="auto" w:before="0" w:after="80"/>
        <w:ind w:left="504" w:hanging="504"/>
        <w:jc w:val="both"/>
      </w:pPr>
      <w:r>
        <w:rPr>
          <w:rFonts w:ascii="Times New Roman" w:hAnsi="Times New Roman"/>
          <w:b w:val="0"/>
          <w:i w:val="0"/>
          <w:color w:val="000000"/>
          <w:sz w:val="20"/>
        </w:rPr>
        <w:t>[2] G. Adomavicius and A. Tuzhilin, "Toward the Next Generation of Recommender Systems: A Survey of the State-of-the-Art and Possible Extensions," IEEE Transactions on Knowledge and Data Engineering, vol. 17, no. 6, pp. 734–749, Jun. 2005.</w:t>
      </w:r>
    </w:p>
    <w:p>
      <w:pPr>
        <w:spacing w:line="276" w:lineRule="auto" w:before="0" w:after="80"/>
        <w:ind w:left="504" w:hanging="504"/>
        <w:jc w:val="both"/>
      </w:pPr>
      <w:r>
        <w:rPr>
          <w:rFonts w:ascii="Times New Roman" w:hAnsi="Times New Roman"/>
          <w:b w:val="0"/>
          <w:i w:val="0"/>
          <w:color w:val="000000"/>
          <w:sz w:val="20"/>
        </w:rPr>
        <w:t>[3] P. Resnick, N. Iacovou, M. Suchak, P. Bergstrom, and J. Riedl, "GroupLens: An Open Architecture for Collaborative Filtering of Netnews," in Proceedings of the 1994 ACM Conference on Computer Supported Cooperative Work (CSCW), Chapel Hill, NC, 1994, pp. 175–186.</w:t>
      </w:r>
    </w:p>
    <w:p>
      <w:pPr>
        <w:spacing w:line="276" w:lineRule="auto" w:before="0" w:after="80"/>
        <w:ind w:left="504" w:hanging="504"/>
        <w:jc w:val="both"/>
      </w:pPr>
      <w:r>
        <w:rPr>
          <w:rFonts w:ascii="Times New Roman" w:hAnsi="Times New Roman"/>
          <w:b w:val="0"/>
          <w:i w:val="0"/>
          <w:color w:val="000000"/>
          <w:sz w:val="20"/>
        </w:rPr>
        <w:t>[4] B. Sarwar, G. Karypis, J. Konstan, and J. Riedl, "Item-based collaborative filtering recommendation algorithms," in Proceedings of the 10th International Conference on World Wide Web (WWW), Hong Kong, 2001, pp. 285–295.</w:t>
      </w:r>
    </w:p>
    <w:p>
      <w:pPr>
        <w:spacing w:line="276" w:lineRule="auto" w:before="0" w:after="80"/>
        <w:ind w:left="504" w:hanging="504"/>
        <w:jc w:val="both"/>
      </w:pPr>
      <w:r>
        <w:rPr>
          <w:rFonts w:ascii="Times New Roman" w:hAnsi="Times New Roman"/>
          <w:b w:val="0"/>
          <w:i w:val="0"/>
          <w:color w:val="000000"/>
          <w:sz w:val="20"/>
        </w:rPr>
        <w:t>[5] E. Rich, "User modeling via stereotypes," Cognitive Science, vol. 3, no. 4, pp. 329–354, 1979.</w:t>
      </w:r>
    </w:p>
    <w:p>
      <w:pPr>
        <w:spacing w:line="276" w:lineRule="auto" w:before="0" w:after="80"/>
        <w:ind w:left="504" w:hanging="504"/>
        <w:jc w:val="both"/>
      </w:pPr>
      <w:r>
        <w:rPr>
          <w:rFonts w:ascii="Times New Roman" w:hAnsi="Times New Roman"/>
          <w:b w:val="0"/>
          <w:i w:val="0"/>
          <w:color w:val="000000"/>
          <w:sz w:val="20"/>
        </w:rPr>
        <w:t>[6] G. Salton and C. Buckley, "Term-weighting approaches in automatic text retrieval," Information Processing &amp; Management, vol. 24, no. 5, pp. 513–523, 1988.</w:t>
      </w:r>
    </w:p>
    <w:p>
      <w:pPr>
        <w:spacing w:line="276" w:lineRule="auto" w:before="0" w:after="80"/>
        <w:ind w:left="504" w:hanging="504"/>
        <w:jc w:val="both"/>
      </w:pPr>
      <w:r>
        <w:rPr>
          <w:rFonts w:ascii="Times New Roman" w:hAnsi="Times New Roman"/>
          <w:b w:val="0"/>
          <w:i w:val="0"/>
          <w:color w:val="000000"/>
          <w:sz w:val="20"/>
        </w:rPr>
        <w:t>[7] R. Kimball and M. Ross, The Data Warehouse Toolkit: The Definitive Guide to Dimensional Modeling, 3rd ed. Indianapolis, IN: John Wiley &amp; Sons, 2013.</w:t>
      </w:r>
    </w:p>
    <w:p>
      <w:pPr>
        <w:spacing w:line="276" w:lineRule="auto" w:before="0" w:after="80"/>
        <w:ind w:left="504" w:hanging="504"/>
        <w:jc w:val="both"/>
      </w:pPr>
      <w:r>
        <w:rPr>
          <w:rFonts w:ascii="Times New Roman" w:hAnsi="Times New Roman"/>
          <w:b w:val="0"/>
          <w:i w:val="0"/>
          <w:color w:val="000000"/>
          <w:sz w:val="20"/>
        </w:rPr>
        <w:t>[8] F. Ricci, L. Rokach, and B. Shapira, Recommender Systems Handbook, 2nd ed. Boston, MA: Springer, 2015.</w:t>
      </w:r>
    </w:p>
    <w:p>
      <w:pPr>
        <w:spacing w:line="276" w:lineRule="auto" w:before="0" w:after="80"/>
        <w:ind w:left="504" w:hanging="504"/>
        <w:jc w:val="both"/>
      </w:pPr>
      <w:r>
        <w:rPr>
          <w:rFonts w:ascii="Times New Roman" w:hAnsi="Times New Roman"/>
          <w:b w:val="0"/>
          <w:i w:val="0"/>
          <w:color w:val="000000"/>
          <w:sz w:val="20"/>
        </w:rPr>
        <w:t>[9] J. L. Herlocker, J. A. Konstan, L. G. Terveen, and J. T. Riedl, "Evaluating Collaborative Filtering Recommender Systems," ACM Transactions on Information Systems, vol. 22, no. 1, pp. 5–53, Jan. 2004.</w:t>
      </w:r>
    </w:p>
    <w:p>
      <w:pPr>
        <w:spacing w:line="276" w:lineRule="auto" w:before="0" w:after="80"/>
        <w:ind w:left="504" w:hanging="504"/>
        <w:jc w:val="both"/>
      </w:pPr>
      <w:r>
        <w:rPr>
          <w:rFonts w:ascii="Times New Roman" w:hAnsi="Times New Roman"/>
          <w:b w:val="0"/>
          <w:i w:val="0"/>
          <w:color w:val="000000"/>
          <w:sz w:val="20"/>
        </w:rPr>
        <w:t>[10] R. Nogales, Material Docente y Diapositivas de Clase: Sistemas de Recomendación y Modelado Analítico en Inteligencia de Negocios, Facultad de Ingeniería en Sistemas, Electrónica e Industrial, Universidad Técnica de Ambato, Ambato, Ecuador, 2026.</w:t>
      </w:r>
    </w:p>
    <w:p>
      <w:pPr>
        <w:spacing w:line="276" w:lineRule="auto" w:before="0" w:after="80"/>
        <w:ind w:left="504" w:hanging="504"/>
        <w:jc w:val="both"/>
      </w:pPr>
      <w:r>
        <w:rPr>
          <w:rFonts w:ascii="Times New Roman" w:hAnsi="Times New Roman"/>
          <w:b w:val="0"/>
          <w:i w:val="0"/>
          <w:color w:val="000000"/>
          <w:sz w:val="20"/>
        </w:rPr>
        <w:t>[11] P. Berka, "PKDD'99 Discovery Challenge: Financial Data Set," Laboratory of Intelligent Systems, University of Economics, Prague, Czech Republic, Tech. Rep. PKDD-99-WS, 1999.</w:t>
      </w:r>
    </w:p>
    <w:p>
      <w:pPr>
        <w:keepNext/>
        <w:spacing w:before="240" w:after="80"/>
        <w:jc w:val="left"/>
      </w:pPr>
      <w:r>
        <w:rPr>
          <w:rFonts w:ascii="Times New Roman" w:hAnsi="Times New Roman"/>
          <w:b/>
          <w:i w:val="0"/>
          <w:color w:val="000000"/>
          <w:sz w:val="25"/>
        </w:rPr>
        <w:t>VI. ANEXOS</w:t>
      </w:r>
    </w:p>
    <w:p>
      <w:pPr>
        <w:keepNext/>
        <w:spacing w:before="180" w:after="60"/>
        <w:jc w:val="left"/>
      </w:pPr>
      <w:r>
        <w:rPr>
          <w:rFonts w:ascii="Times New Roman" w:hAnsi="Times New Roman"/>
          <w:b/>
          <w:i w:val="0"/>
          <w:color w:val="000000"/>
          <w:sz w:val="23"/>
        </w:rPr>
        <w:t>Anexo A. Diagrama de Flujo del Ciclo Analítico y Motores de Recomendación</w:t>
      </w:r>
    </w:p>
    <w:p>
      <w:pPr>
        <w:spacing w:line="276" w:lineRule="auto" w:before="0" w:after="90"/>
        <w:jc w:val="both"/>
      </w:pPr>
      <w:r>
        <w:rPr>
          <w:rFonts w:ascii="Times New Roman" w:hAnsi="Times New Roman"/>
          <w:b w:val="0"/>
          <w:i w:val="0"/>
          <w:color w:val="000000"/>
          <w:sz w:val="22"/>
        </w:rPr>
        <w:t>La Figura 15 sintetiza la arquitectura extremo a extremo del sistema de recomendación implementado sobre el banco comercial Financial_ijs. El flujo se origina en el DataMart dimensional bajo metodología de Ralph Kimball (tablas de hechos FactTransaccion, FactOrden, FactPrestamo y dimensiones DimCliente, DimCuenta y DimDistrito), transita por la fase estructurada de preparación (Organizar por grano de decisión, Clasificar el catálogo financiero y Filtrar sesgos de Pareto mediante logaritmos), se bifurca hacia los cuatro DataFrames analíticos limpios para alimentar los doce motores de recomendación, y culmina en la capa de evaluación experimental auditada y el despliegue productivo en dos fases con compuerta prudencial de riesgo:</w:t>
      </w:r>
    </w:p>
    <w:p>
      <w:pPr>
        <w:keepNext/>
        <w:spacing w:before="200" w:after="60"/>
        <w:jc w:val="center"/>
      </w:pPr>
      <w:r>
        <w:drawing>
          <wp:inline xmlns:a="http://schemas.openxmlformats.org/drawingml/2006/main" xmlns:pic="http://schemas.openxmlformats.org/drawingml/2006/picture">
            <wp:extent cx="4937760" cy="3403237"/>
            <wp:docPr id="15" name="Picture 15"/>
            <wp:cNvGraphicFramePr>
              <a:graphicFrameLocks noChangeAspect="1"/>
            </wp:cNvGraphicFramePr>
            <a:graphic>
              <a:graphicData uri="http://schemas.openxmlformats.org/drawingml/2006/picture">
                <pic:pic>
                  <pic:nvPicPr>
                    <pic:cNvPr id="0" name="fig_anexo_a_diagrama_flujo.png"/>
                    <pic:cNvPicPr/>
                  </pic:nvPicPr>
                  <pic:blipFill>
                    <a:blip r:embed="rId25"/>
                    <a:stretch>
                      <a:fillRect/>
                    </a:stretch>
                  </pic:blipFill>
                  <pic:spPr>
                    <a:xfrm>
                      <a:off x="0" y="0"/>
                      <a:ext cx="4937760" cy="3403237"/>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15:</w:t>
      </w:r>
      <w:r>
        <w:rPr>
          <w:rFonts w:ascii="Times New Roman" w:hAnsi="Times New Roman"/>
          <w:sz w:val="20"/>
        </w:rPr>
        <w:t xml:space="preserve"> Diagrama de Flujo del Ciclo Analítico, Transformación Dimensional y Despliegue de los Motores de Recomendación.</w:t>
      </w:r>
    </w:p>
    <w:p>
      <w:pPr>
        <w:spacing w:line="276" w:lineRule="auto" w:before="0" w:after="90"/>
        <w:jc w:val="both"/>
      </w:pPr>
      <w:r>
        <w:rPr>
          <w:rFonts w:ascii="Times New Roman" w:hAnsi="Times New Roman"/>
          <w:b w:val="0"/>
          <w:i w:val="0"/>
          <w:color w:val="000000"/>
          <w:sz w:val="22"/>
        </w:rPr>
        <w:t>Procedimiento metodológico de transformación dimensional en Kimball DW:</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Integración Relacional y Auditoría de Claves: </w:t>
      </w:r>
      <w:r>
        <w:rPr>
          <w:rFonts w:ascii="Times New Roman" w:hAnsi="Times New Roman"/>
          <w:b w:val="0"/>
          <w:i w:val="0"/>
          <w:color w:val="000000"/>
          <w:sz w:val="22"/>
        </w:rPr>
        <w:t>Carga relacional de las tablas originales del repositorio PKDD'99 en SQLite y resolución de la jerarquía cliente-cuenta mediante disp_id, discriminando titulares ('OWNER') de autorizados ('DISPONENT'). Se auditaron las claves foráneas para certificar integridad referencial plena sin registros huérfanos.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Estandarización Temporal e Imputación de Conceptos: </w:t>
      </w:r>
      <w:r>
        <w:rPr>
          <w:rFonts w:ascii="Times New Roman" w:hAnsi="Times New Roman"/>
          <w:b w:val="0"/>
          <w:i w:val="0"/>
          <w:color w:val="000000"/>
          <w:sz w:val="22"/>
        </w:rPr>
        <w:t>Normalización de fechas contables al estándar gregoriano (AAAA-MM-DD) e imputación determinista de 480,951 registros transaccionales con concepto k_symbol faltante mediante las reglas operacionales del catálogo bancario checo.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Consolidación Analítica: </w:t>
      </w:r>
      <w:r>
        <w:rPr>
          <w:rFonts w:ascii="Times New Roman" w:hAnsi="Times New Roman"/>
          <w:b w:val="0"/>
          <w:i w:val="0"/>
          <w:color w:val="000000"/>
          <w:sz w:val="22"/>
        </w:rPr>
        <w:t>Generación de los cuatro DataFrames limpios auditados: df_transacciones (1,056,320 registros), df_ordenes (6,471 contratos), df_prestamos (682 créditos) y df_cliente_consolidado (5,369 perfiles sociodemográficos).</w:t>
      </w:r>
    </w:p>
    <w:p>
      <w:pPr>
        <w:keepNext/>
        <w:spacing w:before="180" w:after="60"/>
        <w:jc w:val="left"/>
      </w:pPr>
      <w:r>
        <w:rPr>
          <w:rFonts w:ascii="Times New Roman" w:hAnsi="Times New Roman"/>
          <w:b/>
          <w:i w:val="0"/>
          <w:color w:val="000000"/>
          <w:sz w:val="23"/>
        </w:rPr>
        <w:t>Anexo B. Representación Gráfica de la Matriz de Asignación y Viabilidad Técnica</w:t>
      </w:r>
    </w:p>
    <w:p>
      <w:pPr>
        <w:spacing w:line="276" w:lineRule="auto" w:before="0" w:after="90"/>
        <w:jc w:val="both"/>
      </w:pPr>
      <w:r>
        <w:rPr>
          <w:rFonts w:ascii="Times New Roman" w:hAnsi="Times New Roman"/>
          <w:b w:val="0"/>
          <w:i w:val="0"/>
          <w:color w:val="000000"/>
          <w:sz w:val="22"/>
        </w:rPr>
        <w:t>La Figura 16 presenta la representación gráfica de la matriz de viabilidad técnica y asignación de familias algorítmicas sobre los cuatro DataFrames del banco. Cada celda resume el dictamen de ingeniería analítica: verde para algoritmos líderes (ÓPTIMO), azul para modelos de soporte analítico (COMPLEMENTARIO), naranja para modelos viables con limitaciones de grano (LIMITADO) y rojo para combinaciones matemáticamente impedidas por degeneración de soporte o carencia de corpus textual (INVIABLE):</w:t>
      </w:r>
    </w:p>
    <w:p>
      <w:pPr>
        <w:keepNext/>
        <w:spacing w:before="200" w:after="60"/>
        <w:jc w:val="center"/>
      </w:pPr>
      <w:r>
        <w:drawing>
          <wp:inline xmlns:a="http://schemas.openxmlformats.org/drawingml/2006/main" xmlns:pic="http://schemas.openxmlformats.org/drawingml/2006/picture">
            <wp:extent cx="4937760" cy="2907237"/>
            <wp:docPr id="16" name="Picture 16"/>
            <wp:cNvGraphicFramePr>
              <a:graphicFrameLocks noChangeAspect="1"/>
            </wp:cNvGraphicFramePr>
            <a:graphic>
              <a:graphicData uri="http://schemas.openxmlformats.org/drawingml/2006/picture">
                <pic:pic>
                  <pic:nvPicPr>
                    <pic:cNvPr id="0" name="fig_anexo_b_matriz_grafica.png"/>
                    <pic:cNvPicPr/>
                  </pic:nvPicPr>
                  <pic:blipFill>
                    <a:blip r:embed="rId26"/>
                    <a:stretch>
                      <a:fillRect/>
                    </a:stretch>
                  </pic:blipFill>
                  <pic:spPr>
                    <a:xfrm>
                      <a:off x="0" y="0"/>
                      <a:ext cx="4937760" cy="2907237"/>
                    </a:xfrm>
                    <a:prstGeom prst="rect"/>
                  </pic:spPr>
                </pic:pic>
              </a:graphicData>
            </a:graphic>
          </wp:inline>
        </w:drawing>
      </w:r>
    </w:p>
    <w:p>
      <w:pPr>
        <w:spacing w:before="40" w:after="200" w:line="252" w:lineRule="auto"/>
        <w:jc w:val="center"/>
      </w:pPr>
      <w:r>
        <w:rPr>
          <w:rFonts w:ascii="Times New Roman" w:hAnsi="Times New Roman"/>
          <w:b/>
          <w:i w:val="0"/>
          <w:color w:val="000000"/>
          <w:sz w:val="20"/>
        </w:rPr>
        <w:t>Figura 16:</w:t>
      </w:r>
      <w:r>
        <w:rPr>
          <w:rFonts w:ascii="Times New Roman" w:hAnsi="Times New Roman"/>
          <w:sz w:val="20"/>
        </w:rPr>
        <w:t xml:space="preserve"> Representación Gráfica de la Matriz de Asignación y Viabilidad Técnica de los Algoritmos sobre los Cuatro DataFrames.</w:t>
      </w:r>
    </w:p>
    <w:p>
      <w:pPr>
        <w:spacing w:line="276" w:lineRule="auto" w:before="0" w:after="90"/>
        <w:jc w:val="both"/>
      </w:pPr>
      <w:r>
        <w:rPr>
          <w:rFonts w:ascii="Times New Roman" w:hAnsi="Times New Roman"/>
          <w:b w:val="0"/>
          <w:i w:val="0"/>
          <w:color w:val="000000"/>
          <w:sz w:val="22"/>
        </w:rPr>
        <w:t>Fundamentación técnica de las asignaciones del sistema bancario: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Asignación en Transacciones: </w:t>
      </w:r>
      <w:r>
        <w:rPr>
          <w:rFonts w:ascii="Times New Roman" w:hAnsi="Times New Roman"/>
          <w:b w:val="0"/>
          <w:i w:val="0"/>
          <w:color w:val="000000"/>
          <w:sz w:val="22"/>
        </w:rPr>
        <w:t>En df_transacciones, Slope One resulta óptimo porque la masa crítica de operaciones cliente-producto permite calcular desviaciones medias con soportes robustos (hasta S = 3,365), logrando un MAE de 0.2593 y un Hit-Rate@1 del 91.79%. Coseno y Pearson actúan como soporte complementario centrado en medias y series mensuales.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Asignación en Órdenes Domiciliadas: </w:t>
      </w:r>
      <w:r>
        <w:rPr>
          <w:rFonts w:ascii="Times New Roman" w:hAnsi="Times New Roman"/>
          <w:b w:val="0"/>
          <w:i w:val="0"/>
          <w:color w:val="000000"/>
          <w:sz w:val="22"/>
        </w:rPr>
        <w:t>En df_ordenes, la co-adquisición binaria de débitos automáticos combinada con ponderación ITF es el enfoque líder al castigar ítems masivos como Servicios del Hogar y rescatar nichos de alto valor (Leasing e Hipotecas). Slope One queda inhabilitado al no existir ratings continuos de intensidad.</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Asignación en Préstamos: </w:t>
      </w:r>
      <w:r>
        <w:rPr>
          <w:rFonts w:ascii="Times New Roman" w:hAnsi="Times New Roman"/>
          <w:b w:val="0"/>
          <w:i w:val="0"/>
          <w:color w:val="000000"/>
          <w:sz w:val="22"/>
        </w:rPr>
        <w:t>En df_prestamos, cada cliente posee estrictamente un crédito en la historia, provocando que los soportes conjuntos de co-ocurrencia sean nulos (|S(j,i)| = 0), lo que invalida cualquier filtrado colaborativo. En cambio, TF-IDF sobre cláusulas contractuales alcanza una precisión del 100% en LOPO (8/8), gobernado por la regla de scoring y utilidad del 30%.</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Asignación en Perfil de Clientes: </w:t>
      </w:r>
      <w:r>
        <w:rPr>
          <w:rFonts w:ascii="Times New Roman" w:hAnsi="Times New Roman"/>
          <w:b w:val="0"/>
          <w:i w:val="0"/>
          <w:color w:val="000000"/>
          <w:sz w:val="22"/>
        </w:rPr>
        <w:t>En df_cliente_consolidado, los estereotipos demográficos resuelven el arranque en frío de nuevos usuarios al 100% de cobertura, mientras que kNN usuario a usuario (AUC = 0.7905) refina la predicción para clientes con mayor historial.</w:t>
      </w:r>
    </w:p>
    <w:p>
      <w:pPr>
        <w:keepNext/>
        <w:spacing w:before="180" w:after="60"/>
        <w:jc w:val="left"/>
      </w:pPr>
      <w:r>
        <w:rPr>
          <w:rFonts w:ascii="Times New Roman" w:hAnsi="Times New Roman"/>
          <w:b/>
          <w:i w:val="0"/>
          <w:color w:val="000000"/>
          <w:sz w:val="23"/>
        </w:rPr>
        <w:t>Anexo C. Programas Desarrollados y Artefactos de Salida</w:t>
      </w:r>
    </w:p>
    <w:p>
      <w:pPr>
        <w:spacing w:line="276" w:lineRule="auto" w:before="0" w:after="90"/>
        <w:jc w:val="both"/>
      </w:pPr>
      <w:r>
        <w:rPr>
          <w:rFonts w:ascii="Times New Roman" w:hAnsi="Times New Roman"/>
          <w:b w:val="0"/>
          <w:i w:val="0"/>
          <w:color w:val="000000"/>
          <w:sz w:val="22"/>
        </w:rPr>
        <w:t>Todos los sistemas, métricas y figuras presentados en este informe son directamente reproducibles a partir de los scripts del proyecto estructurados en el entorno analítico. Para garantizar reproducibilidad exacta, todas las rutinas aleatorias fijaron la semilla estándar del proyecto: seed = 42. La Tabla 18 detalla la relación entre los módulos de código desarrollados y las salidas analíticas generadas:</w:t>
      </w:r>
    </w:p>
    <w:p>
      <w:pPr>
        <w:keepNext/>
        <w:spacing w:before="200" w:after="80"/>
        <w:jc w:val="center"/>
      </w:pPr>
      <w:r>
        <w:rPr>
          <w:rFonts w:ascii="Times New Roman" w:hAnsi="Times New Roman"/>
          <w:b/>
          <w:i w:val="0"/>
          <w:color w:val="000000"/>
          <w:sz w:val="21"/>
        </w:rPr>
        <w:t>Tabla 18:</w:t>
      </w:r>
      <w:r>
        <w:rPr>
          <w:rFonts w:ascii="Times New Roman" w:hAnsi="Times New Roman"/>
          <w:sz w:val="21"/>
        </w:rPr>
        <w:t xml:space="preserve"> Programas Analíticos Desarrollados en la Práctica y Archivos que Generan.</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2933"/>
        <w:gridCol w:w="2933"/>
        <w:gridCol w:w="2933"/>
      </w:tblGrid>
      <w:tr>
        <w:trPr>
          <w:tblHeader/>
          <w:cantSplit/>
        </w:trPr>
        <w:tc>
          <w:tcPr>
            <w:tcW w:type="dxa" w:w="3024"/>
            <w:vAlign w:val="center"/>
            <w:tcBorders>
              <w:bottom w:val="single" w:sz="6" w:space="0" w:color="000000"/>
            </w:tcBorders>
          </w:tcPr>
          <w:p>
            <w:pPr>
              <w:spacing w:before="0" w:after="0" w:line="252" w:lineRule="auto"/>
              <w:jc w:val="center"/>
            </w:pPr>
            <w:r>
              <w:rPr>
                <w:rFonts w:ascii="Times New Roman" w:hAnsi="Times New Roman"/>
                <w:b/>
                <w:i w:val="0"/>
                <w:color w:val="000000"/>
                <w:sz w:val="18"/>
              </w:rPr>
              <w:t>Archivo de Código / Script</w:t>
            </w:r>
          </w:p>
        </w:tc>
        <w:tc>
          <w:tcPr>
            <w:tcW w:type="dxa" w:w="3168"/>
            <w:vAlign w:val="center"/>
            <w:tcBorders>
              <w:bottom w:val="single" w:sz="6" w:space="0" w:color="000000"/>
            </w:tcBorders>
          </w:tcPr>
          <w:p>
            <w:pPr>
              <w:spacing w:before="0" w:after="0" w:line="252" w:lineRule="auto"/>
              <w:jc w:val="center"/>
            </w:pPr>
            <w:r>
              <w:rPr>
                <w:rFonts w:ascii="Times New Roman" w:hAnsi="Times New Roman"/>
                <w:b/>
                <w:i w:val="0"/>
                <w:color w:val="000000"/>
                <w:sz w:val="18"/>
              </w:rPr>
              <w:t>Sistema / Módulo que Implementa</w:t>
            </w:r>
          </w:p>
        </w:tc>
        <w:tc>
          <w:tcPr>
            <w:tcW w:type="dxa" w:w="2606"/>
            <w:vAlign w:val="center"/>
            <w:tcBorders>
              <w:bottom w:val="single" w:sz="6" w:space="0" w:color="000000"/>
            </w:tcBorders>
          </w:tcPr>
          <w:p>
            <w:pPr>
              <w:spacing w:before="0" w:after="0" w:line="252" w:lineRule="auto"/>
              <w:jc w:val="center"/>
            </w:pPr>
            <w:r>
              <w:rPr>
                <w:rFonts w:ascii="Times New Roman" w:hAnsi="Times New Roman"/>
                <w:b/>
                <w:i w:val="0"/>
                <w:color w:val="000000"/>
                <w:sz w:val="18"/>
              </w:rPr>
              <w:t>Salida Analítica Generada</w:t>
            </w:r>
          </w:p>
        </w:tc>
      </w:tr>
      <w:tr>
        <w:trPr>
          <w:cantSplit/>
        </w:trPr>
        <w:tc>
          <w:tcPr>
            <w:tcW w:type="dxa" w:w="3024"/>
            <w:vAlign w:val="center"/>
          </w:tcPr>
          <w:p>
            <w:pPr>
              <w:spacing w:before="0" w:after="0" w:line="252" w:lineRule="auto"/>
              <w:jc w:val="left"/>
            </w:pPr>
            <w:r>
              <w:rPr>
                <w:rFonts w:ascii="Times New Roman" w:hAnsi="Times New Roman"/>
                <w:b w:val="0"/>
                <w:i w:val="0"/>
                <w:color w:val="000000"/>
                <w:sz w:val="18"/>
              </w:rPr>
              <w:t>00_generar_4_dataframes.py</w:t>
            </w:r>
          </w:p>
        </w:tc>
        <w:tc>
          <w:tcPr>
            <w:tcW w:type="dxa" w:w="3168"/>
            <w:vAlign w:val="center"/>
          </w:tcPr>
          <w:p>
            <w:pPr>
              <w:spacing w:before="0" w:after="0" w:line="252" w:lineRule="auto"/>
              <w:jc w:val="left"/>
            </w:pPr>
            <w:r>
              <w:rPr>
                <w:rFonts w:ascii="Times New Roman" w:hAnsi="Times New Roman"/>
                <w:b w:val="0"/>
                <w:i w:val="0"/>
                <w:color w:val="000000"/>
                <w:sz w:val="18"/>
              </w:rPr>
              <w:t>ETL Dimensional y Extracción desde Kimball DW</w:t>
            </w:r>
          </w:p>
        </w:tc>
        <w:tc>
          <w:tcPr>
            <w:tcW w:type="dxa" w:w="2606"/>
            <w:vAlign w:val="center"/>
          </w:tcPr>
          <w:p>
            <w:pPr>
              <w:spacing w:before="0" w:after="0" w:line="252" w:lineRule="auto"/>
              <w:jc w:val="left"/>
            </w:pPr>
            <w:r>
              <w:rPr>
                <w:rFonts w:ascii="Times New Roman" w:hAnsi="Times New Roman"/>
                <w:b w:val="0"/>
                <w:i w:val="0"/>
                <w:color w:val="000000"/>
                <w:sz w:val="18"/>
              </w:rPr>
              <w:t>4 DataFrames canónicos limpios (.csv.gz) con auditoría de claves.</w:t>
            </w:r>
          </w:p>
        </w:tc>
      </w:tr>
      <w:tr>
        <w:trPr>
          <w:cantSplit/>
        </w:trPr>
        <w:tc>
          <w:tcPr>
            <w:tcW w:type="dxa" w:w="3024"/>
            <w:vAlign w:val="center"/>
          </w:tcPr>
          <w:p>
            <w:pPr>
              <w:spacing w:before="0" w:after="0" w:line="252" w:lineRule="auto"/>
              <w:jc w:val="left"/>
            </w:pPr>
            <w:r>
              <w:rPr>
                <w:rFonts w:ascii="Times New Roman" w:hAnsi="Times New Roman"/>
                <w:b w:val="0"/>
                <w:i w:val="0"/>
                <w:color w:val="000000"/>
                <w:sz w:val="18"/>
              </w:rPr>
              <w:t>14_eval_5fold_slope_one.py</w:t>
            </w:r>
          </w:p>
        </w:tc>
        <w:tc>
          <w:tcPr>
            <w:tcW w:type="dxa" w:w="3168"/>
            <w:vAlign w:val="center"/>
          </w:tcPr>
          <w:p>
            <w:pPr>
              <w:spacing w:before="0" w:after="0" w:line="252" w:lineRule="auto"/>
              <w:jc w:val="left"/>
            </w:pPr>
            <w:r>
              <w:rPr>
                <w:rFonts w:ascii="Times New Roman" w:hAnsi="Times New Roman"/>
                <w:b w:val="0"/>
                <w:i w:val="0"/>
                <w:color w:val="000000"/>
                <w:sz w:val="18"/>
              </w:rPr>
              <w:t>Validación Cruzada 5-Fold de Slope One (Eje 1)</w:t>
            </w:r>
          </w:p>
        </w:tc>
        <w:tc>
          <w:tcPr>
            <w:tcW w:type="dxa" w:w="2606"/>
            <w:vAlign w:val="center"/>
          </w:tcPr>
          <w:p>
            <w:pPr>
              <w:spacing w:before="0" w:after="0" w:line="252" w:lineRule="auto"/>
              <w:jc w:val="left"/>
            </w:pPr>
            <w:r>
              <w:rPr>
                <w:rFonts w:ascii="Times New Roman" w:hAnsi="Times New Roman"/>
                <w:b w:val="0"/>
                <w:i w:val="0"/>
                <w:color w:val="000000"/>
                <w:sz w:val="18"/>
              </w:rPr>
              <w:t>Métricas de error: MAE = 0.2593 ± 0.0052 y RMSE sobre 5 pliegues.</w:t>
            </w:r>
          </w:p>
        </w:tc>
      </w:tr>
      <w:tr>
        <w:trPr>
          <w:cantSplit/>
        </w:trPr>
        <w:tc>
          <w:tcPr>
            <w:tcW w:type="dxa" w:w="3024"/>
            <w:vAlign w:val="center"/>
          </w:tcPr>
          <w:p>
            <w:pPr>
              <w:spacing w:before="0" w:after="0" w:line="252" w:lineRule="auto"/>
              <w:jc w:val="left"/>
            </w:pPr>
            <w:r>
              <w:rPr>
                <w:rFonts w:ascii="Times New Roman" w:hAnsi="Times New Roman"/>
                <w:b w:val="0"/>
                <w:i w:val="0"/>
                <w:color w:val="000000"/>
                <w:sz w:val="18"/>
              </w:rPr>
              <w:t>15_eval_topn_ranking.py</w:t>
            </w:r>
          </w:p>
        </w:tc>
        <w:tc>
          <w:tcPr>
            <w:tcW w:type="dxa" w:w="3168"/>
            <w:vAlign w:val="center"/>
          </w:tcPr>
          <w:p>
            <w:pPr>
              <w:spacing w:before="0" w:after="0" w:line="252" w:lineRule="auto"/>
              <w:jc w:val="left"/>
            </w:pPr>
            <w:r>
              <w:rPr>
                <w:rFonts w:ascii="Times New Roman" w:hAnsi="Times New Roman"/>
                <w:b w:val="0"/>
                <w:i w:val="0"/>
                <w:color w:val="000000"/>
                <w:sz w:val="18"/>
              </w:rPr>
              <w:t>Evaluación de Ranking Top-N Leave-One-Out (Eje 1)</w:t>
            </w:r>
          </w:p>
        </w:tc>
        <w:tc>
          <w:tcPr>
            <w:tcW w:type="dxa" w:w="2606"/>
            <w:vAlign w:val="center"/>
          </w:tcPr>
          <w:p>
            <w:pPr>
              <w:spacing w:before="0" w:after="0" w:line="252" w:lineRule="auto"/>
              <w:jc w:val="left"/>
            </w:pPr>
            <w:r>
              <w:rPr>
                <w:rFonts w:ascii="Times New Roman" w:hAnsi="Times New Roman"/>
                <w:b w:val="0"/>
                <w:i w:val="0"/>
                <w:color w:val="000000"/>
                <w:sz w:val="18"/>
              </w:rPr>
              <w:t>Curvas Hit-Rate@k (HR@1 = 91.79%) y MRR = 0.9567.</w:t>
            </w:r>
          </w:p>
        </w:tc>
      </w:tr>
      <w:tr>
        <w:trPr>
          <w:cantSplit/>
        </w:trPr>
        <w:tc>
          <w:tcPr>
            <w:tcW w:type="dxa" w:w="3024"/>
            <w:vAlign w:val="center"/>
          </w:tcPr>
          <w:p>
            <w:pPr>
              <w:spacing w:before="0" w:after="0" w:line="252" w:lineRule="auto"/>
              <w:jc w:val="left"/>
            </w:pPr>
            <w:r>
              <w:rPr>
                <w:rFonts w:ascii="Times New Roman" w:hAnsi="Times New Roman"/>
                <w:b w:val="0"/>
                <w:i w:val="0"/>
                <w:color w:val="000000"/>
                <w:sz w:val="18"/>
              </w:rPr>
              <w:t>16_eval_lopo_tfidf.py</w:t>
            </w:r>
          </w:p>
        </w:tc>
        <w:tc>
          <w:tcPr>
            <w:tcW w:type="dxa" w:w="3168"/>
            <w:vAlign w:val="center"/>
          </w:tcPr>
          <w:p>
            <w:pPr>
              <w:spacing w:before="0" w:after="0" w:line="252" w:lineRule="auto"/>
              <w:jc w:val="left"/>
            </w:pPr>
            <w:r>
              <w:rPr>
                <w:rFonts w:ascii="Times New Roman" w:hAnsi="Times New Roman"/>
                <w:b w:val="0"/>
                <w:i w:val="0"/>
                <w:color w:val="000000"/>
                <w:sz w:val="18"/>
              </w:rPr>
              <w:t>Validación Leave-One-Product-Out de TF-IDF (Eje 3)</w:t>
            </w:r>
          </w:p>
        </w:tc>
        <w:tc>
          <w:tcPr>
            <w:tcW w:type="dxa" w:w="2606"/>
            <w:vAlign w:val="center"/>
          </w:tcPr>
          <w:p>
            <w:pPr>
              <w:spacing w:before="0" w:after="0" w:line="252" w:lineRule="auto"/>
              <w:jc w:val="left"/>
            </w:pPr>
            <w:r>
              <w:rPr>
                <w:rFonts w:ascii="Times New Roman" w:hAnsi="Times New Roman"/>
                <w:b w:val="0"/>
                <w:i w:val="0"/>
                <w:color w:val="000000"/>
                <w:sz w:val="18"/>
              </w:rPr>
              <w:t>Matriz de similitud léxica 8 × 8 y 100% de acierto Top-2 en LOPO.</w:t>
            </w:r>
          </w:p>
        </w:tc>
      </w:tr>
      <w:tr>
        <w:trPr>
          <w:cantSplit/>
        </w:trPr>
        <w:tc>
          <w:tcPr>
            <w:tcW w:type="dxa" w:w="3024"/>
            <w:vAlign w:val="center"/>
          </w:tcPr>
          <w:p>
            <w:pPr>
              <w:spacing w:before="0" w:after="0" w:line="252" w:lineRule="auto"/>
              <w:jc w:val="left"/>
            </w:pPr>
            <w:r>
              <w:rPr>
                <w:rFonts w:ascii="Times New Roman" w:hAnsi="Times New Roman"/>
                <w:b w:val="0"/>
                <w:i w:val="0"/>
                <w:color w:val="000000"/>
                <w:sz w:val="18"/>
              </w:rPr>
              <w:t>17_test_chi2_estereotipos_riesgo.py</w:t>
            </w:r>
          </w:p>
        </w:tc>
        <w:tc>
          <w:tcPr>
            <w:tcW w:type="dxa" w:w="3168"/>
            <w:vAlign w:val="center"/>
          </w:tcPr>
          <w:p>
            <w:pPr>
              <w:spacing w:before="0" w:after="0" w:line="252" w:lineRule="auto"/>
              <w:jc w:val="left"/>
            </w:pPr>
            <w:r>
              <w:rPr>
                <w:rFonts w:ascii="Times New Roman" w:hAnsi="Times New Roman"/>
                <w:b w:val="0"/>
                <w:i w:val="0"/>
                <w:color w:val="000000"/>
                <w:sz w:val="18"/>
              </w:rPr>
              <w:t>Pruebas de Hipótesis Chi² y Test de Fisher (Eje 3)</w:t>
            </w:r>
          </w:p>
        </w:tc>
        <w:tc>
          <w:tcPr>
            <w:tcW w:type="dxa" w:w="2606"/>
            <w:vAlign w:val="center"/>
          </w:tcPr>
          <w:p>
            <w:pPr>
              <w:spacing w:before="0" w:after="0" w:line="252" w:lineRule="auto"/>
              <w:jc w:val="left"/>
            </w:pPr>
            <w:r>
              <w:rPr>
                <w:rFonts w:ascii="Times New Roman" w:hAnsi="Times New Roman"/>
                <w:b w:val="0"/>
                <w:i w:val="0"/>
                <w:color w:val="000000"/>
                <w:sz w:val="18"/>
              </w:rPr>
              <w:t>Significancia estadística de mora: χ² = 10.62 (p = 0.0011) y Fisher.</w:t>
            </w:r>
          </w:p>
        </w:tc>
      </w:tr>
      <w:tr>
        <w:trPr>
          <w:cantSplit/>
        </w:trPr>
        <w:tc>
          <w:tcPr>
            <w:tcW w:type="dxa" w:w="3024"/>
            <w:vAlign w:val="center"/>
          </w:tcPr>
          <w:p>
            <w:pPr>
              <w:spacing w:before="0" w:after="0" w:line="252" w:lineRule="auto"/>
              <w:jc w:val="left"/>
            </w:pPr>
            <w:r>
              <w:rPr>
                <w:rFonts w:ascii="Times New Roman" w:hAnsi="Times New Roman"/>
                <w:b w:val="0"/>
                <w:i w:val="0"/>
                <w:color w:val="000000"/>
                <w:sz w:val="18"/>
              </w:rPr>
              <w:t>18_calc_coseno_ajustado.py</w:t>
            </w:r>
          </w:p>
        </w:tc>
        <w:tc>
          <w:tcPr>
            <w:tcW w:type="dxa" w:w="3168"/>
            <w:vAlign w:val="center"/>
          </w:tcPr>
          <w:p>
            <w:pPr>
              <w:spacing w:before="0" w:after="0" w:line="252" w:lineRule="auto"/>
              <w:jc w:val="left"/>
            </w:pPr>
            <w:r>
              <w:rPr>
                <w:rFonts w:ascii="Times New Roman" w:hAnsi="Times New Roman"/>
                <w:b w:val="0"/>
                <w:i w:val="0"/>
                <w:color w:val="000000"/>
                <w:sz w:val="18"/>
              </w:rPr>
              <w:t>Coseno Ajustado Centrado en Medias de Usuario (Eje 1)</w:t>
            </w:r>
          </w:p>
        </w:tc>
        <w:tc>
          <w:tcPr>
            <w:tcW w:type="dxa" w:w="2606"/>
            <w:vAlign w:val="center"/>
          </w:tcPr>
          <w:p>
            <w:pPr>
              <w:spacing w:before="0" w:after="0" w:line="252" w:lineRule="auto"/>
              <w:jc w:val="left"/>
            </w:pPr>
            <w:r>
              <w:rPr>
                <w:rFonts w:ascii="Times New Roman" w:hAnsi="Times New Roman"/>
                <w:b w:val="0"/>
                <w:i w:val="0"/>
                <w:color w:val="000000"/>
                <w:sz w:val="18"/>
              </w:rPr>
              <w:t>Matriz 5 × 5 de similitud angular centrada sin compresión.</w:t>
            </w:r>
          </w:p>
        </w:tc>
      </w:tr>
      <w:tr>
        <w:trPr>
          <w:cantSplit/>
        </w:trPr>
        <w:tc>
          <w:tcPr>
            <w:tcW w:type="dxa" w:w="3024"/>
            <w:vAlign w:val="center"/>
          </w:tcPr>
          <w:p>
            <w:pPr>
              <w:spacing w:before="0" w:after="0" w:line="252" w:lineRule="auto"/>
              <w:jc w:val="left"/>
            </w:pPr>
            <w:r>
              <w:rPr>
                <w:rFonts w:ascii="Times New Roman" w:hAnsi="Times New Roman"/>
                <w:b w:val="0"/>
                <w:i w:val="0"/>
                <w:color w:val="000000"/>
                <w:sz w:val="18"/>
              </w:rPr>
              <w:t>generate_14_figures_from_04.py</w:t>
            </w:r>
          </w:p>
        </w:tc>
        <w:tc>
          <w:tcPr>
            <w:tcW w:type="dxa" w:w="3168"/>
            <w:vAlign w:val="center"/>
          </w:tcPr>
          <w:p>
            <w:pPr>
              <w:spacing w:before="0" w:after="0" w:line="252" w:lineRule="auto"/>
              <w:jc w:val="left"/>
            </w:pPr>
            <w:r>
              <w:rPr>
                <w:rFonts w:ascii="Times New Roman" w:hAnsi="Times New Roman"/>
                <w:b w:val="0"/>
                <w:i w:val="0"/>
                <w:color w:val="000000"/>
                <w:sz w:val="18"/>
              </w:rPr>
              <w:t>Generador de Figuras Individuales en Alta Definición</w:t>
            </w:r>
          </w:p>
        </w:tc>
        <w:tc>
          <w:tcPr>
            <w:tcW w:type="dxa" w:w="2606"/>
            <w:vAlign w:val="center"/>
          </w:tcPr>
          <w:p>
            <w:pPr>
              <w:spacing w:before="0" w:after="0" w:line="252" w:lineRule="auto"/>
              <w:jc w:val="left"/>
            </w:pPr>
            <w:r>
              <w:rPr>
                <w:rFonts w:ascii="Times New Roman" w:hAnsi="Times New Roman"/>
                <w:b w:val="0"/>
                <w:i w:val="0"/>
                <w:color w:val="000000"/>
                <w:sz w:val="18"/>
              </w:rPr>
              <w:t>12 Figuras individuales a 300 DPI para los cuatro DataFrames analíticos.</w:t>
            </w:r>
          </w:p>
        </w:tc>
      </w:tr>
      <w:tr>
        <w:trPr>
          <w:cantSplit/>
        </w:trPr>
        <w:tc>
          <w:tcPr>
            <w:tcW w:type="dxa" w:w="3024"/>
            <w:vAlign w:val="center"/>
          </w:tcPr>
          <w:p>
            <w:pPr>
              <w:spacing w:before="0" w:after="0" w:line="252" w:lineRule="auto"/>
              <w:jc w:val="left"/>
            </w:pPr>
            <w:r>
              <w:rPr>
                <w:rFonts w:ascii="Times New Roman" w:hAnsi="Times New Roman"/>
                <w:b w:val="0"/>
                <w:i w:val="0"/>
                <w:color w:val="000000"/>
                <w:sz w:val="18"/>
              </w:rPr>
              <w:t>generate_figures_13_14.py</w:t>
            </w:r>
          </w:p>
        </w:tc>
        <w:tc>
          <w:tcPr>
            <w:tcW w:type="dxa" w:w="3168"/>
            <w:vAlign w:val="center"/>
          </w:tcPr>
          <w:p>
            <w:pPr>
              <w:spacing w:before="0" w:after="0" w:line="252" w:lineRule="auto"/>
              <w:jc w:val="left"/>
            </w:pPr>
            <w:r>
              <w:rPr>
                <w:rFonts w:ascii="Times New Roman" w:hAnsi="Times New Roman"/>
                <w:b w:val="0"/>
                <w:i w:val="0"/>
                <w:color w:val="000000"/>
                <w:sz w:val="18"/>
              </w:rPr>
              <w:t>Generador de Descarte Empírico y Mapa Estratégico</w:t>
            </w:r>
          </w:p>
        </w:tc>
        <w:tc>
          <w:tcPr>
            <w:tcW w:type="dxa" w:w="2606"/>
            <w:vAlign w:val="center"/>
          </w:tcPr>
          <w:p>
            <w:pPr>
              <w:spacing w:before="0" w:after="0" w:line="252" w:lineRule="auto"/>
              <w:jc w:val="left"/>
            </w:pPr>
            <w:r>
              <w:rPr>
                <w:rFonts w:ascii="Times New Roman" w:hAnsi="Times New Roman"/>
                <w:b w:val="0"/>
                <w:i w:val="0"/>
                <w:color w:val="000000"/>
                <w:sz w:val="18"/>
              </w:rPr>
              <w:t>Figura 13 (Descarte Empírico) y Figura 14 (Lienzo Estratégico).</w:t>
            </w:r>
          </w:p>
        </w:tc>
      </w:tr>
      <w:tr>
        <w:trPr>
          <w:cantSplit/>
        </w:trPr>
        <w:tc>
          <w:tcPr>
            <w:tcW w:type="dxa" w:w="3024"/>
            <w:vAlign w:val="center"/>
          </w:tcPr>
          <w:p>
            <w:pPr>
              <w:spacing w:before="0" w:after="0" w:line="252" w:lineRule="auto"/>
              <w:jc w:val="left"/>
            </w:pPr>
            <w:r>
              <w:rPr>
                <w:rFonts w:ascii="Times New Roman" w:hAnsi="Times New Roman"/>
                <w:b w:val="0"/>
                <w:i w:val="0"/>
                <w:color w:val="000000"/>
                <w:sz w:val="18"/>
              </w:rPr>
              <w:t>generate_annex_figures.py</w:t>
            </w:r>
          </w:p>
        </w:tc>
        <w:tc>
          <w:tcPr>
            <w:tcW w:type="dxa" w:w="3168"/>
            <w:vAlign w:val="center"/>
          </w:tcPr>
          <w:p>
            <w:pPr>
              <w:spacing w:before="0" w:after="0" w:line="252" w:lineRule="auto"/>
              <w:jc w:val="left"/>
            </w:pPr>
            <w:r>
              <w:rPr>
                <w:rFonts w:ascii="Times New Roman" w:hAnsi="Times New Roman"/>
                <w:b w:val="0"/>
                <w:i w:val="0"/>
                <w:color w:val="000000"/>
                <w:sz w:val="18"/>
              </w:rPr>
              <w:t>Generador Gráfico de Diagramas de Anexos</w:t>
            </w:r>
          </w:p>
        </w:tc>
        <w:tc>
          <w:tcPr>
            <w:tcW w:type="dxa" w:w="2606"/>
            <w:vAlign w:val="center"/>
          </w:tcPr>
          <w:p>
            <w:pPr>
              <w:spacing w:before="0" w:after="0" w:line="252" w:lineRule="auto"/>
              <w:jc w:val="left"/>
            </w:pPr>
            <w:r>
              <w:rPr>
                <w:rFonts w:ascii="Times New Roman" w:hAnsi="Times New Roman"/>
                <w:b w:val="0"/>
                <w:i w:val="0"/>
                <w:color w:val="000000"/>
                <w:sz w:val="18"/>
              </w:rPr>
              <w:t>Figura 15 (Diagrama de Flujo) y Figura 16 (Matriz Gráfica 5 × 4).</w:t>
            </w:r>
          </w:p>
        </w:tc>
      </w:tr>
      <w:tr>
        <w:trPr>
          <w:cantSplit/>
        </w:trPr>
        <w:tc>
          <w:tcPr>
            <w:tcW w:type="dxa" w:w="3024"/>
            <w:vAlign w:val="center"/>
          </w:tcPr>
          <w:p>
            <w:pPr>
              <w:spacing w:before="0" w:after="0" w:line="252" w:lineRule="auto"/>
              <w:jc w:val="left"/>
            </w:pPr>
            <w:r>
              <w:rPr>
                <w:rFonts w:ascii="Times New Roman" w:hAnsi="Times New Roman"/>
                <w:b w:val="0"/>
                <w:i w:val="0"/>
                <w:color w:val="000000"/>
                <w:sz w:val="18"/>
              </w:rPr>
              <w:t>build_final_04_word.py</w:t>
            </w:r>
          </w:p>
        </w:tc>
        <w:tc>
          <w:tcPr>
            <w:tcW w:type="dxa" w:w="3168"/>
            <w:vAlign w:val="center"/>
          </w:tcPr>
          <w:p>
            <w:pPr>
              <w:spacing w:before="0" w:after="0" w:line="252" w:lineRule="auto"/>
              <w:jc w:val="left"/>
            </w:pPr>
            <w:r>
              <w:rPr>
                <w:rFonts w:ascii="Times New Roman" w:hAnsi="Times New Roman"/>
                <w:b w:val="0"/>
                <w:i w:val="0"/>
                <w:color w:val="000000"/>
                <w:sz w:val="18"/>
              </w:rPr>
              <w:t>Constructor Maestro del Informe Institucional Word</w:t>
            </w:r>
          </w:p>
        </w:tc>
        <w:tc>
          <w:tcPr>
            <w:tcW w:type="dxa" w:w="2606"/>
            <w:vAlign w:val="center"/>
          </w:tcPr>
          <w:p>
            <w:pPr>
              <w:spacing w:before="0" w:after="0" w:line="252" w:lineRule="auto"/>
              <w:jc w:val="left"/>
            </w:pPr>
            <w:r>
              <w:rPr>
                <w:rFonts w:ascii="Times New Roman" w:hAnsi="Times New Roman"/>
                <w:b w:val="0"/>
                <w:i w:val="0"/>
                <w:color w:val="000000"/>
                <w:sz w:val="18"/>
              </w:rPr>
              <w:t>04_Informe_Sistemas_de_Recomendacion.docx con formato oficial UTA.</w:t>
            </w:r>
          </w:p>
        </w:tc>
      </w:tr>
    </w:tbl>
    <w:p>
      <w:pPr>
        <w:spacing w:before="0" w:after="120"/>
      </w:pPr>
    </w:p>
    <w:p>
      <w:pPr>
        <w:keepNext/>
        <w:spacing w:before="180" w:after="60"/>
        <w:jc w:val="left"/>
      </w:pPr>
      <w:r>
        <w:rPr>
          <w:rFonts w:ascii="Times New Roman" w:hAnsi="Times New Roman"/>
          <w:b/>
          <w:i w:val="0"/>
          <w:color w:val="000000"/>
          <w:sz w:val="23"/>
        </w:rPr>
        <w:t>Anexo D. Resumen Cuantitativo de la Práctica y Glosario Técnico de Recomendadores</w:t>
      </w:r>
    </w:p>
    <w:p>
      <w:pPr>
        <w:spacing w:line="276" w:lineRule="auto" w:before="0" w:after="90"/>
        <w:jc w:val="both"/>
      </w:pPr>
      <w:r>
        <w:rPr>
          <w:rFonts w:ascii="Times New Roman" w:hAnsi="Times New Roman"/>
          <w:b w:val="0"/>
          <w:i w:val="0"/>
          <w:color w:val="000000"/>
          <w:sz w:val="22"/>
        </w:rPr>
        <w:t>La siguiente síntesis cuantitativa unifica los principales indicadores experimentales obtenidos a lo largo de la investigación:</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DataFrames analizados: </w:t>
      </w:r>
      <w:r>
        <w:rPr>
          <w:rFonts w:ascii="Times New Roman" w:hAnsi="Times New Roman"/>
          <w:b w:val="0"/>
          <w:i w:val="0"/>
          <w:color w:val="000000"/>
          <w:sz w:val="22"/>
        </w:rPr>
        <w:t>df_transacciones (1,056,320 registros), df_ordenes (6,471 registros), df_prestamos (682 registros) y df_cliente_consolidado (5,369 registros).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modelos de recomendación implementados: </w:t>
      </w:r>
      <w:r>
        <w:rPr>
          <w:rFonts w:ascii="Times New Roman" w:hAnsi="Times New Roman"/>
          <w:b w:val="0"/>
          <w:i w:val="0"/>
          <w:color w:val="000000"/>
          <w:sz w:val="22"/>
        </w:rPr>
        <w:t>Evaluados y contrastados a través de los cuatro DataFrames (3 modelos por DataFrame).</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Cobertura completa de las 3 familias clásicas: </w:t>
      </w:r>
      <w:r>
        <w:rPr>
          <w:rFonts w:ascii="Times New Roman" w:hAnsi="Times New Roman"/>
          <w:b w:val="0"/>
          <w:i w:val="0"/>
          <w:color w:val="000000"/>
          <w:sz w:val="22"/>
        </w:rPr>
        <w:t>Filtrado Colaborativo, Basado en Contenidos, Demográfico y Modelos de Conocimiento/Utilidad.</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 de clientes y productos cubiertos: </w:t>
      </w:r>
      <w:r>
        <w:rPr>
          <w:rFonts w:ascii="Times New Roman" w:hAnsi="Times New Roman"/>
          <w:b w:val="0"/>
          <w:i w:val="0"/>
          <w:color w:val="000000"/>
          <w:sz w:val="22"/>
        </w:rPr>
        <w:t>En la combinación global de la arquitectura en dos fases.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Reducción del error absoluto (MAE) en Slope One: </w:t>
      </w:r>
      <w:r>
        <w:rPr>
          <w:rFonts w:ascii="Times New Roman" w:hAnsi="Times New Roman"/>
          <w:b w:val="0"/>
          <w:i w:val="0"/>
          <w:color w:val="000000"/>
          <w:sz w:val="22"/>
        </w:rPr>
        <w:t>% de reducción frente a la media de usuario en partición 80/20 (MAE = 0.2535 frente a 0.4063 de media de usuario de entrenamiento) y 36.18% en validación cruzada de 5 pliegues (MAE = 0.2593 ± 0.0052 frente a 0.4063 de media de usuario, y 43.70% frente a la media global de 0.4606).</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Hit-Rate@1 de Slope One: </w:t>
      </w:r>
      <w:r>
        <w:rPr>
          <w:rFonts w:ascii="Times New Roman" w:hAnsi="Times New Roman"/>
          <w:b w:val="0"/>
          <w:i w:val="0"/>
          <w:color w:val="000000"/>
          <w:sz w:val="22"/>
        </w:rPr>
        <w:t>Empate estadístico en ranking Top-N con la popularidad pura (91.79% vs 91.29%, Z = 0.7634, p = 0.4452), garantizando personalización individual sin penalizar la tasa de acierto.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Evidencia transversal de mora en la regla del 30%: </w:t>
      </w:r>
      <w:r>
        <w:rPr>
          <w:rFonts w:ascii="Times New Roman" w:hAnsi="Times New Roman"/>
          <w:b w:val="0"/>
          <w:i w:val="0"/>
          <w:color w:val="000000"/>
          <w:sz w:val="22"/>
        </w:rPr>
        <w:t>Contratos con endeudamiento ≤ 30% registran mora de 6.57%, frente a 16.86% en endeudamiento &gt; 50% (confirmado con χ² = 10.62, p = 0.0011; Fisher p = 0.0007).</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Dictamen técnico por DataFrame: </w:t>
      </w:r>
      <w:r>
        <w:rPr>
          <w:rFonts w:ascii="Times New Roman" w:hAnsi="Times New Roman"/>
          <w:b w:val="0"/>
          <w:i w:val="0"/>
          <w:color w:val="000000"/>
          <w:sz w:val="22"/>
        </w:rPr>
        <w:t>Cada DataFrame cuenta con su conclusión y dictamen técnico que determina el método óptimo para ese grano operacional.</w:t>
      </w:r>
    </w:p>
    <w:p>
      <w:pPr>
        <w:spacing w:line="276" w:lineRule="auto" w:before="0" w:after="90"/>
        <w:jc w:val="both"/>
      </w:pPr>
      <w:r>
        <w:rPr>
          <w:rFonts w:ascii="Times New Roman" w:hAnsi="Times New Roman"/>
          <w:b w:val="0"/>
          <w:i w:val="0"/>
          <w:color w:val="000000"/>
          <w:sz w:val="22"/>
        </w:rPr>
        <w:t>Glosario técnico y financiero de sistemas de recomendación: Para facilitar la lectura y auditoría académica del documento, se definen los términos matemáticos y financieros fundamentales: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Desviación Media de Slope One b(j, i): </w:t>
      </w:r>
      <w:r>
        <w:rPr>
          <w:rFonts w:ascii="Times New Roman" w:hAnsi="Times New Roman"/>
          <w:b w:val="0"/>
          <w:i w:val="0"/>
          <w:color w:val="000000"/>
          <w:sz w:val="22"/>
        </w:rPr>
        <w:t>Diferencia promedio aritmética entre las calificaciones de dos productos j e i sobre el conjunto de usuarios comunes S(j, i). Mide la sobre-propensión o sub-propensión relativa de un producto sobre otro.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Soporte Conjunto |S(j, i)|: </w:t>
      </w:r>
      <w:r>
        <w:rPr>
          <w:rFonts w:ascii="Times New Roman" w:hAnsi="Times New Roman"/>
          <w:b w:val="0"/>
          <w:i w:val="0"/>
          <w:color w:val="000000"/>
          <w:sz w:val="22"/>
        </w:rPr>
        <w:t>Número de clientes u observaciones comunes que registraron consumo simultáneo en ambos productos evaluados. Actúa como ponderador de fiabilidad en la predicción.</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Coseno Ajustado (Mean-Centered Cosine): </w:t>
      </w:r>
      <w:r>
        <w:rPr>
          <w:rFonts w:ascii="Times New Roman" w:hAnsi="Times New Roman"/>
          <w:b w:val="0"/>
          <w:i w:val="0"/>
          <w:color w:val="000000"/>
          <w:sz w:val="22"/>
        </w:rPr>
        <w:t>Métrica de similitud angular que centra los vectores restando la media del usuario, expandiendo la dispersión a valores positivos y negativos para eliminar la compresión de ratings estrictamente positivos.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Primera Diferencia (Δx_t): </w:t>
      </w:r>
      <w:r>
        <w:rPr>
          <w:rFonts w:ascii="Times New Roman" w:hAnsi="Times New Roman"/>
          <w:b w:val="0"/>
          <w:i w:val="0"/>
          <w:color w:val="000000"/>
          <w:sz w:val="22"/>
        </w:rPr>
        <w:t>Operación que resta el valor del período anterior (x_t - x_{t-1}) para remover tendencias deterministas o estocásticas en series de tiempo y asegurar estacionariedad.</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Cobertura (Coverage): </w:t>
      </w:r>
      <w:r>
        <w:rPr>
          <w:rFonts w:ascii="Times New Roman" w:hAnsi="Times New Roman"/>
          <w:b w:val="0"/>
          <w:i w:val="0"/>
          <w:color w:val="000000"/>
          <w:sz w:val="22"/>
        </w:rPr>
        <w:t>Proporción de clientes o cuentas sobre la cual el sistema puede emitir recomendaciones formalmente válidas respecto a la población total.</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Hit-Rate@k: </w:t>
      </w:r>
      <w:r>
        <w:rPr>
          <w:rFonts w:ascii="Times New Roman" w:hAnsi="Times New Roman"/>
          <w:b w:val="0"/>
          <w:i w:val="0"/>
          <w:color w:val="000000"/>
          <w:sz w:val="22"/>
        </w:rPr>
        <w:t>Proporción de usuarios para los cuales el producto de prueba oculto aparece en la posición k del ranking generado por el recomendador.</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Mean Reciprocal Rank (MRR): </w:t>
      </w:r>
      <w:r>
        <w:rPr>
          <w:rFonts w:ascii="Times New Roman" w:hAnsi="Times New Roman"/>
          <w:b w:val="0"/>
          <w:i w:val="0"/>
          <w:color w:val="000000"/>
          <w:sz w:val="22"/>
        </w:rPr>
        <w:t>Promedio del inverso del rango en el que aparece el primer producto relevante; penaliza fuertemente a los modelos que ubican el acierto en posiciones rezagadas.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Ponderación ITF (Inverse Term/Item Frequency): </w:t>
      </w:r>
      <w:r>
        <w:rPr>
          <w:rFonts w:ascii="Times New Roman" w:hAnsi="Times New Roman"/>
          <w:b w:val="0"/>
          <w:i w:val="0"/>
          <w:color w:val="000000"/>
          <w:sz w:val="22"/>
        </w:rPr>
        <w:t>Ponderación inspirada en la frecuencia inversa de documentos que castiga logarítmicamente a los productos masivos para rescatar ofertas especializadas.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Lift: </w:t>
      </w:r>
      <w:r>
        <w:rPr>
          <w:rFonts w:ascii="Times New Roman" w:hAnsi="Times New Roman"/>
          <w:b w:val="0"/>
          <w:i w:val="0"/>
          <w:color w:val="000000"/>
          <w:sz w:val="22"/>
        </w:rPr>
        <w:t>Razón entre la probabilidad observada de co-adquisición conjunta y la probabilidad esperada bajo independencia estadística. Mide la fuerza de asociación.</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Amortización Francesa: </w:t>
      </w:r>
      <w:r>
        <w:rPr>
          <w:rFonts w:ascii="Times New Roman" w:hAnsi="Times New Roman"/>
          <w:b w:val="0"/>
          <w:i w:val="0"/>
          <w:color w:val="000000"/>
          <w:sz w:val="22"/>
        </w:rPr>
        <w:t>Sistema de amortización bancaria donde la cuota periódica (capital más intereses) permanece estrictamente constante a lo largo de todo el plazo contractual.</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Ratio de Esfuerzo / Endeudamiento: </w:t>
      </w:r>
      <w:r>
        <w:rPr>
          <w:rFonts w:ascii="Times New Roman" w:hAnsi="Times New Roman"/>
          <w:b w:val="0"/>
          <w:i w:val="0"/>
          <w:color w:val="000000"/>
          <w:sz w:val="22"/>
        </w:rPr>
        <w:t>Razón porcentual entre la cuota mensual calculada del crédito y el salario distrital promedio estimado del solicitante; delimita la solvencia financiera.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Brier Score: </w:t>
      </w:r>
      <w:r>
        <w:rPr>
          <w:rFonts w:ascii="Times New Roman" w:hAnsi="Times New Roman"/>
          <w:b w:val="0"/>
          <w:i w:val="0"/>
          <w:color w:val="000000"/>
          <w:sz w:val="22"/>
        </w:rPr>
        <w:t>Medida del error cuadrático medio de las probabilidades pronosticadas frente a los resultados binarios reales; valores más bajos reflejan mejor calibración.</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Área Bajo la Curva ROC (AUC): </w:t>
      </w:r>
      <w:r>
        <w:rPr>
          <w:rFonts w:ascii="Times New Roman" w:hAnsi="Times New Roman"/>
          <w:b w:val="0"/>
          <w:i w:val="0"/>
          <w:color w:val="000000"/>
          <w:sz w:val="22"/>
        </w:rPr>
        <w:t>Área bajo la curva de características operativas del receptor; mide la capacidad del modelo para discriminar entre clientes con propensión positiva y negativa.</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Deriva de Conceptos (Concept Drift): </w:t>
      </w:r>
      <w:r>
        <w:rPr>
          <w:rFonts w:ascii="Times New Roman" w:hAnsi="Times New Roman"/>
          <w:b w:val="0"/>
          <w:i w:val="0"/>
          <w:color w:val="000000"/>
          <w:sz w:val="22"/>
        </w:rPr>
        <w:t>Desplazamiento sistemático en las distribuciones estadísticas de las características de entrada o de las variables objetivo debido a cambios macroeconómicos o estacionales.</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Índice de Estabilidad Poblacional (PSI): </w:t>
      </w:r>
      <w:r>
        <w:rPr>
          <w:rFonts w:ascii="Times New Roman" w:hAnsi="Times New Roman"/>
          <w:b w:val="0"/>
          <w:i w:val="0"/>
          <w:color w:val="000000"/>
          <w:sz w:val="22"/>
        </w:rPr>
        <w:t>Métrica estadística no paramétrica utilizada para cuantificar la divergencia entre la distribución de un score crediticio en la población de entrenamiento y en producción.</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Fuga de Datos (Data Leakage): </w:t>
      </w:r>
      <w:r>
        <w:rPr>
          <w:rFonts w:ascii="Times New Roman" w:hAnsi="Times New Roman"/>
          <w:b w:val="0"/>
          <w:i w:val="0"/>
          <w:color w:val="000000"/>
          <w:sz w:val="22"/>
        </w:rPr>
        <w:t>Inclusión inadvertida de información en el conjunto de entrenamiento que no estaría disponible en el momento exacto de la inferencia en producción, inflando artificialmente el rendimiento.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Acuerdos de Basilea (Basilea II y III): </w:t>
      </w:r>
      <w:r>
        <w:rPr>
          <w:rFonts w:ascii="Times New Roman" w:hAnsi="Times New Roman"/>
          <w:b w:val="0"/>
          <w:i w:val="0"/>
          <w:color w:val="000000"/>
          <w:sz w:val="22"/>
        </w:rPr>
        <w:t>Marco regulatorio bancario internacional que establece los requerimientos mínimos de capital propio en función de los activos ponderados por riesgo de crédito.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Venta Cruzada (Cross-Selling): </w:t>
      </w:r>
      <w:r>
        <w:rPr>
          <w:rFonts w:ascii="Times New Roman" w:hAnsi="Times New Roman"/>
          <w:b w:val="0"/>
          <w:i w:val="0"/>
          <w:color w:val="000000"/>
          <w:sz w:val="22"/>
        </w:rPr>
        <w:t>Estrategia comercial consistente en ofrecer productos complementarios a los clientes actuales de la entidad para incrementar su fidelización y rentabilidad.</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Modelo de Espacio Vectorial (VSM): </w:t>
      </w:r>
      <w:r>
        <w:rPr>
          <w:rFonts w:ascii="Times New Roman" w:hAnsi="Times New Roman"/>
          <w:b w:val="0"/>
          <w:i w:val="0"/>
          <w:color w:val="000000"/>
          <w:sz w:val="22"/>
        </w:rPr>
        <w:t>Modelo de representación léxica donde documentos y consultas se representan como vectores en un espacio multidimensional donde cada dimensión corresponde a un término.</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Validación Leave-One-Out (LOO / LOPO): </w:t>
      </w:r>
      <w:r>
        <w:rPr>
          <w:rFonts w:ascii="Times New Roman" w:hAnsi="Times New Roman"/>
          <w:b w:val="0"/>
          <w:i w:val="0"/>
          <w:color w:val="000000"/>
          <w:sz w:val="22"/>
        </w:rPr>
        <w:t>Técnica de evaluación de modelos para series temporales o catálogos donde se reserva sistemáticamente una entidad para evaluar la capacidad de generalización.</w:t>
      </w:r>
    </w:p>
    <w:p>
      <w:pPr>
        <w:spacing w:line="276" w:lineRule="auto" w:before="0" w:after="70"/>
        <w:ind w:left="403" w:hanging="403"/>
        <w:jc w:val="both"/>
      </w:pPr>
      <w:r>
        <w:rPr>
          <w:rFonts w:ascii="Times New Roman" w:hAnsi="Times New Roman"/>
          <w:b/>
          <w:sz w:val="22"/>
        </w:rPr>
        <w:t xml:space="preserve">•  </w:t>
      </w:r>
      <w:r>
        <w:rPr>
          <w:rFonts w:ascii="Times New Roman" w:hAnsi="Times New Roman"/>
          <w:b/>
          <w:sz w:val="22"/>
        </w:rPr>
        <w:t xml:space="preserve">Regla de Negocio Prudencial: </w:t>
      </w:r>
      <w:r>
        <w:rPr>
          <w:rFonts w:ascii="Times New Roman" w:hAnsi="Times New Roman"/>
          <w:b w:val="0"/>
          <w:i w:val="0"/>
          <w:color w:val="000000"/>
          <w:sz w:val="22"/>
        </w:rPr>
        <w:t>Compuerta de validación o restricción determinista impuesta por la gerencia de riesgos que condiciona la entrega de una recomendación a la satisfacción de solvencia.</w:t>
      </w:r>
    </w:p>
    <w:p>
      <w:pPr>
        <w:keepNext/>
        <w:spacing w:before="180" w:after="60"/>
        <w:jc w:val="left"/>
      </w:pPr>
      <w:r>
        <w:rPr>
          <w:rFonts w:ascii="Times New Roman" w:hAnsi="Times New Roman"/>
          <w:b/>
          <w:i w:val="0"/>
          <w:color w:val="000000"/>
          <w:sz w:val="23"/>
        </w:rPr>
        <w:t>Anexo E. Matriz de Gobernanza Ética, Cumplimiento Regulatorio y Mitigación de Sesgos Algorítmicos</w:t>
      </w:r>
    </w:p>
    <w:p>
      <w:pPr>
        <w:spacing w:line="276" w:lineRule="auto" w:before="0" w:after="90"/>
        <w:jc w:val="both"/>
      </w:pPr>
      <w:r>
        <w:rPr>
          <w:rFonts w:ascii="Times New Roman" w:hAnsi="Times New Roman"/>
          <w:b w:val="0"/>
          <w:i w:val="0"/>
          <w:color w:val="000000"/>
          <w:sz w:val="22"/>
        </w:rPr>
        <w:t>En el marco de la regulación bancaria internacional y los estándares éticos de Inteligencia Artificial aplicada a servicios financieros, el despliegue de los doce modelos desarrollados se somete a una matriz de gobernanza integral:</w:t>
      </w:r>
    </w:p>
    <w:p>
      <w:pPr>
        <w:keepNext/>
        <w:spacing w:before="200" w:after="80"/>
        <w:jc w:val="center"/>
      </w:pPr>
      <w:r>
        <w:rPr>
          <w:rFonts w:ascii="Times New Roman" w:hAnsi="Times New Roman"/>
          <w:b/>
          <w:i w:val="0"/>
          <w:color w:val="000000"/>
          <w:sz w:val="21"/>
        </w:rPr>
        <w:t>Tabla 19:</w:t>
      </w:r>
      <w:r>
        <w:rPr>
          <w:rFonts w:ascii="Times New Roman" w:hAnsi="Times New Roman"/>
          <w:sz w:val="21"/>
        </w:rPr>
        <w:t xml:space="preserve"> Matriz de Gobernanza Ética y Mitigación de Riesgos en Modelos de Recomendación Bancarios.</w:t>
      </w:r>
    </w:p>
    <w:tbl>
      <w:tblPr>
        <w:tblW w:type="auto" w:w="0"/>
        <w:jc w:val="center"/>
        <w:tblLayout w:type="fixed"/>
        <w:tblLook w:firstColumn="1" w:firstRow="1" w:lastColumn="0" w:lastRow="0" w:noHBand="0" w:noVBand="1" w:val="04A0"/>
        <w:tblCellMar>
          <w:top w:w="80" w:type="dxa"/>
          <w:bottom w:w="80" w:type="dxa"/>
          <w:left w:w="110" w:type="dxa"/>
          <w:right w:w="110" w:type="dxa"/>
        </w:tblCellMar>
        <w:tblBorders>
          <w:top w:val="single" w:sz="8" w:space="0" w:color="000000"/>
          <w:bottom w:val="single" w:sz="8" w:space="0" w:color="000000"/>
          <w:insideH w:val="single" w:sz="4" w:space="0" w:color="D3D3D3"/>
          <w:insideV w:val="none"/>
          <w:left w:val="none"/>
          <w:right w:val="none"/>
        </w:tblBorders>
      </w:tblPr>
      <w:tblGrid>
        <w:gridCol w:w="2200"/>
        <w:gridCol w:w="2200"/>
        <w:gridCol w:w="2200"/>
        <w:gridCol w:w="2200"/>
      </w:tblGrid>
      <w:tr>
        <w:trPr>
          <w:tblHeader/>
          <w:cantSplit/>
        </w:trPr>
        <w:tc>
          <w:tcPr>
            <w:tcW w:type="dxa" w:w="1728"/>
            <w:vAlign w:val="center"/>
            <w:tcBorders>
              <w:bottom w:val="single" w:sz="6" w:space="0" w:color="000000"/>
            </w:tcBorders>
          </w:tcPr>
          <w:p>
            <w:pPr>
              <w:spacing w:before="0" w:after="0" w:line="252" w:lineRule="auto"/>
              <w:jc w:val="center"/>
            </w:pPr>
            <w:r>
              <w:rPr>
                <w:rFonts w:ascii="Times New Roman" w:hAnsi="Times New Roman"/>
                <w:b/>
                <w:i w:val="0"/>
                <w:color w:val="000000"/>
                <w:sz w:val="18"/>
              </w:rPr>
              <w:t>Dimensión de Gobernanza</w:t>
            </w:r>
          </w:p>
        </w:tc>
        <w:tc>
          <w:tcPr>
            <w:tcW w:type="dxa" w:w="2160"/>
            <w:vAlign w:val="center"/>
            <w:tcBorders>
              <w:bottom w:val="single" w:sz="6" w:space="0" w:color="000000"/>
            </w:tcBorders>
          </w:tcPr>
          <w:p>
            <w:pPr>
              <w:spacing w:before="0" w:after="0" w:line="252" w:lineRule="auto"/>
              <w:jc w:val="center"/>
            </w:pPr>
            <w:r>
              <w:rPr>
                <w:rFonts w:ascii="Times New Roman" w:hAnsi="Times New Roman"/>
                <w:b/>
                <w:i w:val="0"/>
                <w:color w:val="000000"/>
                <w:sz w:val="18"/>
              </w:rPr>
              <w:t>Riesgo Algorítmico Identificado</w:t>
            </w:r>
          </w:p>
        </w:tc>
        <w:tc>
          <w:tcPr>
            <w:tcW w:type="dxa" w:w="3168"/>
            <w:vAlign w:val="center"/>
            <w:tcBorders>
              <w:bottom w:val="single" w:sz="6" w:space="0" w:color="000000"/>
            </w:tcBorders>
          </w:tcPr>
          <w:p>
            <w:pPr>
              <w:spacing w:before="0" w:after="0" w:line="252" w:lineRule="auto"/>
              <w:jc w:val="center"/>
            </w:pPr>
            <w:r>
              <w:rPr>
                <w:rFonts w:ascii="Times New Roman" w:hAnsi="Times New Roman"/>
                <w:b/>
                <w:i w:val="0"/>
                <w:color w:val="000000"/>
                <w:sz w:val="18"/>
              </w:rPr>
              <w:t>Mecanismo de Mitigación Implementado en la Práctica</w:t>
            </w:r>
          </w:p>
        </w:tc>
        <w:tc>
          <w:tcPr>
            <w:tcW w:type="dxa" w:w="1742"/>
            <w:vAlign w:val="center"/>
            <w:tcBorders>
              <w:bottom w:val="single" w:sz="6" w:space="0" w:color="000000"/>
            </w:tcBorders>
          </w:tcPr>
          <w:p>
            <w:pPr>
              <w:spacing w:before="0" w:after="0" w:line="252" w:lineRule="auto"/>
              <w:jc w:val="center"/>
            </w:pPr>
            <w:r>
              <w:rPr>
                <w:rFonts w:ascii="Times New Roman" w:hAnsi="Times New Roman"/>
                <w:b/>
                <w:i w:val="0"/>
                <w:color w:val="000000"/>
                <w:sz w:val="18"/>
              </w:rPr>
              <w:t>Normativa de Referencia</w:t>
            </w:r>
          </w:p>
        </w:tc>
      </w:tr>
      <w:tr>
        <w:trPr>
          <w:cantSplit/>
        </w:trPr>
        <w:tc>
          <w:tcPr>
            <w:tcW w:type="dxa" w:w="1728"/>
            <w:vAlign w:val="center"/>
          </w:tcPr>
          <w:p>
            <w:pPr>
              <w:spacing w:before="0" w:after="0" w:line="252" w:lineRule="auto"/>
              <w:jc w:val="left"/>
            </w:pPr>
            <w:r>
              <w:rPr>
                <w:rFonts w:ascii="Times New Roman" w:hAnsi="Times New Roman"/>
                <w:b w:val="0"/>
                <w:i w:val="0"/>
                <w:color w:val="000000"/>
                <w:sz w:val="18"/>
              </w:rPr>
              <w:t>No Discriminación</w:t>
            </w:r>
          </w:p>
        </w:tc>
        <w:tc>
          <w:tcPr>
            <w:tcW w:type="dxa" w:w="2160"/>
            <w:vAlign w:val="center"/>
          </w:tcPr>
          <w:p>
            <w:pPr>
              <w:spacing w:before="0" w:after="0" w:line="252" w:lineRule="auto"/>
              <w:jc w:val="left"/>
            </w:pPr>
            <w:r>
              <w:rPr>
                <w:rFonts w:ascii="Times New Roman" w:hAnsi="Times New Roman"/>
                <w:b w:val="0"/>
                <w:i w:val="0"/>
                <w:color w:val="000000"/>
                <w:sz w:val="18"/>
              </w:rPr>
              <w:t>Sesgo demográfico por edad o distrito en asignación de tasas o créditos.</w:t>
            </w:r>
          </w:p>
        </w:tc>
        <w:tc>
          <w:tcPr>
            <w:tcW w:type="dxa" w:w="3168"/>
            <w:vAlign w:val="center"/>
          </w:tcPr>
          <w:p>
            <w:pPr>
              <w:spacing w:before="0" w:after="0" w:line="252" w:lineRule="auto"/>
              <w:jc w:val="left"/>
            </w:pPr>
            <w:r>
              <w:rPr>
                <w:rFonts w:ascii="Times New Roman" w:hAnsi="Times New Roman"/>
                <w:b w:val="0"/>
                <w:i w:val="0"/>
                <w:color w:val="000000"/>
                <w:sz w:val="18"/>
              </w:rPr>
              <w:t>El modelo 4A se restringe estrictamente a ofertas de bienvenida; la evaluación de solvencia (3C) depende de capacidad objetiva de pago, no del estereotipo.</w:t>
            </w:r>
          </w:p>
        </w:tc>
        <w:tc>
          <w:tcPr>
            <w:tcW w:type="dxa" w:w="1742"/>
            <w:vAlign w:val="center"/>
          </w:tcPr>
          <w:p>
            <w:pPr>
              <w:spacing w:before="0" w:after="0" w:line="252" w:lineRule="auto"/>
              <w:jc w:val="left"/>
            </w:pPr>
            <w:r>
              <w:rPr>
                <w:rFonts w:ascii="Times New Roman" w:hAnsi="Times New Roman"/>
                <w:b w:val="0"/>
                <w:i w:val="0"/>
                <w:color w:val="000000"/>
                <w:sz w:val="18"/>
              </w:rPr>
              <w:t>Equal Credit Opportunity Act (ECOA) / Basilea II</w:t>
            </w:r>
          </w:p>
        </w:tc>
      </w:tr>
      <w:tr>
        <w:trPr>
          <w:cantSplit/>
        </w:trPr>
        <w:tc>
          <w:tcPr>
            <w:tcW w:type="dxa" w:w="1728"/>
            <w:vAlign w:val="center"/>
          </w:tcPr>
          <w:p>
            <w:pPr>
              <w:spacing w:before="0" w:after="0" w:line="252" w:lineRule="auto"/>
              <w:jc w:val="left"/>
            </w:pPr>
            <w:r>
              <w:rPr>
                <w:rFonts w:ascii="Times New Roman" w:hAnsi="Times New Roman"/>
                <w:b w:val="0"/>
                <w:i w:val="0"/>
                <w:color w:val="000000"/>
                <w:sz w:val="18"/>
              </w:rPr>
              <w:t>Transparencia y Explicabilidad</w:t>
            </w:r>
          </w:p>
        </w:tc>
        <w:tc>
          <w:tcPr>
            <w:tcW w:type="dxa" w:w="2160"/>
            <w:vAlign w:val="center"/>
          </w:tcPr>
          <w:p>
            <w:pPr>
              <w:spacing w:before="0" w:after="0" w:line="252" w:lineRule="auto"/>
              <w:jc w:val="left"/>
            </w:pPr>
            <w:r>
              <w:rPr>
                <w:rFonts w:ascii="Times New Roman" w:hAnsi="Times New Roman"/>
                <w:b w:val="0"/>
                <w:i w:val="0"/>
                <w:color w:val="000000"/>
                <w:sz w:val="18"/>
              </w:rPr>
              <w:t>Decisiones opacas en redes o cajas negras que impidan explicar una denegación.</w:t>
            </w:r>
          </w:p>
        </w:tc>
        <w:tc>
          <w:tcPr>
            <w:tcW w:type="dxa" w:w="3168"/>
            <w:vAlign w:val="center"/>
          </w:tcPr>
          <w:p>
            <w:pPr>
              <w:spacing w:before="0" w:after="0" w:line="252" w:lineRule="auto"/>
              <w:jc w:val="left"/>
            </w:pPr>
            <w:r>
              <w:rPr>
                <w:rFonts w:ascii="Times New Roman" w:hAnsi="Times New Roman"/>
                <w:b w:val="0"/>
                <w:i w:val="0"/>
                <w:color w:val="000000"/>
                <w:sz w:val="18"/>
              </w:rPr>
              <w:t>Slope One, Coseno Ajustado y Reglas de Utilidad son algoritmos de caja blanca con trazabilidad matemática auditable paso a paso.</w:t>
            </w:r>
          </w:p>
        </w:tc>
        <w:tc>
          <w:tcPr>
            <w:tcW w:type="dxa" w:w="1742"/>
            <w:vAlign w:val="center"/>
          </w:tcPr>
          <w:p>
            <w:pPr>
              <w:spacing w:before="0" w:after="0" w:line="252" w:lineRule="auto"/>
              <w:jc w:val="left"/>
            </w:pPr>
            <w:r>
              <w:rPr>
                <w:rFonts w:ascii="Times New Roman" w:hAnsi="Times New Roman"/>
                <w:b w:val="0"/>
                <w:i w:val="0"/>
                <w:color w:val="000000"/>
                <w:sz w:val="18"/>
              </w:rPr>
              <w:t>Reglamento General de Protección de Datos (RGPD) Art. 22</w:t>
            </w:r>
          </w:p>
        </w:tc>
      </w:tr>
      <w:tr>
        <w:trPr>
          <w:cantSplit/>
        </w:trPr>
        <w:tc>
          <w:tcPr>
            <w:tcW w:type="dxa" w:w="1728"/>
            <w:vAlign w:val="center"/>
          </w:tcPr>
          <w:p>
            <w:pPr>
              <w:spacing w:before="0" w:after="0" w:line="252" w:lineRule="auto"/>
              <w:jc w:val="left"/>
            </w:pPr>
            <w:r>
              <w:rPr>
                <w:rFonts w:ascii="Times New Roman" w:hAnsi="Times New Roman"/>
                <w:b w:val="0"/>
                <w:i w:val="0"/>
                <w:color w:val="000000"/>
                <w:sz w:val="18"/>
              </w:rPr>
              <w:t>Prevención de Sobreendeudamiento</w:t>
            </w:r>
          </w:p>
        </w:tc>
        <w:tc>
          <w:tcPr>
            <w:tcW w:type="dxa" w:w="2160"/>
            <w:vAlign w:val="center"/>
          </w:tcPr>
          <w:p>
            <w:pPr>
              <w:spacing w:before="0" w:after="0" w:line="252" w:lineRule="auto"/>
              <w:jc w:val="left"/>
            </w:pPr>
            <w:r>
              <w:rPr>
                <w:rFonts w:ascii="Times New Roman" w:hAnsi="Times New Roman"/>
                <w:b w:val="0"/>
                <w:i w:val="0"/>
                <w:color w:val="000000"/>
                <w:sz w:val="18"/>
              </w:rPr>
              <w:t>Recomendación de créditos a clientes vulnerables con alta propensión pero baja liquidez.</w:t>
            </w:r>
          </w:p>
        </w:tc>
        <w:tc>
          <w:tcPr>
            <w:tcW w:type="dxa" w:w="3168"/>
            <w:vAlign w:val="center"/>
          </w:tcPr>
          <w:p>
            <w:pPr>
              <w:spacing w:before="0" w:after="0" w:line="252" w:lineRule="auto"/>
              <w:jc w:val="left"/>
            </w:pPr>
            <w:r>
              <w:rPr>
                <w:rFonts w:ascii="Times New Roman" w:hAnsi="Times New Roman"/>
                <w:b w:val="0"/>
                <w:i w:val="0"/>
                <w:color w:val="000000"/>
                <w:sz w:val="18"/>
              </w:rPr>
              <w:t>Compuerta obligatoria de utilidad (ratio cuota/salario ≤ 30%) y bloqueo histórico del 11.15% por mora en estados B y D.</w:t>
            </w:r>
          </w:p>
        </w:tc>
        <w:tc>
          <w:tcPr>
            <w:tcW w:type="dxa" w:w="1742"/>
            <w:vAlign w:val="center"/>
          </w:tcPr>
          <w:p>
            <w:pPr>
              <w:spacing w:before="0" w:after="0" w:line="252" w:lineRule="auto"/>
              <w:jc w:val="left"/>
            </w:pPr>
            <w:r>
              <w:rPr>
                <w:rFonts w:ascii="Times New Roman" w:hAnsi="Times New Roman"/>
                <w:b w:val="0"/>
                <w:i w:val="0"/>
                <w:color w:val="000000"/>
                <w:sz w:val="18"/>
              </w:rPr>
              <w:t>Directiva Europea de Crédito al Consumo (CCD)</w:t>
            </w:r>
          </w:p>
        </w:tc>
      </w:tr>
      <w:tr>
        <w:trPr>
          <w:cantSplit/>
        </w:trPr>
        <w:tc>
          <w:tcPr>
            <w:tcW w:type="dxa" w:w="1728"/>
            <w:vAlign w:val="center"/>
          </w:tcPr>
          <w:p>
            <w:pPr>
              <w:spacing w:before="0" w:after="0" w:line="252" w:lineRule="auto"/>
              <w:jc w:val="left"/>
            </w:pPr>
            <w:r>
              <w:rPr>
                <w:rFonts w:ascii="Times New Roman" w:hAnsi="Times New Roman"/>
                <w:b w:val="0"/>
                <w:i w:val="0"/>
                <w:color w:val="000000"/>
                <w:sz w:val="18"/>
              </w:rPr>
              <w:t>Integridad y Fuga de Datos</w:t>
            </w:r>
          </w:p>
        </w:tc>
        <w:tc>
          <w:tcPr>
            <w:tcW w:type="dxa" w:w="2160"/>
            <w:vAlign w:val="center"/>
          </w:tcPr>
          <w:p>
            <w:pPr>
              <w:spacing w:before="0" w:after="0" w:line="252" w:lineRule="auto"/>
              <w:jc w:val="left"/>
            </w:pPr>
            <w:r>
              <w:rPr>
                <w:rFonts w:ascii="Times New Roman" w:hAnsi="Times New Roman"/>
                <w:b w:val="0"/>
                <w:i w:val="0"/>
                <w:color w:val="000000"/>
                <w:sz w:val="18"/>
              </w:rPr>
              <w:t>Sobreestimación del poder predictivo por inclusión de cuotas en variables transaccionales.</w:t>
            </w:r>
          </w:p>
        </w:tc>
        <w:tc>
          <w:tcPr>
            <w:tcW w:type="dxa" w:w="3168"/>
            <w:vAlign w:val="center"/>
          </w:tcPr>
          <w:p>
            <w:pPr>
              <w:spacing w:before="0" w:after="0" w:line="252" w:lineRule="auto"/>
              <w:jc w:val="left"/>
            </w:pPr>
            <w:r>
              <w:rPr>
                <w:rFonts w:ascii="Times New Roman" w:hAnsi="Times New Roman"/>
                <w:b w:val="0"/>
                <w:i w:val="0"/>
                <w:color w:val="000000"/>
                <w:sz w:val="18"/>
              </w:rPr>
              <w:t>Protocolo de aislamiento estricto de variables en 4B, excluyendo débitos crediticios del vector de características de entrada.</w:t>
            </w:r>
          </w:p>
        </w:tc>
        <w:tc>
          <w:tcPr>
            <w:tcW w:type="dxa" w:w="1742"/>
            <w:vAlign w:val="center"/>
          </w:tcPr>
          <w:p>
            <w:pPr>
              <w:spacing w:before="0" w:after="0" w:line="252" w:lineRule="auto"/>
              <w:jc w:val="left"/>
            </w:pPr>
            <w:r>
              <w:rPr>
                <w:rFonts w:ascii="Times New Roman" w:hAnsi="Times New Roman"/>
                <w:b w:val="0"/>
                <w:i w:val="0"/>
                <w:color w:val="000000"/>
                <w:sz w:val="18"/>
              </w:rPr>
              <w:t>Estándares ISO/IEC 23894 para Gestión de Riesgos de IA</w:t>
            </w:r>
          </w:p>
        </w:tc>
      </w:tr>
      <w:tr>
        <w:trPr>
          <w:cantSplit/>
        </w:trPr>
        <w:tc>
          <w:tcPr>
            <w:tcW w:type="dxa" w:w="1728"/>
            <w:vAlign w:val="center"/>
          </w:tcPr>
          <w:p>
            <w:pPr>
              <w:spacing w:before="0" w:after="0" w:line="252" w:lineRule="auto"/>
              <w:jc w:val="left"/>
            </w:pPr>
            <w:r>
              <w:rPr>
                <w:rFonts w:ascii="Times New Roman" w:hAnsi="Times New Roman"/>
                <w:b w:val="0"/>
                <w:i w:val="0"/>
                <w:color w:val="000000"/>
                <w:sz w:val="18"/>
              </w:rPr>
              <w:t>Estabilidad Temporal</w:t>
            </w:r>
          </w:p>
        </w:tc>
        <w:tc>
          <w:tcPr>
            <w:tcW w:type="dxa" w:w="2160"/>
            <w:vAlign w:val="center"/>
          </w:tcPr>
          <w:p>
            <w:pPr>
              <w:spacing w:before="0" w:after="0" w:line="252" w:lineRule="auto"/>
              <w:jc w:val="left"/>
            </w:pPr>
            <w:r>
              <w:rPr>
                <w:rFonts w:ascii="Times New Roman" w:hAnsi="Times New Roman"/>
                <w:b w:val="0"/>
                <w:i w:val="0"/>
                <w:color w:val="000000"/>
                <w:sz w:val="18"/>
              </w:rPr>
              <w:t>Degradación del rendimiento por cambios en la macroeconomía (inflación, desempleo).</w:t>
            </w:r>
          </w:p>
        </w:tc>
        <w:tc>
          <w:tcPr>
            <w:tcW w:type="dxa" w:w="3168"/>
            <w:vAlign w:val="center"/>
          </w:tcPr>
          <w:p>
            <w:pPr>
              <w:spacing w:before="0" w:after="0" w:line="252" w:lineRule="auto"/>
              <w:jc w:val="left"/>
            </w:pPr>
            <w:r>
              <w:rPr>
                <w:rFonts w:ascii="Times New Roman" w:hAnsi="Times New Roman"/>
                <w:b w:val="0"/>
                <w:i w:val="0"/>
                <w:color w:val="000000"/>
                <w:sz w:val="18"/>
              </w:rPr>
              <w:t>Monitoreo semanal de Concept Drift con tests de Kolmogorov-Smirnov y reentrenamiento trimestral de matrices b(j, i).</w:t>
            </w:r>
          </w:p>
        </w:tc>
        <w:tc>
          <w:tcPr>
            <w:tcW w:type="dxa" w:w="1742"/>
            <w:vAlign w:val="center"/>
          </w:tcPr>
          <w:p>
            <w:pPr>
              <w:spacing w:before="0" w:after="0" w:line="252" w:lineRule="auto"/>
              <w:jc w:val="left"/>
            </w:pPr>
            <w:r>
              <w:rPr>
                <w:rFonts w:ascii="Times New Roman" w:hAnsi="Times New Roman"/>
                <w:b w:val="0"/>
                <w:i w:val="0"/>
                <w:color w:val="000000"/>
                <w:sz w:val="18"/>
              </w:rPr>
              <w:t>Guía de Gestión de Modelos de Riesgo SR 11-7 (Fed)</w:t>
            </w:r>
          </w:p>
        </w:tc>
      </w:tr>
    </w:tbl>
    <w:p>
      <w:pPr>
        <w:spacing w:before="0" w:after="120"/>
      </w:pPr>
    </w:p>
    <w:sectPr w:rsidR="00FC693F" w:rsidRPr="0006063C" w:rsidSect="00034616">
      <w:headerReference w:type="default" r:id="rId9"/>
      <w:footerReference w:type="default" r:id="rId10"/>
      <w:pgSz w:w="11909" w:h="16834"/>
      <w:pgMar w:top="1411" w:right="1411" w:bottom="1411" w:left="1699"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7"/>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ayout w:type="fixed"/>
      <w:tblLook w:firstColumn="1" w:firstRow="1" w:lastColumn="0" w:lastRow="0" w:noHBand="0" w:noVBand="1" w:val="04A0"/>
    </w:tblPr>
    <w:tblGrid>
      <w:gridCol w:w="2933"/>
      <w:gridCol w:w="2933"/>
      <w:gridCol w:w="2933"/>
    </w:tblGrid>
    <w:tr>
      <w:tc>
        <w:tcPr>
          <w:tcW w:type="dxa" w:w="1224"/>
          <w:vAlign w:val="center"/>
        </w:tcPr>
        <w:p>
          <w:pPr>
            <w:spacing w:before="0" w:after="0"/>
            <w:jc w:val="left"/>
          </w:pPr>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logo_uta.jpg"/>
                        <pic:cNvPicPr/>
                      </pic:nvPicPr>
                      <pic:blipFill>
                        <a:blip r:embed="rId1"/>
                        <a:stretch>
                          <a:fillRect/>
                        </a:stretch>
                      </pic:blipFill>
                      <pic:spPr>
                        <a:xfrm>
                          <a:off x="0" y="0"/>
                          <a:ext cx="685800" cy="685800"/>
                        </a:xfrm>
                        <a:prstGeom prst="rect"/>
                      </pic:spPr>
                    </pic:pic>
                  </a:graphicData>
                </a:graphic>
              </wp:inline>
            </w:drawing>
          </w:r>
        </w:p>
      </w:tc>
      <w:tc>
        <w:tcPr>
          <w:tcW w:type="dxa" w:w="6350"/>
          <w:vAlign w:val="center"/>
        </w:tcPr>
        <w:p>
          <w:pPr>
            <w:spacing w:line="252" w:lineRule="auto" w:before="0" w:after="0"/>
            <w:jc w:val="center"/>
          </w:pPr>
          <w:r>
            <w:rPr>
              <w:rFonts w:ascii="Times New Roman" w:hAnsi="Times New Roman"/>
              <w:b/>
              <w:sz w:val="21"/>
            </w:rPr>
            <w:t>UNIVERSIDAD TÉCNICA DE AMBATO</w:t>
          </w:r>
          <w:r>
            <w:rPr>
              <w:rFonts w:ascii="Times New Roman" w:hAnsi="Times New Roman"/>
              <w:b/>
              <w:sz w:val="16"/>
            </w:rPr>
            <w:br/>
            <w:t>FACULTAD DE INGENIERÍA EN SISTEMAS ELECTRÓNICA E INDUSTRIAL</w:t>
          </w:r>
          <w:r>
            <w:rPr>
              <w:rFonts w:ascii="Times New Roman" w:hAnsi="Times New Roman"/>
              <w:b/>
              <w:sz w:val="16"/>
            </w:rPr>
            <w:br/>
            <w:t>CARRERA DE SOFTWARE</w:t>
          </w:r>
          <w:r>
            <w:rPr>
              <w:rFonts w:ascii="Times New Roman" w:hAnsi="Times New Roman"/>
              <w:b/>
              <w:sz w:val="16"/>
            </w:rPr>
            <w:br/>
            <w:t>CICLO ACADÉMICO: JULIO – DICIEMBRE 2026</w:t>
          </w:r>
        </w:p>
      </w:tc>
      <w:tc>
        <w:tcPr>
          <w:tcW w:type="dxa" w:w="1224"/>
          <w:vAlign w:val="center"/>
        </w:tcPr>
        <w:p>
          <w:pPr>
            <w:spacing w:before="0" w:after="0"/>
            <w:jc w:val="right"/>
          </w:pPr>
          <w:r>
            <w:drawing>
              <wp:inline xmlns:a="http://schemas.openxmlformats.org/drawingml/2006/main" xmlns:pic="http://schemas.openxmlformats.org/drawingml/2006/picture">
                <wp:extent cx="685800" cy="685800"/>
                <wp:docPr id="2" name="Picture 2"/>
                <wp:cNvGraphicFramePr>
                  <a:graphicFrameLocks noChangeAspect="1"/>
                </wp:cNvGraphicFramePr>
                <a:graphic>
                  <a:graphicData uri="http://schemas.openxmlformats.org/drawingml/2006/picture">
                    <pic:pic>
                      <pic:nvPicPr>
                        <pic:cNvPr id="0" name="logo_fisei.jpg"/>
                        <pic:cNvPicPr/>
                      </pic:nvPicPr>
                      <pic:blipFill>
                        <a:blip r:embed="rId2"/>
                        <a:stretch>
                          <a:fillRect/>
                        </a:stretch>
                      </pic:blipFill>
                      <pic:spPr>
                        <a:xfrm>
                          <a:off x="0" y="0"/>
                          <a:ext cx="685800" cy="685800"/>
                        </a:xfrm>
                        <a:prstGeom prst="rect"/>
                      </pic:spPr>
                    </pic:pic>
                  </a:graphicData>
                </a:graphic>
              </wp:inline>
            </w:drawing>
          </w:r>
        </w:p>
      </w:tc>
    </w:tr>
  </w:tbl>
  <w:p>
    <w:pPr>
      <w:spacing w:before="40" w:after="0"/>
      <w:jc w:val="center"/>
      <w:pBrd>
        <w:bottom w:val="single" w:sz="6" w:space="1" w:color="000000"/>
      </w:pBrd>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