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22. 02. 2021 na den 23. 02.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24. 02. 2021 00:13)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15,672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11,391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4,281 (37.6 %)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ČR: 1.18 (95% IS 1.17–1.19)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(1995), Plzeň-město (495), Sokolov (370), Ústí nad Orlicí (366), Pardubice (355), Karlovy Vary (353), Brno-město (350), Kladno (295), Ostrava-město (291), Hradec Králové (285), Praha-východ (281), Liberec (275), Opava (271), Olomouc (268), Benešov (255).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2,565 (16.4 %)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185.2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123.2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1,995 (12.7 %)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150.6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1,538 (9.8 %)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260.7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159.4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104.8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1,230 (7.8 %)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103.2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1,218 (7.8 %)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101.5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1,134 (7.2 %)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138.1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97.1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72.4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1,048 (6.7 %)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200.5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945 (6.0 %)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320.7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925 (5.9 %)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167.7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153.0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106.2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740 (4.7 %)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166.8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121.3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694 (4.4 %)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107.8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71.9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653 (4.2 %)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103.3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545 (3.5 %)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106.9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422 (2.7 %)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72.4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11. 01. až 09.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10. 02. až 16.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17. 02.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19. 02.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21. 02.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22. 02.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23. 02.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320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438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556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458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327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212 (5.2 %)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464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651 (4.2 %)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445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707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639 (5.7 %)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428 (6.3 %)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276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807 (5.2 %)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467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361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225 (5.5 %)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537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737 (4.7 %)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225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256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365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360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231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374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534 (3.4 %)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760 (10.4 %)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868 (10.7 %)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1,199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1,255 (10.7 %)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1,242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760 (11.2 %)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411 (10.1 %)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1,203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1,708 (10.9 %)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1,083 (14.8 %)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1,262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1,755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1,853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1,743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1,017 (15.0 %)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659 (16.2 %)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1,875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2,510 (16.0 %)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1,460 (19.9 %)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1,651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2,297 (21.0 %)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2,437 (20.8 %)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2,236 (19.8 %)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1,324 (19.6 %)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756 (18.6 %)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2,288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3,329 (21.2 %)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1,171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1,293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1,728 (15.8 %)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1,789 (15.3 %)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1,769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985 (14.5 %)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(15.1 %)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1,775 (15.6 %)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2,399 (15.3 %)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521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548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754 (6.9 %)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791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731 (6.5 %)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459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216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799 (7.0 %)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1,045 (6.7 %)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366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440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514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294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154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467 (4.1 %)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644 (4.1 %)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308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302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444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247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141 (3.5 %)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437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571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217 (3.0 %)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207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264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309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131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283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353 (2.3 %)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295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256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278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346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180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129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381 (2.4 %)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7,322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8,122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10,930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11,696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11,281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6,770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4,058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11,391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15,669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15,672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2,107 (13.4 %)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847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367 (63.7 %)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225 (39.1 %)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63 (98.4 %)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86,590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39,052 (45.1 %)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47,538 (54.9 %)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127,257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6,816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1,325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279 (14.0 %)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109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45 (61.6 %)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32 (43.8 %)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12,686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5,971 (47.1 %)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6,715 (52.9 %)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15,602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797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192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2,565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250 (9.7 %)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95 (3.7 %)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(49.1 %)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(30.9 %)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12 (92.3 %)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12,336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5,902 (47.8 %)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6,434 (52.2 %)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20,572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770 (3.7 %)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156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103 (14.8 %)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45 (6.5 %)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(69.2 %)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(38.5 %)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4,570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1,945 (42.6 %)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2,625 (57.4 %)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378 (6.4 %)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62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182 (11.8 %)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66 (4.3 %)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(59.5 %)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14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6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6,078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3,313 (54.5 %)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2,765 (45.5 %)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11,144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603 (5.4 %)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101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194 (20.5 %)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81 (8.6 %)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(77.8 %)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1,362 (37.5 %)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2,266 (62.5 %)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6,473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438 (6.8 %)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71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1,134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148 (13.1 %)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48 (4.2 %)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40 (65.6 %)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(31.1 %)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5,616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2,393 (42.6 %)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3,223 (57.4 %)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9,411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559 (5.9 %)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740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96 (13.0 %)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44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20 (74.1 %)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3,742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1,886 (50.4 %)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1,856 (49.6 %)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6,674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341 (5.1 %)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80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925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151 (16.3 %)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68 (7.4 %)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27 (71.1 %)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19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5,487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1,934 (35.2 %)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3,553 (64.8 %)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11,376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542 (4.8 %)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144 (13.7 %)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49 (4.7 %)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26 (74.3 %)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 (42.9 %)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4,573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2,160 (47.2 %)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2,413 (52.8 %)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8,175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436 (5.3 %)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64 (0.8 %)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89 (16.3 %)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38 (7.0 %)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(28.6 %)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3,912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1,569 (40.1 %)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2,343 (59.9 %)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3,818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171 (4.5 %)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21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1,230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165 (13.4 %)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77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(69.6 %)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21 (45.7 %)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7,499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3,047 (40.6 %)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4,452 (59.4 %)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10,227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707 (6.9 %)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147 (1.4 %)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92 (14.1 %)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34 (5.2 %)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(70.0 %)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(45.0 %)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1,613 (44.3 %)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2,026 (55.7 %)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5,414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265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56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63 (14.9 %)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26 (6.2 %)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(60.9 %)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11 (47.8 %)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3,390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1,383 (40.8 %)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2,007 (59.2 %)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3,185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247 (7.8 %)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38 (1.2 %)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151 (12.4 %)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67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32 (56.1 %)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23 (40.4 %)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7,954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3,943 (49.6 %)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4,011 (50.4 %)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9,141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562 (6.1 %)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101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40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