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BD8C" w14:textId="1DEF7391" w:rsidR="00CD3C8C" w:rsidRPr="00413562" w:rsidRDefault="00BD2AE8" w:rsidP="00FE34AB">
      <w:pPr>
        <w:spacing w:line="276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Vývoj epidemie COVID-19 v české populaci v roce 2022</w:t>
      </w:r>
    </w:p>
    <w:p w14:paraId="006919C8" w14:textId="566FEACE" w:rsidR="00CE517A" w:rsidRPr="00413562" w:rsidRDefault="00F40F22" w:rsidP="00FE34AB">
      <w:pPr>
        <w:spacing w:line="276" w:lineRule="auto"/>
        <w:rPr>
          <w:rFonts w:cstheme="minorHAnsi"/>
          <w:sz w:val="24"/>
          <w:szCs w:val="24"/>
        </w:rPr>
      </w:pPr>
      <w:r w:rsidRPr="00413562">
        <w:rPr>
          <w:rFonts w:cstheme="minorHAnsi"/>
          <w:sz w:val="24"/>
          <w:szCs w:val="24"/>
        </w:rPr>
        <w:t xml:space="preserve">Ústav zdravotnických informací a statistiky ČR </w:t>
      </w:r>
    </w:p>
    <w:p w14:paraId="25807D0E" w14:textId="14159A11" w:rsidR="00CE517A" w:rsidRPr="00413562" w:rsidRDefault="00CE517A" w:rsidP="00FE34AB">
      <w:pPr>
        <w:spacing w:line="276" w:lineRule="auto"/>
        <w:rPr>
          <w:rFonts w:cstheme="minorHAnsi"/>
          <w:sz w:val="24"/>
          <w:szCs w:val="24"/>
        </w:rPr>
      </w:pPr>
    </w:p>
    <w:p w14:paraId="1BC428E3" w14:textId="530072B0" w:rsidR="00CF2968" w:rsidRPr="00413562" w:rsidRDefault="00CF2968" w:rsidP="00FE34AB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413562">
        <w:rPr>
          <w:rFonts w:cstheme="minorHAnsi"/>
          <w:b/>
          <w:bCs/>
          <w:sz w:val="24"/>
          <w:szCs w:val="24"/>
        </w:rPr>
        <w:t>Úvod</w:t>
      </w:r>
      <w:r w:rsidR="00BD2AE8">
        <w:rPr>
          <w:rFonts w:cstheme="minorHAnsi"/>
          <w:b/>
          <w:bCs/>
          <w:sz w:val="24"/>
          <w:szCs w:val="24"/>
        </w:rPr>
        <w:t>em</w:t>
      </w:r>
      <w:r w:rsidRPr="00413562">
        <w:rPr>
          <w:rFonts w:cstheme="minorHAnsi"/>
          <w:b/>
          <w:bCs/>
          <w:sz w:val="24"/>
          <w:szCs w:val="24"/>
        </w:rPr>
        <w:t xml:space="preserve">: </w:t>
      </w:r>
      <w:r w:rsidR="00BD2AE8">
        <w:rPr>
          <w:rFonts w:cstheme="minorHAnsi"/>
          <w:b/>
          <w:bCs/>
          <w:sz w:val="24"/>
          <w:szCs w:val="24"/>
        </w:rPr>
        <w:t xml:space="preserve">stručný popis </w:t>
      </w:r>
      <w:r w:rsidRPr="00413562">
        <w:rPr>
          <w:rFonts w:cstheme="minorHAnsi"/>
          <w:b/>
          <w:bCs/>
          <w:sz w:val="24"/>
          <w:szCs w:val="24"/>
        </w:rPr>
        <w:t>zdroj</w:t>
      </w:r>
      <w:r w:rsidR="00BD2AE8">
        <w:rPr>
          <w:rFonts w:cstheme="minorHAnsi"/>
          <w:b/>
          <w:bCs/>
          <w:sz w:val="24"/>
          <w:szCs w:val="24"/>
        </w:rPr>
        <w:t>ů</w:t>
      </w:r>
      <w:r w:rsidRPr="00413562">
        <w:rPr>
          <w:rFonts w:cstheme="minorHAnsi"/>
          <w:b/>
          <w:bCs/>
          <w:sz w:val="24"/>
          <w:szCs w:val="24"/>
        </w:rPr>
        <w:t xml:space="preserve"> </w:t>
      </w:r>
      <w:r w:rsidR="00BD2AE8">
        <w:rPr>
          <w:rFonts w:cstheme="minorHAnsi"/>
          <w:b/>
          <w:bCs/>
          <w:sz w:val="24"/>
          <w:szCs w:val="24"/>
        </w:rPr>
        <w:t xml:space="preserve">reálných českých </w:t>
      </w:r>
      <w:r w:rsidRPr="00413562">
        <w:rPr>
          <w:rFonts w:cstheme="minorHAnsi"/>
          <w:b/>
          <w:bCs/>
          <w:sz w:val="24"/>
          <w:szCs w:val="24"/>
        </w:rPr>
        <w:t>dat</w:t>
      </w:r>
      <w:r w:rsidR="00BD2AE8">
        <w:rPr>
          <w:rFonts w:cstheme="minorHAnsi"/>
          <w:b/>
          <w:bCs/>
          <w:sz w:val="24"/>
          <w:szCs w:val="24"/>
        </w:rPr>
        <w:t xml:space="preserve"> o vývoji epidemie</w:t>
      </w:r>
    </w:p>
    <w:p w14:paraId="68A84024" w14:textId="5EFA73C0" w:rsidR="00C13A77" w:rsidRPr="00413562" w:rsidRDefault="00BD2AE8" w:rsidP="00F40F22">
      <w:pPr>
        <w:spacing w:line="276" w:lineRule="auto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Základním zdrojem dat pro sledování populačních charakteristik a zdravotních dopadů epidemie COVID-19 je </w:t>
      </w:r>
      <w:r w:rsidR="00F40F22" w:rsidRPr="00413562">
        <w:rPr>
          <w:rFonts w:cstheme="minorHAnsi"/>
          <w:sz w:val="24"/>
          <w:szCs w:val="24"/>
        </w:rPr>
        <w:t xml:space="preserve">Informační systém infekčních nemocí (ISIN), </w:t>
      </w:r>
      <w:r>
        <w:rPr>
          <w:rFonts w:cstheme="minorHAnsi"/>
          <w:sz w:val="24"/>
          <w:szCs w:val="24"/>
        </w:rPr>
        <w:t xml:space="preserve">jehož moduly </w:t>
      </w:r>
      <w:r w:rsidR="00F40F22" w:rsidRPr="00413562">
        <w:rPr>
          <w:rFonts w:cstheme="minorHAnsi"/>
          <w:sz w:val="24"/>
          <w:szCs w:val="24"/>
        </w:rPr>
        <w:t xml:space="preserve">jsou propojeny s vybranými zdrojovými daty Národního zdravotnického informačního systému (NZIS). </w:t>
      </w:r>
      <w:r w:rsidR="00C13A77" w:rsidRPr="00413562">
        <w:rPr>
          <w:rFonts w:cstheme="minorHAnsi"/>
          <w:sz w:val="24"/>
          <w:szCs w:val="24"/>
        </w:rPr>
        <w:t xml:space="preserve">Propojení vícezdrojových dat naplňuje </w:t>
      </w:r>
      <w:r w:rsidR="00413562">
        <w:rPr>
          <w:rFonts w:cstheme="minorHAnsi"/>
          <w:sz w:val="24"/>
          <w:szCs w:val="24"/>
        </w:rPr>
        <w:t>stěžejní</w:t>
      </w:r>
      <w:r w:rsidR="00C13A77" w:rsidRPr="00413562">
        <w:rPr>
          <w:rFonts w:cstheme="minorHAnsi"/>
          <w:sz w:val="24"/>
          <w:szCs w:val="24"/>
        </w:rPr>
        <w:t xml:space="preserve"> prvky koncepce elektronizace zdravotnictví ČR</w:t>
      </w:r>
      <w:r w:rsidR="00CF2968" w:rsidRPr="00413562">
        <w:rPr>
          <w:rFonts w:cstheme="minorHAnsi"/>
          <w:sz w:val="24"/>
          <w:szCs w:val="24"/>
        </w:rPr>
        <w:t xml:space="preserve">, která </w:t>
      </w:r>
      <w:r w:rsidR="00C13A77" w:rsidRPr="00413562">
        <w:rPr>
          <w:rFonts w:cstheme="minorHAnsi"/>
          <w:sz w:val="24"/>
          <w:szCs w:val="24"/>
        </w:rPr>
        <w:t>již byla promítnuta do legislativy (</w:t>
      </w:r>
      <w:r w:rsidR="00CF2968" w:rsidRPr="00413562">
        <w:rPr>
          <w:rFonts w:cstheme="minorHAnsi"/>
          <w:sz w:val="24"/>
          <w:szCs w:val="24"/>
        </w:rPr>
        <w:t>z</w:t>
      </w:r>
      <w:r w:rsidR="00C13A77" w:rsidRPr="00413562">
        <w:rPr>
          <w:rFonts w:cstheme="minorHAnsi"/>
          <w:sz w:val="24"/>
          <w:szCs w:val="24"/>
        </w:rPr>
        <w:t>ákon č. 325/2021. ze dne 18. srpna 2021. o</w:t>
      </w:r>
      <w:r w:rsidR="00C13A77" w:rsidRPr="00413562">
        <w:rPr>
          <w:rFonts w:cstheme="minorHAnsi"/>
          <w:i/>
          <w:iCs/>
          <w:sz w:val="24"/>
          <w:szCs w:val="24"/>
        </w:rPr>
        <w:t xml:space="preserve"> </w:t>
      </w:r>
      <w:r w:rsidR="00C13A77" w:rsidRPr="00413562">
        <w:rPr>
          <w:rStyle w:val="Zdraznn"/>
          <w:rFonts w:cstheme="minorHAnsi"/>
          <w:i w:val="0"/>
          <w:iCs w:val="0"/>
          <w:sz w:val="24"/>
          <w:szCs w:val="24"/>
        </w:rPr>
        <w:t>elektronizaci zdravotnictví</w:t>
      </w:r>
      <w:r w:rsidR="00C13A77" w:rsidRPr="00413562">
        <w:rPr>
          <w:rFonts w:cstheme="minorHAnsi"/>
          <w:sz w:val="24"/>
          <w:szCs w:val="24"/>
        </w:rPr>
        <w:t xml:space="preserve">; </w:t>
      </w:r>
      <w:r w:rsidR="00AA6871" w:rsidRPr="00413562">
        <w:rPr>
          <w:rFonts w:cstheme="minorHAnsi"/>
          <w:sz w:val="24"/>
          <w:szCs w:val="24"/>
        </w:rPr>
        <w:t xml:space="preserve">Těšitelová a kol., 2021). </w:t>
      </w:r>
      <w:r>
        <w:rPr>
          <w:rFonts w:cstheme="minorHAnsi"/>
          <w:sz w:val="24"/>
          <w:szCs w:val="24"/>
        </w:rPr>
        <w:t xml:space="preserve">Data z různých </w:t>
      </w:r>
      <w:r w:rsidR="00B4523B">
        <w:rPr>
          <w:rFonts w:cstheme="minorHAnsi"/>
          <w:sz w:val="24"/>
          <w:szCs w:val="24"/>
        </w:rPr>
        <w:t>zdrojů</w:t>
      </w:r>
      <w:r>
        <w:rPr>
          <w:rFonts w:cstheme="minorHAnsi"/>
          <w:sz w:val="24"/>
          <w:szCs w:val="24"/>
        </w:rPr>
        <w:t xml:space="preserve"> se vzájemně doplňují a umožňují nezávislou kontrolu úplnosti a správnosti. Jako příklad uveďme průběžná hlášení nemocnic o těžkých případech nákazy, která lze zpětně kontrolovat proti záznamům zdravotních pojišťoven. Obdobně jsou kontrolovány pozitivní záchyt</w:t>
      </w:r>
      <w:r w:rsidR="00B4523B">
        <w:rPr>
          <w:rFonts w:cstheme="minorHAnsi"/>
          <w:sz w:val="24"/>
          <w:szCs w:val="24"/>
        </w:rPr>
        <w:t>y</w:t>
      </w:r>
      <w:r>
        <w:rPr>
          <w:rFonts w:cstheme="minorHAnsi"/>
          <w:sz w:val="24"/>
          <w:szCs w:val="24"/>
        </w:rPr>
        <w:t xml:space="preserve"> nákaz ve zranitelné populaci nebo záznamy o vakcinaci. Celý systém</w:t>
      </w:r>
      <w:r w:rsidR="00B4523B">
        <w:rPr>
          <w:rFonts w:cstheme="minorHAnsi"/>
          <w:sz w:val="24"/>
          <w:szCs w:val="24"/>
        </w:rPr>
        <w:t xml:space="preserve"> udržuje </w:t>
      </w:r>
      <w:r>
        <w:rPr>
          <w:rFonts w:cstheme="minorHAnsi"/>
          <w:sz w:val="24"/>
          <w:szCs w:val="24"/>
        </w:rPr>
        <w:t>100% pokrytí populace a vysok</w:t>
      </w:r>
      <w:r w:rsidR="00B4523B">
        <w:rPr>
          <w:rFonts w:cstheme="minorHAnsi"/>
          <w:sz w:val="24"/>
          <w:szCs w:val="24"/>
        </w:rPr>
        <w:t>ou</w:t>
      </w:r>
      <w:r>
        <w:rPr>
          <w:rFonts w:cstheme="minorHAnsi"/>
          <w:sz w:val="24"/>
          <w:szCs w:val="24"/>
        </w:rPr>
        <w:t xml:space="preserve"> reprezentativnost publikovaných dat</w:t>
      </w:r>
      <w:r w:rsidR="00B4523B">
        <w:rPr>
          <w:rFonts w:cstheme="minorHAnsi"/>
          <w:sz w:val="24"/>
          <w:szCs w:val="24"/>
        </w:rPr>
        <w:t xml:space="preserve">, což </w:t>
      </w:r>
      <w:r>
        <w:rPr>
          <w:rFonts w:cstheme="minorHAnsi"/>
          <w:sz w:val="24"/>
          <w:szCs w:val="24"/>
        </w:rPr>
        <w:t>je zvláště cenné při hodnocení ochranného efektu očkování.</w:t>
      </w:r>
    </w:p>
    <w:p w14:paraId="28D7FD25" w14:textId="693AC652" w:rsidR="00F40F22" w:rsidRPr="00413562" w:rsidRDefault="00F40F22" w:rsidP="00AA6871">
      <w:pPr>
        <w:spacing w:line="276" w:lineRule="auto"/>
        <w:jc w:val="left"/>
        <w:rPr>
          <w:rStyle w:val="Hypertextovodkaz"/>
          <w:rFonts w:cstheme="minorHAnsi"/>
          <w:color w:val="000000"/>
          <w:sz w:val="24"/>
          <w:szCs w:val="24"/>
        </w:rPr>
      </w:pPr>
      <w:r w:rsidRPr="00413562">
        <w:rPr>
          <w:rFonts w:eastAsia="Times New Roman" w:cstheme="minorHAnsi"/>
          <w:bCs/>
          <w:color w:val="000000" w:themeColor="text1"/>
          <w:sz w:val="24"/>
          <w:szCs w:val="24"/>
          <w:lang w:eastAsia="cs-CZ"/>
        </w:rPr>
        <w:t xml:space="preserve">Systém s různou mírou automatizace propojuje všechny diagnostikující laboratoře a poskytovatele zdravotních služeb, </w:t>
      </w:r>
      <w:r w:rsidR="00CF2968" w:rsidRPr="00413562">
        <w:rPr>
          <w:rFonts w:eastAsia="Times New Roman" w:cstheme="minorHAnsi"/>
          <w:bCs/>
          <w:color w:val="000000" w:themeColor="text1"/>
          <w:sz w:val="24"/>
          <w:szCs w:val="24"/>
          <w:lang w:eastAsia="cs-CZ"/>
        </w:rPr>
        <w:t xml:space="preserve">segment primární i lůžkové péče, </w:t>
      </w:r>
      <w:r w:rsidRPr="00413562">
        <w:rPr>
          <w:rFonts w:eastAsia="Times New Roman" w:cstheme="minorHAnsi"/>
          <w:bCs/>
          <w:color w:val="000000" w:themeColor="text1"/>
          <w:sz w:val="24"/>
          <w:szCs w:val="24"/>
          <w:lang w:eastAsia="cs-CZ"/>
        </w:rPr>
        <w:t xml:space="preserve">odběrná a očkovací místa a krajské hygienické stanice. </w:t>
      </w:r>
      <w:r w:rsidRPr="00413562">
        <w:rPr>
          <w:rFonts w:cstheme="minorHAnsi"/>
          <w:sz w:val="24"/>
          <w:szCs w:val="24"/>
        </w:rPr>
        <w:t xml:space="preserve">Epidemie COVID-19 si </w:t>
      </w:r>
      <w:r w:rsidR="00602109" w:rsidRPr="00413562">
        <w:rPr>
          <w:rFonts w:cstheme="minorHAnsi"/>
          <w:sz w:val="24"/>
          <w:szCs w:val="24"/>
        </w:rPr>
        <w:t xml:space="preserve">pro sběr dat </w:t>
      </w:r>
      <w:r w:rsidRPr="00413562">
        <w:rPr>
          <w:rFonts w:cstheme="minorHAnsi"/>
          <w:sz w:val="24"/>
          <w:szCs w:val="24"/>
        </w:rPr>
        <w:t>vynutila</w:t>
      </w:r>
      <w:r w:rsidR="00602109" w:rsidRPr="00413562">
        <w:rPr>
          <w:rFonts w:cstheme="minorHAnsi"/>
          <w:sz w:val="24"/>
          <w:szCs w:val="24"/>
        </w:rPr>
        <w:t xml:space="preserve"> </w:t>
      </w:r>
      <w:r w:rsidRPr="00413562">
        <w:rPr>
          <w:rFonts w:cstheme="minorHAnsi"/>
          <w:sz w:val="24"/>
          <w:szCs w:val="24"/>
        </w:rPr>
        <w:t>“</w:t>
      </w:r>
      <w:proofErr w:type="spellStart"/>
      <w:r w:rsidRPr="00413562">
        <w:rPr>
          <w:rFonts w:cstheme="minorHAnsi"/>
          <w:sz w:val="24"/>
          <w:szCs w:val="24"/>
        </w:rPr>
        <w:t>real</w:t>
      </w:r>
      <w:proofErr w:type="spellEnd"/>
      <w:r w:rsidRPr="00413562">
        <w:rPr>
          <w:rFonts w:cstheme="minorHAnsi"/>
          <w:sz w:val="24"/>
          <w:szCs w:val="24"/>
        </w:rPr>
        <w:t xml:space="preserve"> </w:t>
      </w:r>
      <w:proofErr w:type="spellStart"/>
      <w:r w:rsidRPr="00413562">
        <w:rPr>
          <w:rFonts w:cstheme="minorHAnsi"/>
          <w:sz w:val="24"/>
          <w:szCs w:val="24"/>
        </w:rPr>
        <w:t>time</w:t>
      </w:r>
      <w:proofErr w:type="spellEnd"/>
      <w:r w:rsidRPr="00413562">
        <w:rPr>
          <w:rFonts w:cstheme="minorHAnsi"/>
          <w:sz w:val="24"/>
          <w:szCs w:val="24"/>
        </w:rPr>
        <w:t>” provoz</w:t>
      </w:r>
      <w:r w:rsidR="00602109" w:rsidRPr="00413562">
        <w:rPr>
          <w:rFonts w:cstheme="minorHAnsi"/>
          <w:sz w:val="24"/>
          <w:szCs w:val="24"/>
        </w:rPr>
        <w:t xml:space="preserve">, čemuž </w:t>
      </w:r>
      <w:r w:rsidRPr="00413562">
        <w:rPr>
          <w:rFonts w:cstheme="minorHAnsi"/>
          <w:sz w:val="24"/>
          <w:szCs w:val="24"/>
        </w:rPr>
        <w:t xml:space="preserve">byla přizpůsobena architektura a funkčnost obslužných informačních systémů (Komenda a kol., </w:t>
      </w:r>
      <w:proofErr w:type="gramStart"/>
      <w:r w:rsidRPr="00413562">
        <w:rPr>
          <w:rFonts w:cstheme="minorHAnsi"/>
          <w:sz w:val="24"/>
          <w:szCs w:val="24"/>
        </w:rPr>
        <w:t>2020a</w:t>
      </w:r>
      <w:proofErr w:type="gramEnd"/>
      <w:r w:rsidRPr="00413562">
        <w:rPr>
          <w:rFonts w:cstheme="minorHAnsi"/>
          <w:sz w:val="24"/>
          <w:szCs w:val="24"/>
        </w:rPr>
        <w:t xml:space="preserve">-b; Jarkovský 2021). </w:t>
      </w:r>
      <w:r w:rsidR="00AA6871" w:rsidRPr="00413562">
        <w:rPr>
          <w:rFonts w:cstheme="minorHAnsi"/>
          <w:sz w:val="24"/>
          <w:szCs w:val="24"/>
        </w:rPr>
        <w:t>F</w:t>
      </w:r>
      <w:r w:rsidRPr="00413562">
        <w:rPr>
          <w:rFonts w:cstheme="minorHAnsi"/>
          <w:sz w:val="24"/>
          <w:szCs w:val="24"/>
        </w:rPr>
        <w:t xml:space="preserve">unkcí centrálního systému </w:t>
      </w:r>
      <w:r w:rsidR="00AA6871" w:rsidRPr="00413562">
        <w:rPr>
          <w:rFonts w:cstheme="minorHAnsi"/>
          <w:sz w:val="24"/>
          <w:szCs w:val="24"/>
        </w:rPr>
        <w:t xml:space="preserve">je rovněž </w:t>
      </w:r>
      <w:r w:rsidRPr="00413562">
        <w:rPr>
          <w:rFonts w:cstheme="minorHAnsi"/>
          <w:sz w:val="24"/>
          <w:szCs w:val="24"/>
        </w:rPr>
        <w:t>publik</w:t>
      </w:r>
      <w:r w:rsidR="00080E88">
        <w:rPr>
          <w:rFonts w:cstheme="minorHAnsi"/>
          <w:sz w:val="24"/>
          <w:szCs w:val="24"/>
        </w:rPr>
        <w:t xml:space="preserve">ace </w:t>
      </w:r>
      <w:r w:rsidRPr="00413562">
        <w:rPr>
          <w:rFonts w:cstheme="minorHAnsi"/>
          <w:sz w:val="24"/>
          <w:szCs w:val="24"/>
        </w:rPr>
        <w:t>otevřených datových sad</w:t>
      </w:r>
      <w:r w:rsidR="00C13A77" w:rsidRPr="00413562">
        <w:rPr>
          <w:rFonts w:cstheme="minorHAnsi"/>
          <w:sz w:val="24"/>
          <w:szCs w:val="24"/>
        </w:rPr>
        <w:t xml:space="preserve"> (Komenda a kol., 2022)</w:t>
      </w:r>
      <w:r w:rsidR="00602109" w:rsidRPr="00413562">
        <w:rPr>
          <w:rFonts w:cstheme="minorHAnsi"/>
          <w:sz w:val="24"/>
          <w:szCs w:val="24"/>
        </w:rPr>
        <w:t xml:space="preserve"> na </w:t>
      </w:r>
      <w:r w:rsidRPr="00413562">
        <w:rPr>
          <w:rFonts w:cstheme="minorHAnsi"/>
          <w:sz w:val="24"/>
          <w:szCs w:val="24"/>
        </w:rPr>
        <w:t>veřejně dostupném webovém portálu: (</w:t>
      </w:r>
      <w:hyperlink r:id="rId8" w:history="1">
        <w:r w:rsidR="00602109" w:rsidRPr="00413562">
          <w:rPr>
            <w:rStyle w:val="Hypertextovodkaz"/>
            <w:rFonts w:cstheme="minorHAnsi"/>
            <w:sz w:val="24"/>
            <w:szCs w:val="24"/>
          </w:rPr>
          <w:t>https://onemocneni-aktualne.mzcr.cz/covid-19</w:t>
        </w:r>
      </w:hyperlink>
      <w:r w:rsidRPr="00413562">
        <w:rPr>
          <w:rFonts w:cstheme="minorHAnsi"/>
          <w:sz w:val="24"/>
          <w:szCs w:val="24"/>
        </w:rPr>
        <w:t>)</w:t>
      </w:r>
      <w:r w:rsidR="00602109" w:rsidRPr="00413562">
        <w:rPr>
          <w:rFonts w:cstheme="minorHAnsi"/>
          <w:sz w:val="24"/>
          <w:szCs w:val="24"/>
        </w:rPr>
        <w:t xml:space="preserve">. Data </w:t>
      </w:r>
      <w:r w:rsidRPr="00413562">
        <w:rPr>
          <w:rFonts w:cstheme="minorHAnsi"/>
          <w:sz w:val="24"/>
          <w:szCs w:val="24"/>
        </w:rPr>
        <w:t>jsou metodicky připraven</w:t>
      </w:r>
      <w:r w:rsidR="00602109" w:rsidRPr="00413562">
        <w:rPr>
          <w:rFonts w:cstheme="minorHAnsi"/>
          <w:sz w:val="24"/>
          <w:szCs w:val="24"/>
        </w:rPr>
        <w:t>a</w:t>
      </w:r>
      <w:r w:rsidRPr="00413562">
        <w:rPr>
          <w:rFonts w:cstheme="minorHAnsi"/>
          <w:sz w:val="24"/>
          <w:szCs w:val="24"/>
        </w:rPr>
        <w:t xml:space="preserve"> dle standardních pravidel</w:t>
      </w:r>
      <w:r w:rsidR="00602109" w:rsidRPr="00413562">
        <w:rPr>
          <w:rFonts w:cstheme="minorHAnsi"/>
          <w:sz w:val="24"/>
          <w:szCs w:val="24"/>
        </w:rPr>
        <w:t xml:space="preserve">, </w:t>
      </w:r>
      <w:r w:rsidRPr="00413562">
        <w:rPr>
          <w:rFonts w:cstheme="minorHAnsi"/>
          <w:sz w:val="24"/>
          <w:szCs w:val="24"/>
        </w:rPr>
        <w:t>datov</w:t>
      </w:r>
      <w:r w:rsidR="00080E88">
        <w:rPr>
          <w:rFonts w:cstheme="minorHAnsi"/>
          <w:sz w:val="24"/>
          <w:szCs w:val="24"/>
        </w:rPr>
        <w:t>é</w:t>
      </w:r>
      <w:r w:rsidRPr="00413562">
        <w:rPr>
          <w:rFonts w:cstheme="minorHAnsi"/>
          <w:sz w:val="24"/>
          <w:szCs w:val="24"/>
        </w:rPr>
        <w:t xml:space="preserve"> sad</w:t>
      </w:r>
      <w:r w:rsidR="00080E88">
        <w:rPr>
          <w:rFonts w:cstheme="minorHAnsi"/>
          <w:sz w:val="24"/>
          <w:szCs w:val="24"/>
        </w:rPr>
        <w:t>y</w:t>
      </w:r>
      <w:r w:rsidRPr="00413562">
        <w:rPr>
          <w:rFonts w:cstheme="minorHAnsi"/>
          <w:sz w:val="24"/>
          <w:szCs w:val="24"/>
        </w:rPr>
        <w:t xml:space="preserve"> m</w:t>
      </w:r>
      <w:r w:rsidR="00080E88">
        <w:rPr>
          <w:rFonts w:cstheme="minorHAnsi"/>
          <w:sz w:val="24"/>
          <w:szCs w:val="24"/>
        </w:rPr>
        <w:t xml:space="preserve">ají </w:t>
      </w:r>
      <w:r w:rsidRPr="00413562">
        <w:rPr>
          <w:rFonts w:cstheme="minorHAnsi"/>
          <w:sz w:val="24"/>
          <w:szCs w:val="24"/>
        </w:rPr>
        <w:t>svůj záznam v </w:t>
      </w:r>
      <w:hyperlink r:id="rId9" w:history="1">
        <w:r w:rsidRPr="00413562">
          <w:rPr>
            <w:rStyle w:val="Hypertextovodkaz"/>
            <w:rFonts w:cstheme="minorHAnsi"/>
            <w:color w:val="000000"/>
            <w:sz w:val="24"/>
            <w:szCs w:val="24"/>
            <w:u w:val="none"/>
          </w:rPr>
          <w:t>Národním katalogu otevřených dat</w:t>
        </w:r>
      </w:hyperlink>
      <w:r w:rsidRPr="00413562">
        <w:rPr>
          <w:rStyle w:val="Hypertextovodkaz"/>
          <w:rFonts w:cstheme="minorHAnsi"/>
          <w:color w:val="000000"/>
          <w:sz w:val="24"/>
          <w:szCs w:val="24"/>
          <w:u w:val="none"/>
        </w:rPr>
        <w:t>.</w:t>
      </w:r>
      <w:r w:rsidRPr="00413562">
        <w:rPr>
          <w:rStyle w:val="Hypertextovodkaz"/>
          <w:rFonts w:cstheme="minorHAnsi"/>
          <w:color w:val="000000"/>
          <w:sz w:val="24"/>
          <w:szCs w:val="24"/>
        </w:rPr>
        <w:t xml:space="preserve"> </w:t>
      </w:r>
    </w:p>
    <w:p w14:paraId="79271656" w14:textId="5F3E995C" w:rsidR="00CF2968" w:rsidRPr="00413562" w:rsidRDefault="00CF2968" w:rsidP="00CF2968">
      <w:pPr>
        <w:spacing w:line="276" w:lineRule="auto"/>
        <w:jc w:val="left"/>
        <w:rPr>
          <w:rFonts w:cstheme="minorHAnsi"/>
          <w:sz w:val="24"/>
          <w:szCs w:val="24"/>
        </w:rPr>
      </w:pPr>
      <w:r w:rsidRPr="00413562">
        <w:rPr>
          <w:rFonts w:cstheme="minorHAnsi"/>
          <w:sz w:val="24"/>
          <w:szCs w:val="24"/>
        </w:rPr>
        <w:t xml:space="preserve">Tento článek shrnuje vybraná data o COVID-19 v české populaci </w:t>
      </w:r>
      <w:r w:rsidR="00B4523B">
        <w:rPr>
          <w:rFonts w:cstheme="minorHAnsi"/>
          <w:sz w:val="24"/>
          <w:szCs w:val="24"/>
        </w:rPr>
        <w:t xml:space="preserve">se zaměřením na první měsíce roku 2022, ve kterých dosáhla dominance nová varianta viru SARS-CoV-2 Omikron. </w:t>
      </w:r>
    </w:p>
    <w:p w14:paraId="401ED03A" w14:textId="77777777" w:rsidR="00CF2968" w:rsidRPr="00413562" w:rsidRDefault="00CF2968" w:rsidP="00AA6871">
      <w:pPr>
        <w:spacing w:line="276" w:lineRule="auto"/>
        <w:jc w:val="left"/>
        <w:rPr>
          <w:rStyle w:val="Hypertextovodkaz"/>
          <w:rFonts w:cstheme="minorHAnsi"/>
          <w:color w:val="auto"/>
          <w:sz w:val="24"/>
          <w:szCs w:val="24"/>
        </w:rPr>
      </w:pPr>
    </w:p>
    <w:p w14:paraId="1BAB872A" w14:textId="0ED72B42" w:rsidR="00CF2968" w:rsidRPr="00413562" w:rsidRDefault="00BF7BBD" w:rsidP="00CF2968">
      <w:pPr>
        <w:spacing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Retrospektivní přehled etap </w:t>
      </w:r>
      <w:r w:rsidR="00707849" w:rsidRPr="00413562">
        <w:rPr>
          <w:rFonts w:cstheme="minorHAnsi"/>
          <w:b/>
          <w:bCs/>
          <w:sz w:val="24"/>
          <w:szCs w:val="24"/>
        </w:rPr>
        <w:t xml:space="preserve">epidemie </w:t>
      </w:r>
    </w:p>
    <w:p w14:paraId="4EDB57BB" w14:textId="55FC7308" w:rsidR="00BF7BBD" w:rsidRDefault="00BF7BBD" w:rsidP="00CF2968">
      <w:pPr>
        <w:spacing w:line="276" w:lineRule="auto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Dnes již nikdo nepochybuje o tom, že šíření SARS-CoV-2 má v naší geografické oblasti velmi výrazný sezónní charakter. To jistě není překvapivé, d</w:t>
      </w:r>
      <w:r w:rsidRPr="009729E3">
        <w:rPr>
          <w:rFonts w:eastAsia="Times New Roman" w:cstheme="minorHAnsi"/>
          <w:bCs/>
          <w:color w:val="000000" w:themeColor="text1"/>
          <w:sz w:val="24"/>
          <w:szCs w:val="24"/>
          <w:lang w:eastAsia="cs-CZ"/>
        </w:rPr>
        <w:t xml:space="preserve">louhá desetiletí </w:t>
      </w:r>
      <w:r>
        <w:rPr>
          <w:rFonts w:eastAsia="Times New Roman" w:cstheme="minorHAnsi"/>
          <w:bCs/>
          <w:color w:val="000000" w:themeColor="text1"/>
          <w:sz w:val="24"/>
          <w:szCs w:val="24"/>
          <w:lang w:eastAsia="cs-CZ"/>
        </w:rPr>
        <w:t xml:space="preserve">známe období </w:t>
      </w:r>
      <w:r w:rsidRPr="009729E3">
        <w:rPr>
          <w:rFonts w:eastAsia="Times New Roman" w:cstheme="minorHAnsi"/>
          <w:bCs/>
          <w:color w:val="000000" w:themeColor="text1"/>
          <w:sz w:val="24"/>
          <w:szCs w:val="24"/>
          <w:lang w:eastAsia="cs-CZ"/>
        </w:rPr>
        <w:t xml:space="preserve">od října až do března jako </w:t>
      </w:r>
      <w:r>
        <w:rPr>
          <w:rFonts w:eastAsia="Times New Roman" w:cstheme="minorHAnsi"/>
          <w:bCs/>
          <w:color w:val="000000" w:themeColor="text1"/>
          <w:sz w:val="24"/>
          <w:szCs w:val="24"/>
          <w:lang w:eastAsia="cs-CZ"/>
        </w:rPr>
        <w:t xml:space="preserve">sezónu </w:t>
      </w:r>
      <w:r w:rsidRPr="009729E3">
        <w:rPr>
          <w:rFonts w:eastAsia="Times New Roman" w:cstheme="minorHAnsi"/>
          <w:bCs/>
          <w:color w:val="000000" w:themeColor="text1"/>
          <w:sz w:val="24"/>
          <w:szCs w:val="24"/>
          <w:lang w:eastAsia="cs-CZ"/>
        </w:rPr>
        <w:t xml:space="preserve">respiračních </w:t>
      </w:r>
      <w:r w:rsidR="001A00A7">
        <w:rPr>
          <w:rFonts w:eastAsia="Times New Roman" w:cstheme="minorHAnsi"/>
          <w:bCs/>
          <w:color w:val="000000" w:themeColor="text1"/>
          <w:sz w:val="24"/>
          <w:szCs w:val="24"/>
          <w:lang w:eastAsia="cs-CZ"/>
        </w:rPr>
        <w:t>infekcí</w:t>
      </w:r>
      <w:r>
        <w:rPr>
          <w:rFonts w:eastAsia="Times New Roman" w:cstheme="minorHAnsi"/>
          <w:bCs/>
          <w:color w:val="000000" w:themeColor="text1"/>
          <w:sz w:val="24"/>
          <w:szCs w:val="24"/>
          <w:lang w:eastAsia="cs-CZ"/>
        </w:rPr>
        <w:t xml:space="preserve">. </w:t>
      </w:r>
      <w:r w:rsidRPr="009729E3"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Podobně jako u chřipky nastupuje v našem geografickém pásmu maximální šíření </w:t>
      </w:r>
      <w:r w:rsidR="00080E88">
        <w:rPr>
          <w:rStyle w:val="atm-text-decorator"/>
          <w:rFonts w:cstheme="minorHAnsi"/>
          <w:color w:val="000000" w:themeColor="text1"/>
          <w:sz w:val="24"/>
          <w:szCs w:val="24"/>
        </w:rPr>
        <w:t>COVID</w:t>
      </w:r>
      <w:r w:rsidRPr="009729E3"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-19 v zimních měsících. Jde o období, kdy klesá teplota i vlhkost vzduchu, což jsou podmínky významně zvyšující </w:t>
      </w:r>
      <w:proofErr w:type="spellStart"/>
      <w:r w:rsidRPr="009729E3">
        <w:rPr>
          <w:rStyle w:val="atm-text-decorator"/>
          <w:rFonts w:cstheme="minorHAnsi"/>
          <w:color w:val="000000" w:themeColor="text1"/>
          <w:sz w:val="24"/>
          <w:szCs w:val="24"/>
        </w:rPr>
        <w:t>transmisibilitu</w:t>
      </w:r>
      <w:proofErr w:type="spellEnd"/>
      <w:r w:rsidRPr="009729E3"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 </w:t>
      </w:r>
      <w:r w:rsidR="001A00A7">
        <w:rPr>
          <w:rStyle w:val="atm-text-decorator"/>
          <w:rFonts w:cstheme="minorHAnsi"/>
          <w:color w:val="000000" w:themeColor="text1"/>
          <w:sz w:val="24"/>
          <w:szCs w:val="24"/>
        </w:rPr>
        <w:t>SARS-CoV-2</w:t>
      </w:r>
      <w:r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. </w:t>
      </w:r>
      <w:r w:rsidRPr="009729E3"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Šíření respiračních nemocí v zimních měsících také napomáhá změna chování populace, pobyt většího množství lidí v uzavřených prostorách, vysoký počet dlouhodobých rizikových </w:t>
      </w:r>
      <w:proofErr w:type="gramStart"/>
      <w:r w:rsidRPr="009729E3">
        <w:rPr>
          <w:rStyle w:val="atm-text-decorator"/>
          <w:rFonts w:cstheme="minorHAnsi"/>
          <w:color w:val="000000" w:themeColor="text1"/>
          <w:sz w:val="24"/>
          <w:szCs w:val="24"/>
        </w:rPr>
        <w:t>kontaktů,</w:t>
      </w:r>
      <w:proofErr w:type="gramEnd"/>
      <w:r w:rsidRPr="009729E3"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 apod. Z vnějších faktorů bylo prokázáno, že zejména úroveň ultrafialového záření a kapacita vysoušení vzduchu silně korelují s šířením koronavirů</w:t>
      </w:r>
      <w:r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. </w:t>
      </w:r>
    </w:p>
    <w:p w14:paraId="2875C680" w14:textId="238AE4C7" w:rsidR="00D02643" w:rsidRPr="00413562" w:rsidRDefault="00080E88" w:rsidP="001A00A7">
      <w:pPr>
        <w:spacing w:line="276" w:lineRule="auto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V</w:t>
      </w:r>
      <w:r w:rsidR="00BF7BBD">
        <w:rPr>
          <w:rFonts w:cstheme="minorHAnsi"/>
          <w:sz w:val="24"/>
          <w:szCs w:val="24"/>
        </w:rPr>
        <w:t xml:space="preserve">ývoj </w:t>
      </w:r>
      <w:r>
        <w:rPr>
          <w:rFonts w:cstheme="minorHAnsi"/>
          <w:sz w:val="24"/>
          <w:szCs w:val="24"/>
        </w:rPr>
        <w:t xml:space="preserve">epidemie ovšem determinuje </w:t>
      </w:r>
      <w:r w:rsidR="001A00A7">
        <w:rPr>
          <w:rFonts w:cstheme="minorHAnsi"/>
          <w:sz w:val="24"/>
          <w:szCs w:val="24"/>
        </w:rPr>
        <w:t xml:space="preserve">zejména </w:t>
      </w:r>
      <w:r w:rsidR="00BF7BBD">
        <w:rPr>
          <w:rFonts w:cstheme="minorHAnsi"/>
          <w:sz w:val="24"/>
          <w:szCs w:val="24"/>
        </w:rPr>
        <w:t xml:space="preserve">virus sám. V důsledku </w:t>
      </w:r>
      <w:r w:rsidR="001A00A7">
        <w:rPr>
          <w:rFonts w:cstheme="minorHAnsi"/>
          <w:sz w:val="24"/>
          <w:szCs w:val="24"/>
        </w:rPr>
        <w:t xml:space="preserve">jeho </w:t>
      </w:r>
      <w:r w:rsidR="00BF7BBD">
        <w:rPr>
          <w:rFonts w:cstheme="minorHAnsi"/>
          <w:sz w:val="24"/>
          <w:szCs w:val="24"/>
        </w:rPr>
        <w:t>vysoké proměnlivosti jsm</w:t>
      </w:r>
      <w:r w:rsidR="001A00A7">
        <w:rPr>
          <w:rFonts w:cstheme="minorHAnsi"/>
          <w:sz w:val="24"/>
          <w:szCs w:val="24"/>
        </w:rPr>
        <w:t>e</w:t>
      </w:r>
      <w:r w:rsidR="00BF7BBD">
        <w:rPr>
          <w:rFonts w:cstheme="minorHAnsi"/>
          <w:sz w:val="24"/>
          <w:szCs w:val="24"/>
        </w:rPr>
        <w:t xml:space="preserve"> tak v každé dosavadní sezónní etapě epidemie čelili </w:t>
      </w:r>
      <w:r w:rsidR="001A00A7">
        <w:rPr>
          <w:rFonts w:cstheme="minorHAnsi"/>
          <w:sz w:val="24"/>
          <w:szCs w:val="24"/>
        </w:rPr>
        <w:t xml:space="preserve">zcela </w:t>
      </w:r>
      <w:r w:rsidR="00BF7BBD">
        <w:rPr>
          <w:rFonts w:cstheme="minorHAnsi"/>
          <w:sz w:val="24"/>
          <w:szCs w:val="24"/>
        </w:rPr>
        <w:t>nové variantě viru s parametry značně odlišnými od předchozích forem</w:t>
      </w:r>
      <w:r w:rsidR="001A00A7">
        <w:rPr>
          <w:rFonts w:cstheme="minorHAnsi"/>
          <w:sz w:val="24"/>
          <w:szCs w:val="24"/>
        </w:rPr>
        <w:t xml:space="preserve">. </w:t>
      </w:r>
      <w:r w:rsidR="00D02643" w:rsidRPr="00413562">
        <w:rPr>
          <w:rFonts w:cstheme="minorHAnsi"/>
          <w:sz w:val="24"/>
          <w:szCs w:val="24"/>
        </w:rPr>
        <w:t xml:space="preserve">Křivka </w:t>
      </w:r>
      <w:r w:rsidR="000F1BA8" w:rsidRPr="00413562">
        <w:rPr>
          <w:rFonts w:cstheme="minorHAnsi"/>
          <w:sz w:val="24"/>
          <w:szCs w:val="24"/>
        </w:rPr>
        <w:t xml:space="preserve">populační zátěže </w:t>
      </w:r>
      <w:r w:rsidR="001A00A7">
        <w:rPr>
          <w:rFonts w:cstheme="minorHAnsi"/>
          <w:sz w:val="24"/>
          <w:szCs w:val="24"/>
        </w:rPr>
        <w:t xml:space="preserve">zobrazená na </w:t>
      </w:r>
      <w:r w:rsidR="001A00A7" w:rsidRPr="001A00A7">
        <w:rPr>
          <w:rFonts w:cstheme="minorHAnsi"/>
          <w:b/>
          <w:bCs/>
          <w:sz w:val="24"/>
          <w:szCs w:val="24"/>
          <w:u w:val="single"/>
        </w:rPr>
        <w:t>grafu 1</w:t>
      </w:r>
      <w:r w:rsidR="001A00A7">
        <w:rPr>
          <w:rFonts w:cstheme="minorHAnsi"/>
          <w:sz w:val="24"/>
          <w:szCs w:val="24"/>
        </w:rPr>
        <w:t xml:space="preserve"> </w:t>
      </w:r>
      <w:r w:rsidR="00D02643" w:rsidRPr="00413562">
        <w:rPr>
          <w:rFonts w:cstheme="minorHAnsi"/>
          <w:sz w:val="24"/>
          <w:szCs w:val="24"/>
        </w:rPr>
        <w:t>zřetelně odděluje jednotlivé „vlny“ epidemie, ve kterých se postupně střídaly nové varianty viru s</w:t>
      </w:r>
      <w:r>
        <w:rPr>
          <w:rFonts w:cstheme="minorHAnsi"/>
          <w:sz w:val="24"/>
          <w:szCs w:val="24"/>
        </w:rPr>
        <w:t xml:space="preserve"> narůstající </w:t>
      </w:r>
      <w:r w:rsidR="00D02643" w:rsidRPr="00413562">
        <w:rPr>
          <w:rFonts w:cstheme="minorHAnsi"/>
          <w:sz w:val="24"/>
          <w:szCs w:val="24"/>
        </w:rPr>
        <w:t>nakažlivostí.</w:t>
      </w:r>
      <w:r w:rsidR="001A00A7">
        <w:rPr>
          <w:rFonts w:cstheme="minorHAnsi"/>
          <w:sz w:val="24"/>
          <w:szCs w:val="24"/>
        </w:rPr>
        <w:t xml:space="preserve"> </w:t>
      </w:r>
      <w:r w:rsidR="00A66AD8">
        <w:rPr>
          <w:rFonts w:cstheme="minorHAnsi"/>
          <w:sz w:val="24"/>
          <w:szCs w:val="24"/>
        </w:rPr>
        <w:t xml:space="preserve">Bohužel se vývoj promítal i do měnící se virulence variant viru, což dokládá profil celkové </w:t>
      </w:r>
      <w:proofErr w:type="spellStart"/>
      <w:r w:rsidR="00A66AD8">
        <w:rPr>
          <w:rFonts w:cstheme="minorHAnsi"/>
          <w:sz w:val="24"/>
          <w:szCs w:val="24"/>
        </w:rPr>
        <w:t>nadúmrtnosti</w:t>
      </w:r>
      <w:proofErr w:type="spellEnd"/>
      <w:r w:rsidR="00A66AD8">
        <w:rPr>
          <w:rFonts w:cstheme="minorHAnsi"/>
          <w:sz w:val="24"/>
          <w:szCs w:val="24"/>
        </w:rPr>
        <w:t xml:space="preserve"> v populaci ČR (</w:t>
      </w:r>
      <w:r w:rsidR="00A66AD8" w:rsidRPr="00A66AD8">
        <w:rPr>
          <w:rFonts w:cstheme="minorHAnsi"/>
          <w:b/>
          <w:bCs/>
          <w:sz w:val="24"/>
          <w:szCs w:val="24"/>
          <w:u w:val="single"/>
        </w:rPr>
        <w:t>Graf 2</w:t>
      </w:r>
      <w:r w:rsidR="00A66AD8">
        <w:rPr>
          <w:rFonts w:cstheme="minorHAnsi"/>
          <w:sz w:val="24"/>
          <w:szCs w:val="24"/>
        </w:rPr>
        <w:t xml:space="preserve">). Celkovou </w:t>
      </w:r>
      <w:proofErr w:type="spellStart"/>
      <w:r w:rsidR="00A66AD8">
        <w:rPr>
          <w:rFonts w:cstheme="minorHAnsi"/>
          <w:sz w:val="24"/>
          <w:szCs w:val="24"/>
        </w:rPr>
        <w:t>nadúmrtnost</w:t>
      </w:r>
      <w:proofErr w:type="spellEnd"/>
      <w:r w:rsidR="00A66AD8">
        <w:rPr>
          <w:rFonts w:cstheme="minorHAnsi"/>
          <w:sz w:val="24"/>
          <w:szCs w:val="24"/>
        </w:rPr>
        <w:t xml:space="preserve"> zde uvádíme proto, že jde o nejuniverzálnější indikátor přímých i nepřímých zdravotních dopadů epidemie. </w:t>
      </w:r>
      <w:r w:rsidR="001A00A7">
        <w:rPr>
          <w:rFonts w:cstheme="minorHAnsi"/>
          <w:sz w:val="24"/>
          <w:szCs w:val="24"/>
        </w:rPr>
        <w:t xml:space="preserve">Dosavadní vývoj velmi stručně shrnujeme v následujících bodech: </w:t>
      </w:r>
    </w:p>
    <w:p w14:paraId="38143F36" w14:textId="5ADDDB1C" w:rsidR="00FC7488" w:rsidRPr="00413562" w:rsidRDefault="00FC7488" w:rsidP="000F1BA8">
      <w:pPr>
        <w:pStyle w:val="Odstavecseseznamem"/>
        <w:numPr>
          <w:ilvl w:val="0"/>
          <w:numId w:val="31"/>
        </w:numPr>
        <w:spacing w:line="276" w:lineRule="auto"/>
        <w:ind w:left="284" w:hanging="284"/>
        <w:jc w:val="left"/>
        <w:rPr>
          <w:rStyle w:val="markedcontent"/>
          <w:rFonts w:cstheme="minorHAnsi"/>
          <w:lang w:val="cs-CZ"/>
        </w:rPr>
      </w:pPr>
      <w:r w:rsidRPr="00413562">
        <w:rPr>
          <w:rFonts w:eastAsia="Times New Roman" w:cstheme="minorHAnsi"/>
          <w:bCs/>
          <w:lang w:val="cs-CZ" w:eastAsia="cs-CZ"/>
        </w:rPr>
        <w:t xml:space="preserve">Původní variantu </w:t>
      </w:r>
      <w:r w:rsidRPr="00413562">
        <w:rPr>
          <w:rFonts w:eastAsia="Times New Roman" w:cstheme="minorHAnsi"/>
          <w:bCs/>
          <w:color w:val="000000" w:themeColor="text1"/>
          <w:lang w:val="cs-CZ" w:eastAsia="cs-CZ"/>
        </w:rPr>
        <w:t>„</w:t>
      </w:r>
      <w:proofErr w:type="spellStart"/>
      <w:r w:rsidRPr="00413562">
        <w:rPr>
          <w:rFonts w:eastAsia="Times New Roman" w:cstheme="minorHAnsi"/>
          <w:bCs/>
          <w:color w:val="000000" w:themeColor="text1"/>
          <w:lang w:val="cs-CZ" w:eastAsia="cs-CZ"/>
        </w:rPr>
        <w:t>Wu-chanského</w:t>
      </w:r>
      <w:proofErr w:type="spellEnd"/>
      <w:r w:rsidRPr="00413562">
        <w:rPr>
          <w:rFonts w:eastAsia="Times New Roman" w:cstheme="minorHAnsi"/>
          <w:bCs/>
          <w:color w:val="000000" w:themeColor="text1"/>
          <w:lang w:val="cs-CZ" w:eastAsia="cs-CZ"/>
        </w:rPr>
        <w:t xml:space="preserve">“ </w:t>
      </w:r>
      <w:r w:rsidR="000F1BA8" w:rsidRPr="00413562">
        <w:rPr>
          <w:rFonts w:eastAsia="Times New Roman" w:cstheme="minorHAnsi"/>
          <w:bCs/>
          <w:color w:val="000000" w:themeColor="text1"/>
          <w:lang w:val="cs-CZ" w:eastAsia="cs-CZ"/>
        </w:rPr>
        <w:t xml:space="preserve">viru vystřídala </w:t>
      </w:r>
      <w:r w:rsidRPr="00413562">
        <w:rPr>
          <w:rFonts w:eastAsia="Times New Roman" w:cstheme="minorHAnsi"/>
          <w:bCs/>
          <w:color w:val="000000" w:themeColor="text1"/>
          <w:lang w:val="cs-CZ" w:eastAsia="cs-CZ"/>
        </w:rPr>
        <w:t xml:space="preserve">v prvním </w:t>
      </w:r>
      <w:r w:rsidR="004028DF" w:rsidRPr="00413562">
        <w:rPr>
          <w:rFonts w:eastAsia="Times New Roman" w:cstheme="minorHAnsi"/>
          <w:bCs/>
          <w:lang w:val="cs-CZ" w:eastAsia="cs-CZ"/>
        </w:rPr>
        <w:t>pololetí 2021 tzv. britská varianta (B1.1.7, „</w:t>
      </w:r>
      <w:proofErr w:type="spellStart"/>
      <w:r w:rsidR="004028DF" w:rsidRPr="00413562">
        <w:rPr>
          <w:rFonts w:eastAsia="Times New Roman" w:cstheme="minorHAnsi"/>
          <w:bCs/>
          <w:lang w:val="cs-CZ" w:eastAsia="cs-CZ"/>
        </w:rPr>
        <w:t>Alpha</w:t>
      </w:r>
      <w:proofErr w:type="spellEnd"/>
      <w:r w:rsidR="004028DF" w:rsidRPr="00413562">
        <w:rPr>
          <w:rFonts w:eastAsia="Times New Roman" w:cstheme="minorHAnsi"/>
          <w:bCs/>
          <w:lang w:val="cs-CZ" w:eastAsia="cs-CZ"/>
        </w:rPr>
        <w:t xml:space="preserve">“, zachycena v září 2020 v UK; </w:t>
      </w:r>
      <w:proofErr w:type="spellStart"/>
      <w:r w:rsidR="004028DF" w:rsidRPr="00413562">
        <w:rPr>
          <w:rFonts w:eastAsia="Times New Roman" w:cstheme="minorHAnsi"/>
          <w:bCs/>
          <w:lang w:val="cs-CZ" w:eastAsia="cs-CZ"/>
        </w:rPr>
        <w:t>Volz</w:t>
      </w:r>
      <w:proofErr w:type="spellEnd"/>
      <w:r w:rsidR="004028DF" w:rsidRPr="00413562">
        <w:rPr>
          <w:rFonts w:eastAsia="Times New Roman" w:cstheme="minorHAnsi"/>
          <w:bCs/>
          <w:lang w:val="cs-CZ" w:eastAsia="cs-CZ"/>
        </w:rPr>
        <w:t xml:space="preserve"> a kol., 2021). </w:t>
      </w:r>
      <w:r w:rsidRPr="00413562">
        <w:rPr>
          <w:rFonts w:eastAsia="Times New Roman" w:cstheme="minorHAnsi"/>
          <w:bCs/>
          <w:lang w:val="cs-CZ" w:eastAsia="cs-CZ"/>
        </w:rPr>
        <w:t xml:space="preserve">Tato o cca 30% nakažlivější </w:t>
      </w:r>
      <w:r w:rsidR="000F1BA8" w:rsidRPr="00413562">
        <w:rPr>
          <w:rFonts w:eastAsia="Times New Roman" w:cstheme="minorHAnsi"/>
          <w:bCs/>
          <w:lang w:val="cs-CZ" w:eastAsia="cs-CZ"/>
        </w:rPr>
        <w:t xml:space="preserve">forma </w:t>
      </w:r>
      <w:r w:rsidR="004028DF" w:rsidRPr="00413562">
        <w:rPr>
          <w:rFonts w:eastAsia="Times New Roman" w:cstheme="minorHAnsi"/>
          <w:bCs/>
          <w:lang w:val="cs-CZ" w:eastAsia="cs-CZ"/>
        </w:rPr>
        <w:t>rychle vytěs</w:t>
      </w:r>
      <w:r w:rsidRPr="00413562">
        <w:rPr>
          <w:rFonts w:eastAsia="Times New Roman" w:cstheme="minorHAnsi"/>
          <w:bCs/>
          <w:lang w:val="cs-CZ" w:eastAsia="cs-CZ"/>
        </w:rPr>
        <w:t xml:space="preserve">nila </w:t>
      </w:r>
      <w:r w:rsidR="004028DF" w:rsidRPr="00413562">
        <w:rPr>
          <w:rFonts w:eastAsia="Times New Roman" w:cstheme="minorHAnsi"/>
          <w:bCs/>
          <w:lang w:val="cs-CZ" w:eastAsia="cs-CZ"/>
        </w:rPr>
        <w:t>původní virus</w:t>
      </w:r>
      <w:r w:rsidRPr="00413562">
        <w:rPr>
          <w:rFonts w:eastAsia="Times New Roman" w:cstheme="minorHAnsi"/>
          <w:bCs/>
          <w:lang w:val="cs-CZ" w:eastAsia="cs-CZ"/>
        </w:rPr>
        <w:t xml:space="preserve">, k čemuž jí napomohla </w:t>
      </w:r>
      <w:r w:rsidR="004028DF" w:rsidRPr="00413562">
        <w:rPr>
          <w:rFonts w:eastAsia="Times New Roman" w:cstheme="minorHAnsi"/>
          <w:bCs/>
          <w:lang w:val="cs-CZ" w:eastAsia="cs-CZ"/>
        </w:rPr>
        <w:t>také částečná rezistence k imunitní ochraně protilátkami (</w:t>
      </w:r>
      <w:proofErr w:type="spellStart"/>
      <w:r w:rsidR="004028DF" w:rsidRPr="00413562">
        <w:rPr>
          <w:rFonts w:eastAsia="Times New Roman" w:cstheme="minorHAnsi"/>
          <w:bCs/>
          <w:lang w:val="cs-CZ" w:eastAsia="cs-CZ"/>
        </w:rPr>
        <w:t>Volz</w:t>
      </w:r>
      <w:proofErr w:type="spellEnd"/>
      <w:r w:rsidR="004028DF" w:rsidRPr="00413562">
        <w:rPr>
          <w:rFonts w:eastAsia="Times New Roman" w:cstheme="minorHAnsi"/>
          <w:bCs/>
          <w:lang w:val="cs-CZ" w:eastAsia="cs-CZ"/>
        </w:rPr>
        <w:t xml:space="preserve"> a kol., 2021;</w:t>
      </w:r>
      <w:r w:rsidR="004028DF" w:rsidRPr="00413562">
        <w:rPr>
          <w:rStyle w:val="markedcontent"/>
          <w:rFonts w:cstheme="minorHAnsi"/>
          <w:lang w:val="cs-CZ"/>
        </w:rPr>
        <w:t xml:space="preserve"> </w:t>
      </w:r>
      <w:proofErr w:type="spellStart"/>
      <w:r w:rsidR="004028DF" w:rsidRPr="00413562">
        <w:rPr>
          <w:rStyle w:val="markedcontent"/>
          <w:rFonts w:cstheme="minorHAnsi"/>
          <w:lang w:val="cs-CZ"/>
        </w:rPr>
        <w:t>Wang</w:t>
      </w:r>
      <w:proofErr w:type="spellEnd"/>
      <w:r w:rsidR="004028DF" w:rsidRPr="00413562">
        <w:rPr>
          <w:rStyle w:val="markedcontent"/>
          <w:rFonts w:cstheme="minorHAnsi"/>
          <w:lang w:val="cs-CZ"/>
        </w:rPr>
        <w:t xml:space="preserve"> a kol., 2021</w:t>
      </w:r>
      <w:r w:rsidR="004028DF" w:rsidRPr="00413562">
        <w:rPr>
          <w:rFonts w:eastAsia="Times New Roman" w:cstheme="minorHAnsi"/>
          <w:bCs/>
          <w:lang w:val="cs-CZ" w:eastAsia="cs-CZ"/>
        </w:rPr>
        <w:t xml:space="preserve">). </w:t>
      </w:r>
      <w:r w:rsidRPr="00413562">
        <w:rPr>
          <w:rFonts w:eastAsia="Times New Roman" w:cstheme="minorHAnsi"/>
          <w:bCs/>
          <w:lang w:val="cs-CZ" w:eastAsia="cs-CZ"/>
        </w:rPr>
        <w:t>Š</w:t>
      </w:r>
      <w:r w:rsidR="004028DF" w:rsidRPr="00413562">
        <w:rPr>
          <w:rFonts w:eastAsia="Times New Roman" w:cstheme="minorHAnsi"/>
          <w:bCs/>
          <w:lang w:val="cs-CZ" w:eastAsia="cs-CZ"/>
        </w:rPr>
        <w:t>íření varianty</w:t>
      </w:r>
      <w:r w:rsidR="000F1BA8" w:rsidRPr="00413562">
        <w:rPr>
          <w:rFonts w:eastAsia="Times New Roman" w:cstheme="minorHAnsi"/>
          <w:bCs/>
          <w:lang w:val="cs-CZ" w:eastAsia="cs-CZ"/>
        </w:rPr>
        <w:t xml:space="preserve"> Alfa bylo spojeno </w:t>
      </w:r>
      <w:r w:rsidR="004028DF" w:rsidRPr="00413562">
        <w:rPr>
          <w:rFonts w:eastAsia="Times New Roman" w:cstheme="minorHAnsi"/>
          <w:bCs/>
          <w:lang w:val="cs-CZ" w:eastAsia="cs-CZ"/>
        </w:rPr>
        <w:t xml:space="preserve">s vyšším rizikem těžkého </w:t>
      </w:r>
      <w:r w:rsidR="000F1BA8" w:rsidRPr="00413562">
        <w:rPr>
          <w:rFonts w:eastAsia="Times New Roman" w:cstheme="minorHAnsi"/>
          <w:bCs/>
          <w:lang w:val="cs-CZ" w:eastAsia="cs-CZ"/>
        </w:rPr>
        <w:t>onemocnění</w:t>
      </w:r>
      <w:r w:rsidR="004028DF" w:rsidRPr="00413562">
        <w:rPr>
          <w:rFonts w:eastAsia="Times New Roman" w:cstheme="minorHAnsi"/>
          <w:bCs/>
          <w:lang w:val="cs-CZ" w:eastAsia="cs-CZ"/>
        </w:rPr>
        <w:t xml:space="preserve"> a úmrtí </w:t>
      </w:r>
      <w:r w:rsidR="004028DF" w:rsidRPr="00413562">
        <w:rPr>
          <w:rStyle w:val="markedcontent"/>
          <w:rFonts w:cstheme="minorHAnsi"/>
          <w:lang w:val="cs-CZ"/>
        </w:rPr>
        <w:t>(</w:t>
      </w:r>
      <w:proofErr w:type="spellStart"/>
      <w:r w:rsidR="004028DF" w:rsidRPr="00413562">
        <w:rPr>
          <w:rStyle w:val="markedcontent"/>
          <w:rFonts w:cstheme="minorHAnsi"/>
          <w:lang w:val="cs-CZ"/>
        </w:rPr>
        <w:t>Horby</w:t>
      </w:r>
      <w:proofErr w:type="spellEnd"/>
      <w:r w:rsidR="004028DF" w:rsidRPr="00413562">
        <w:rPr>
          <w:rStyle w:val="markedcontent"/>
          <w:rFonts w:cstheme="minorHAnsi"/>
          <w:lang w:val="cs-CZ"/>
        </w:rPr>
        <w:t xml:space="preserve"> a kol., 2021).</w:t>
      </w:r>
    </w:p>
    <w:p w14:paraId="614A21CB" w14:textId="74EC8323" w:rsidR="00707849" w:rsidRPr="00413562" w:rsidRDefault="004028DF" w:rsidP="000F1BA8">
      <w:pPr>
        <w:pStyle w:val="Odstavecseseznamem"/>
        <w:numPr>
          <w:ilvl w:val="0"/>
          <w:numId w:val="31"/>
        </w:numPr>
        <w:spacing w:line="276" w:lineRule="auto"/>
        <w:ind w:left="284" w:hanging="284"/>
        <w:jc w:val="left"/>
        <w:rPr>
          <w:rFonts w:cstheme="minorHAnsi"/>
          <w:lang w:val="cs-CZ"/>
        </w:rPr>
      </w:pPr>
      <w:r w:rsidRPr="00413562">
        <w:rPr>
          <w:rFonts w:eastAsia="Times New Roman" w:cstheme="minorHAnsi"/>
          <w:bCs/>
          <w:lang w:val="cs-CZ" w:eastAsia="cs-CZ"/>
        </w:rPr>
        <w:t xml:space="preserve">Do druhé poloviny roku 2021 vstupovala většina vyspělých států s významně proočkovanou dospělou populací. </w:t>
      </w:r>
      <w:r w:rsidR="000F1BA8" w:rsidRPr="00413562">
        <w:rPr>
          <w:rFonts w:eastAsia="Times New Roman" w:cstheme="minorHAnsi"/>
          <w:bCs/>
          <w:lang w:val="cs-CZ" w:eastAsia="cs-CZ"/>
        </w:rPr>
        <w:t>P</w:t>
      </w:r>
      <w:r w:rsidRPr="00413562">
        <w:rPr>
          <w:rFonts w:eastAsia="Times New Roman" w:cstheme="minorHAnsi"/>
          <w:bCs/>
          <w:lang w:val="cs-CZ" w:eastAsia="cs-CZ"/>
        </w:rPr>
        <w:t xml:space="preserve">řesto byla celá Evropa svědkem dalšího </w:t>
      </w:r>
      <w:r w:rsidR="000F1BA8" w:rsidRPr="00413562">
        <w:rPr>
          <w:rFonts w:eastAsia="Times New Roman" w:cstheme="minorHAnsi"/>
          <w:bCs/>
          <w:lang w:val="cs-CZ" w:eastAsia="cs-CZ"/>
        </w:rPr>
        <w:t>vze</w:t>
      </w:r>
      <w:r w:rsidR="00ED6BEB" w:rsidRPr="00413562">
        <w:rPr>
          <w:rFonts w:eastAsia="Times New Roman" w:cstheme="minorHAnsi"/>
          <w:bCs/>
          <w:lang w:val="cs-CZ" w:eastAsia="cs-CZ"/>
        </w:rPr>
        <w:t xml:space="preserve">dmutí </w:t>
      </w:r>
      <w:r w:rsidRPr="00413562">
        <w:rPr>
          <w:rFonts w:eastAsia="Times New Roman" w:cstheme="minorHAnsi"/>
          <w:bCs/>
          <w:lang w:val="cs-CZ" w:eastAsia="cs-CZ"/>
        </w:rPr>
        <w:t>šíření nákazy, které</w:t>
      </w:r>
      <w:r w:rsidR="00ED6BEB" w:rsidRPr="00413562">
        <w:rPr>
          <w:rFonts w:eastAsia="Times New Roman" w:cstheme="minorHAnsi"/>
          <w:bCs/>
          <w:lang w:val="cs-CZ" w:eastAsia="cs-CZ"/>
        </w:rPr>
        <w:t xml:space="preserve"> způsobila</w:t>
      </w:r>
      <w:r w:rsidRPr="00413562">
        <w:rPr>
          <w:rFonts w:eastAsia="Times New Roman" w:cstheme="minorHAnsi"/>
          <w:bCs/>
          <w:lang w:val="cs-CZ" w:eastAsia="cs-CZ"/>
        </w:rPr>
        <w:t xml:space="preserve"> tzv. indická </w:t>
      </w:r>
      <w:r w:rsidR="00ED6BEB" w:rsidRPr="00413562">
        <w:rPr>
          <w:rFonts w:eastAsia="Times New Roman" w:cstheme="minorHAnsi"/>
          <w:bCs/>
          <w:lang w:val="cs-CZ" w:eastAsia="cs-CZ"/>
        </w:rPr>
        <w:t xml:space="preserve">varianta </w:t>
      </w:r>
      <w:r w:rsidRPr="00413562">
        <w:rPr>
          <w:rFonts w:eastAsia="Times New Roman" w:cstheme="minorHAnsi"/>
          <w:bCs/>
          <w:lang w:val="cs-CZ" w:eastAsia="cs-CZ"/>
        </w:rPr>
        <w:t xml:space="preserve">(B.1.617.2, „Delta“, zachycena poprvé v Indii v listopadu 2020). </w:t>
      </w:r>
      <w:r w:rsidR="00ED6BEB" w:rsidRPr="00413562">
        <w:rPr>
          <w:rFonts w:eastAsia="Times New Roman" w:cstheme="minorHAnsi"/>
          <w:bCs/>
          <w:lang w:val="cs-CZ" w:eastAsia="cs-CZ"/>
        </w:rPr>
        <w:t>N</w:t>
      </w:r>
      <w:r w:rsidRPr="00413562">
        <w:rPr>
          <w:rFonts w:eastAsia="Times New Roman" w:cstheme="minorHAnsi"/>
          <w:bCs/>
          <w:lang w:val="cs-CZ" w:eastAsia="cs-CZ"/>
        </w:rPr>
        <w:t xml:space="preserve">ěkteré zdroje uvádějí </w:t>
      </w:r>
      <w:r w:rsidR="00ED6BEB" w:rsidRPr="00413562">
        <w:rPr>
          <w:rFonts w:eastAsia="Times New Roman" w:cstheme="minorHAnsi"/>
          <w:bCs/>
          <w:lang w:val="cs-CZ" w:eastAsia="cs-CZ"/>
        </w:rPr>
        <w:t xml:space="preserve">pro variantu Delta </w:t>
      </w:r>
      <w:r w:rsidRPr="00413562">
        <w:rPr>
          <w:rFonts w:eastAsia="Times New Roman" w:cstheme="minorHAnsi"/>
          <w:bCs/>
          <w:lang w:val="cs-CZ" w:eastAsia="cs-CZ"/>
        </w:rPr>
        <w:t>až dvojnásobn</w:t>
      </w:r>
      <w:r w:rsidR="00ED6BEB" w:rsidRPr="00413562">
        <w:rPr>
          <w:rFonts w:eastAsia="Times New Roman" w:cstheme="minorHAnsi"/>
          <w:bCs/>
          <w:lang w:val="cs-CZ" w:eastAsia="cs-CZ"/>
        </w:rPr>
        <w:t xml:space="preserve">ou nakažlivost </w:t>
      </w:r>
      <w:r w:rsidRPr="00413562">
        <w:rPr>
          <w:rFonts w:eastAsia="Times New Roman" w:cstheme="minorHAnsi"/>
          <w:bCs/>
          <w:lang w:val="cs-CZ" w:eastAsia="cs-CZ"/>
        </w:rPr>
        <w:t>proti původní variantě z roku 2020 (Campbell a kol., 2021). K faktorům určujícím šíření nákazy přibyla významná schopnost prolamovat imunitu navozenou očkováním (</w:t>
      </w:r>
      <w:proofErr w:type="spellStart"/>
      <w:r w:rsidRPr="00413562">
        <w:rPr>
          <w:rStyle w:val="markedcontent"/>
          <w:rFonts w:cstheme="minorHAnsi"/>
          <w:lang w:val="cs-CZ"/>
        </w:rPr>
        <w:t>Wang</w:t>
      </w:r>
      <w:proofErr w:type="spellEnd"/>
      <w:r w:rsidRPr="00413562">
        <w:rPr>
          <w:rStyle w:val="markedcontent"/>
          <w:rFonts w:cstheme="minorHAnsi"/>
          <w:lang w:val="cs-CZ"/>
        </w:rPr>
        <w:t xml:space="preserve"> a kol., 2021</w:t>
      </w:r>
      <w:r w:rsidR="00ED6BEB" w:rsidRPr="00413562">
        <w:rPr>
          <w:rStyle w:val="markedcontent"/>
          <w:rFonts w:cstheme="minorHAnsi"/>
          <w:lang w:val="cs-CZ"/>
        </w:rPr>
        <w:t xml:space="preserve">; </w:t>
      </w:r>
      <w:proofErr w:type="spellStart"/>
      <w:r w:rsidR="00ED6BEB" w:rsidRPr="00413562">
        <w:rPr>
          <w:rStyle w:val="markedcontent"/>
          <w:rFonts w:cstheme="minorHAnsi"/>
          <w:lang w:val="cs-CZ"/>
        </w:rPr>
        <w:t>Zhenkui</w:t>
      </w:r>
      <w:proofErr w:type="spellEnd"/>
      <w:r w:rsidR="00ED6BEB" w:rsidRPr="00413562">
        <w:rPr>
          <w:rStyle w:val="markedcontent"/>
          <w:rFonts w:cstheme="minorHAnsi"/>
          <w:lang w:val="cs-CZ"/>
        </w:rPr>
        <w:t xml:space="preserve"> a kol., 2022</w:t>
      </w:r>
      <w:r w:rsidRPr="00413562">
        <w:rPr>
          <w:rStyle w:val="markedcontent"/>
          <w:rFonts w:cstheme="minorHAnsi"/>
          <w:lang w:val="cs-CZ"/>
        </w:rPr>
        <w:t xml:space="preserve">). Jelikož ochranný efekt očkování proti nákaze klesal s časem od vakcinace, začala většina států očkovat posilující třetí dávkou. Vakcinace nadále držela </w:t>
      </w:r>
      <w:r w:rsidR="00ED6BEB" w:rsidRPr="00413562">
        <w:rPr>
          <w:rStyle w:val="markedcontent"/>
          <w:rFonts w:cstheme="minorHAnsi"/>
          <w:lang w:val="cs-CZ"/>
        </w:rPr>
        <w:t xml:space="preserve">vysoký </w:t>
      </w:r>
      <w:r w:rsidRPr="00413562">
        <w:rPr>
          <w:rStyle w:val="markedcontent"/>
          <w:rFonts w:cstheme="minorHAnsi"/>
          <w:lang w:val="cs-CZ"/>
        </w:rPr>
        <w:t xml:space="preserve">ochranný efekt proti těžkému průběhu nákazy, a to i u zranitelných skupin. </w:t>
      </w:r>
    </w:p>
    <w:p w14:paraId="750F3B19" w14:textId="5501FAD9" w:rsidR="00C7697A" w:rsidRPr="00413562" w:rsidRDefault="00707849" w:rsidP="00ED6BEB">
      <w:pPr>
        <w:pStyle w:val="Odstavecseseznamem"/>
        <w:numPr>
          <w:ilvl w:val="0"/>
          <w:numId w:val="31"/>
        </w:numPr>
        <w:spacing w:line="276" w:lineRule="auto"/>
        <w:ind w:left="284" w:hanging="284"/>
        <w:jc w:val="left"/>
        <w:rPr>
          <w:rFonts w:cstheme="minorHAnsi"/>
          <w:lang w:val="cs-CZ"/>
        </w:rPr>
      </w:pPr>
      <w:r w:rsidRPr="00413562">
        <w:rPr>
          <w:rFonts w:cstheme="minorHAnsi"/>
          <w:lang w:val="cs-CZ"/>
        </w:rPr>
        <w:t>P</w:t>
      </w:r>
      <w:r w:rsidR="004028DF" w:rsidRPr="00413562">
        <w:rPr>
          <w:rFonts w:cstheme="minorHAnsi"/>
          <w:lang w:val="cs-CZ"/>
        </w:rPr>
        <w:t>očátek roku 2022 otevřel zcela novou fázi epidemie, která probíhá ve znamení dominance nové varianty Omikron (B.1.1.529; poprvé hlášena z Jižní Afriky v listopadu 2021</w:t>
      </w:r>
      <w:r w:rsidR="004028DF" w:rsidRPr="00413562">
        <w:rPr>
          <w:rFonts w:eastAsia="Times New Roman" w:cstheme="minorHAnsi"/>
          <w:lang w:val="cs-CZ" w:eastAsia="cs-CZ"/>
        </w:rPr>
        <w:t xml:space="preserve">). </w:t>
      </w:r>
      <w:r w:rsidR="00ED6BEB" w:rsidRPr="00413562">
        <w:rPr>
          <w:rFonts w:cstheme="minorHAnsi"/>
          <w:lang w:val="cs-CZ"/>
        </w:rPr>
        <w:t xml:space="preserve">Omikron </w:t>
      </w:r>
      <w:r w:rsidR="004028DF" w:rsidRPr="00413562">
        <w:rPr>
          <w:rFonts w:cstheme="minorHAnsi"/>
          <w:lang w:val="cs-CZ"/>
        </w:rPr>
        <w:t>je geneticky značně odlišn</w:t>
      </w:r>
      <w:r w:rsidR="00ED6BEB" w:rsidRPr="00413562">
        <w:rPr>
          <w:rFonts w:cstheme="minorHAnsi"/>
          <w:lang w:val="cs-CZ"/>
        </w:rPr>
        <w:t>ý</w:t>
      </w:r>
      <w:r w:rsidR="004028DF" w:rsidRPr="00413562">
        <w:rPr>
          <w:rFonts w:cstheme="minorHAnsi"/>
          <w:lang w:val="cs-CZ"/>
        </w:rPr>
        <w:t xml:space="preserve"> od předchozích variant SARS-CoV-2 a lze j</w:t>
      </w:r>
      <w:r w:rsidR="00ED6BEB" w:rsidRPr="00413562">
        <w:rPr>
          <w:rFonts w:cstheme="minorHAnsi"/>
          <w:lang w:val="cs-CZ"/>
        </w:rPr>
        <w:t>ej</w:t>
      </w:r>
      <w:r w:rsidR="00413562">
        <w:rPr>
          <w:rFonts w:cstheme="minorHAnsi"/>
          <w:lang w:val="cs-CZ"/>
        </w:rPr>
        <w:t xml:space="preserve"> označit </w:t>
      </w:r>
      <w:r w:rsidR="004028DF" w:rsidRPr="00413562">
        <w:rPr>
          <w:rFonts w:cstheme="minorHAnsi"/>
          <w:lang w:val="cs-CZ"/>
        </w:rPr>
        <w:t xml:space="preserve">za „game </w:t>
      </w:r>
      <w:proofErr w:type="spellStart"/>
      <w:r w:rsidR="004028DF" w:rsidRPr="00413562">
        <w:rPr>
          <w:rFonts w:cstheme="minorHAnsi"/>
          <w:lang w:val="cs-CZ"/>
        </w:rPr>
        <w:t>changer</w:t>
      </w:r>
      <w:proofErr w:type="spellEnd"/>
      <w:r w:rsidR="004028DF" w:rsidRPr="00413562">
        <w:rPr>
          <w:rFonts w:cstheme="minorHAnsi"/>
          <w:lang w:val="cs-CZ"/>
        </w:rPr>
        <w:t xml:space="preserve">“, neboť sebou přinesl </w:t>
      </w:r>
      <w:r w:rsidR="00080E88">
        <w:rPr>
          <w:rFonts w:cstheme="minorHAnsi"/>
          <w:lang w:val="cs-CZ"/>
        </w:rPr>
        <w:t xml:space="preserve">podstatně </w:t>
      </w:r>
      <w:r w:rsidR="004028DF" w:rsidRPr="00413562">
        <w:rPr>
          <w:rFonts w:cstheme="minorHAnsi"/>
          <w:lang w:val="cs-CZ"/>
        </w:rPr>
        <w:t>vyšší nakažlivost, ale na druhou stranu významně nižší riziko těžkých průběhů nemoci (</w:t>
      </w:r>
      <w:proofErr w:type="spellStart"/>
      <w:r w:rsidR="004028DF" w:rsidRPr="00413562">
        <w:rPr>
          <w:rFonts w:cstheme="minorHAnsi"/>
          <w:lang w:val="cs-CZ"/>
        </w:rPr>
        <w:t>Ferguson</w:t>
      </w:r>
      <w:proofErr w:type="spellEnd"/>
      <w:r w:rsidR="004028DF" w:rsidRPr="00413562">
        <w:rPr>
          <w:rFonts w:cstheme="minorHAnsi"/>
          <w:lang w:val="cs-CZ"/>
        </w:rPr>
        <w:t xml:space="preserve"> a kol. 2021; </w:t>
      </w:r>
      <w:proofErr w:type="spellStart"/>
      <w:r w:rsidR="004028DF" w:rsidRPr="00413562">
        <w:rPr>
          <w:rFonts w:cstheme="minorHAnsi"/>
          <w:lang w:val="cs-CZ"/>
        </w:rPr>
        <w:t>Wolter</w:t>
      </w:r>
      <w:proofErr w:type="spellEnd"/>
      <w:r w:rsidR="004028DF" w:rsidRPr="00413562">
        <w:rPr>
          <w:rFonts w:cstheme="minorHAnsi"/>
          <w:lang w:val="cs-CZ"/>
        </w:rPr>
        <w:t xml:space="preserve"> a kol., 202). Pro Omikron je typická vysoká míra průlomových infekcí po vakcinaci a rostoucí četnost reinfekcí</w:t>
      </w:r>
      <w:r w:rsidRPr="00413562">
        <w:rPr>
          <w:rFonts w:cstheme="minorHAnsi"/>
          <w:lang w:val="cs-CZ"/>
        </w:rPr>
        <w:t>.</w:t>
      </w:r>
      <w:r w:rsidR="004028DF" w:rsidRPr="00413562">
        <w:rPr>
          <w:rFonts w:cstheme="minorHAnsi"/>
          <w:lang w:val="cs-CZ"/>
        </w:rPr>
        <w:t xml:space="preserve"> </w:t>
      </w:r>
    </w:p>
    <w:p w14:paraId="55A159FA" w14:textId="77777777" w:rsidR="00D15347" w:rsidRDefault="005E662C" w:rsidP="00ED6BEB">
      <w:pPr>
        <w:spacing w:line="276" w:lineRule="auto"/>
        <w:jc w:val="left"/>
        <w:rPr>
          <w:rStyle w:val="atm-text-decorator"/>
          <w:rFonts w:cstheme="minorHAnsi"/>
          <w:color w:val="000000" w:themeColor="text1"/>
          <w:sz w:val="24"/>
          <w:szCs w:val="24"/>
        </w:rPr>
      </w:pPr>
      <w:r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Vývoj epidemie v absolutních hodnotách některých ukazatelů shrnuje </w:t>
      </w:r>
      <w:r w:rsidRPr="005E662C">
        <w:rPr>
          <w:rStyle w:val="atm-text-decorator"/>
          <w:rFonts w:cstheme="minorHAnsi"/>
          <w:b/>
          <w:bCs/>
          <w:color w:val="000000" w:themeColor="text1"/>
          <w:sz w:val="24"/>
          <w:szCs w:val="24"/>
          <w:u w:val="single"/>
        </w:rPr>
        <w:t>tabulka 1</w:t>
      </w:r>
      <w:r>
        <w:rPr>
          <w:rStyle w:val="atm-text-decorator"/>
          <w:rFonts w:cstheme="minorHAnsi"/>
          <w:color w:val="000000" w:themeColor="text1"/>
          <w:sz w:val="24"/>
          <w:szCs w:val="24"/>
        </w:rPr>
        <w:t>. Souhrn potvrzuje zcela jiné parametry varianty Omikron, za období od ledna</w:t>
      </w:r>
      <w:r w:rsidR="00080E88"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 do června </w:t>
      </w:r>
      <w:r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2022 bylo </w:t>
      </w:r>
      <w:r w:rsidR="00080E88"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potvrzeno </w:t>
      </w:r>
      <w:r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zachyceno </w:t>
      </w:r>
      <w:r w:rsidR="00080E88">
        <w:rPr>
          <w:rStyle w:val="atm-text-decorator"/>
          <w:rFonts w:cstheme="minorHAnsi"/>
          <w:color w:val="000000" w:themeColor="text1"/>
          <w:sz w:val="24"/>
          <w:szCs w:val="24"/>
        </w:rPr>
        <w:t>více než 1 400 tis. nových případů</w:t>
      </w:r>
      <w:r>
        <w:rPr>
          <w:rStyle w:val="atm-text-decorator"/>
          <w:rFonts w:cstheme="minorHAnsi"/>
          <w:color w:val="000000" w:themeColor="text1"/>
          <w:sz w:val="24"/>
          <w:szCs w:val="24"/>
        </w:rPr>
        <w:t>, což na vrcholu této etapy epidemie vedlo k</w:t>
      </w:r>
      <w:r w:rsidR="00080E88"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 dosud </w:t>
      </w:r>
      <w:r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nejvyšším pozorovaným hodnotám prevalence aktivních nákaz. Omikron dosáhnul v české populaci dominance kolem 25.1. 2022 a jeho šíření vrcholilo v první polovině února 2022. </w:t>
      </w:r>
      <w:r w:rsidRPr="005E662C">
        <w:rPr>
          <w:rStyle w:val="atm-text-decorator"/>
          <w:rFonts w:cstheme="minorHAnsi"/>
          <w:b/>
          <w:bCs/>
          <w:color w:val="000000" w:themeColor="text1"/>
          <w:sz w:val="24"/>
          <w:szCs w:val="24"/>
          <w:u w:val="single"/>
        </w:rPr>
        <w:t>Tabulka 2</w:t>
      </w:r>
      <w:r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 </w:t>
      </w:r>
      <w:r w:rsidR="0016567E"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dokládá </w:t>
      </w:r>
      <w:r>
        <w:rPr>
          <w:rStyle w:val="atm-text-decorator"/>
          <w:rFonts w:cstheme="minorHAnsi"/>
          <w:color w:val="000000" w:themeColor="text1"/>
          <w:sz w:val="24"/>
          <w:szCs w:val="24"/>
        </w:rPr>
        <w:t>k datu 5.2. 2022</w:t>
      </w:r>
      <w:r w:rsidR="0016567E"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 vysokou nakažlivost Omikronu</w:t>
      </w:r>
      <w:r>
        <w:rPr>
          <w:rStyle w:val="atm-text-decorator"/>
          <w:rFonts w:cstheme="minorHAnsi"/>
          <w:color w:val="000000" w:themeColor="text1"/>
          <w:sz w:val="24"/>
          <w:szCs w:val="24"/>
        </w:rPr>
        <w:t>, kdy 7denní počet potvrzených případů přesáhnul hodnotu 2 2</w:t>
      </w:r>
      <w:r w:rsidR="00E95E07">
        <w:rPr>
          <w:rStyle w:val="atm-text-decorator"/>
          <w:rFonts w:cstheme="minorHAnsi"/>
          <w:color w:val="000000" w:themeColor="text1"/>
          <w:sz w:val="24"/>
          <w:szCs w:val="24"/>
        </w:rPr>
        <w:t>0</w:t>
      </w:r>
      <w:r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0 / 100 tis. obyvatel. </w:t>
      </w:r>
      <w:r w:rsidR="00E95E07"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Týdenní průměrná relativní pozitivita klinicky indikovaných testů přesahovala </w:t>
      </w:r>
      <w:proofErr w:type="gramStart"/>
      <w:r w:rsidR="00E95E07">
        <w:rPr>
          <w:rStyle w:val="atm-text-decorator"/>
          <w:rFonts w:cstheme="minorHAnsi"/>
          <w:color w:val="000000" w:themeColor="text1"/>
          <w:sz w:val="24"/>
          <w:szCs w:val="24"/>
        </w:rPr>
        <w:t>40%</w:t>
      </w:r>
      <w:proofErr w:type="gramEnd"/>
      <w:r w:rsidR="00E95E07"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, u testů z epidemiologické indikace to bylo 20%. </w:t>
      </w:r>
    </w:p>
    <w:p w14:paraId="78C8DC59" w14:textId="3E9C6C48" w:rsidR="0016567E" w:rsidRDefault="0016567E" w:rsidP="00ED6BEB">
      <w:pPr>
        <w:spacing w:line="276" w:lineRule="auto"/>
        <w:jc w:val="left"/>
        <w:rPr>
          <w:rStyle w:val="atm-text-decorator"/>
          <w:rFonts w:cstheme="minorHAnsi"/>
          <w:color w:val="000000" w:themeColor="text1"/>
          <w:sz w:val="24"/>
          <w:szCs w:val="24"/>
        </w:rPr>
      </w:pPr>
      <w:r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Druhou významnou charakteristikou Omikronu je nižší virulence ve srovnání s předchozími variantami viru, což ale neznamená, že by tato nová forma nezpůsobovala těžké průběhy nemoci. Naopak, počet hospitalizovaných s vážnými komplikacemi rozhodně nebyl od </w:t>
      </w:r>
      <w:r>
        <w:rPr>
          <w:rStyle w:val="atm-text-decorator"/>
          <w:rFonts w:cstheme="minorHAnsi"/>
          <w:color w:val="000000" w:themeColor="text1"/>
          <w:sz w:val="24"/>
          <w:szCs w:val="24"/>
        </w:rPr>
        <w:lastRenderedPageBreak/>
        <w:t xml:space="preserve">počátku roku zanedbatelný, celkem bylo </w:t>
      </w:r>
      <w:r w:rsidR="00E95E07"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za období od května do června 2022 nově </w:t>
      </w:r>
      <w:r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hospitalizováno </w:t>
      </w:r>
      <w:r w:rsidR="00E95E07"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více než 37 tis. </w:t>
      </w:r>
      <w:r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pacientů, z toho </w:t>
      </w:r>
      <w:r w:rsidR="00E95E07"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více než 4 000 </w:t>
      </w:r>
      <w:r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na JIP a </w:t>
      </w:r>
      <w:r w:rsidR="00E95E07"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1 252 </w:t>
      </w:r>
      <w:r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na UPV/ECMO (Tabulka </w:t>
      </w:r>
      <w:r w:rsidR="00E95E07">
        <w:rPr>
          <w:rStyle w:val="atm-text-decorator"/>
          <w:rFonts w:cstheme="minorHAnsi"/>
          <w:color w:val="000000" w:themeColor="text1"/>
          <w:sz w:val="24"/>
          <w:szCs w:val="24"/>
        </w:rPr>
        <w:t>1-2</w:t>
      </w:r>
      <w:r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). </w:t>
      </w:r>
      <w:r w:rsidR="00E95E07"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Vývoj počtu hospitalizovaných s komplikacemi COVID-19 ukazují </w:t>
      </w:r>
      <w:r w:rsidR="00E95E07" w:rsidRPr="00E95E07">
        <w:rPr>
          <w:rStyle w:val="atm-text-decorator"/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grafy </w:t>
      </w:r>
      <w:r w:rsidR="00CC3B42">
        <w:rPr>
          <w:rStyle w:val="atm-text-decorator"/>
          <w:rFonts w:cstheme="minorHAnsi"/>
          <w:b/>
          <w:bCs/>
          <w:color w:val="000000" w:themeColor="text1"/>
          <w:sz w:val="24"/>
          <w:szCs w:val="24"/>
          <w:u w:val="single"/>
        </w:rPr>
        <w:t>3</w:t>
      </w:r>
      <w:r w:rsidR="00E95E07" w:rsidRPr="00E95E07">
        <w:rPr>
          <w:rStyle w:val="atm-text-decorator"/>
          <w:rFonts w:cstheme="minorHAnsi"/>
          <w:b/>
          <w:bCs/>
          <w:color w:val="000000" w:themeColor="text1"/>
          <w:sz w:val="24"/>
          <w:szCs w:val="24"/>
          <w:u w:val="single"/>
        </w:rPr>
        <w:t>a-b</w:t>
      </w:r>
      <w:r w:rsidR="00E95E07"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. </w:t>
      </w:r>
      <w:r w:rsidR="00D15347"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Celkový počet hospitalizovaných v jednom dni přesáhnul v únoru 2022 hranici 4 000, z toho více s těžkým průběhem než 400 na JIP.  Tyto hodnoty je důležité zdůraznit s ohledem na další očekávatelný vývoj epidemie. Pokud v podzimních měsících 2022 dojde k opětovné eskalaci šíření varianty Omikron, nelze i při její nižší virulenci podcenit potenciální zdravotní dopad. Zásadním faktorem snižujícím počty těžkých průběhů nákazy bude očkování, což dokládáme daty popsanými v následující podkapitole. </w:t>
      </w:r>
    </w:p>
    <w:p w14:paraId="4D45C8F7" w14:textId="77777777" w:rsidR="00D15347" w:rsidRDefault="00D15347" w:rsidP="00ED6BEB">
      <w:pPr>
        <w:spacing w:line="276" w:lineRule="auto"/>
        <w:jc w:val="left"/>
        <w:rPr>
          <w:rStyle w:val="atm-text-decorator"/>
          <w:rFonts w:cstheme="minorHAnsi"/>
          <w:b/>
          <w:bCs/>
          <w:color w:val="000000" w:themeColor="text1"/>
          <w:sz w:val="24"/>
          <w:szCs w:val="24"/>
        </w:rPr>
      </w:pPr>
    </w:p>
    <w:p w14:paraId="705D1F15" w14:textId="75EE2D1E" w:rsidR="0016567E" w:rsidRPr="0016567E" w:rsidRDefault="0016567E" w:rsidP="00ED6BEB">
      <w:pPr>
        <w:spacing w:line="276" w:lineRule="auto"/>
        <w:jc w:val="left"/>
        <w:rPr>
          <w:rStyle w:val="atm-text-decorator"/>
          <w:rFonts w:cstheme="minorHAnsi"/>
          <w:b/>
          <w:bCs/>
          <w:color w:val="000000" w:themeColor="text1"/>
          <w:sz w:val="24"/>
          <w:szCs w:val="24"/>
        </w:rPr>
      </w:pPr>
      <w:r w:rsidRPr="0016567E">
        <w:rPr>
          <w:rStyle w:val="atm-text-decorator"/>
          <w:rFonts w:cstheme="minorHAnsi"/>
          <w:b/>
          <w:bCs/>
          <w:color w:val="000000" w:themeColor="text1"/>
          <w:sz w:val="24"/>
          <w:szCs w:val="24"/>
        </w:rPr>
        <w:t xml:space="preserve">Ochranný efekt očkování je významný i proti nové variantě Omikron </w:t>
      </w:r>
    </w:p>
    <w:p w14:paraId="09F331D9" w14:textId="479FC10E" w:rsidR="00ED6BEB" w:rsidRDefault="00E91149" w:rsidP="00ED6BEB">
      <w:pPr>
        <w:spacing w:line="276" w:lineRule="auto"/>
        <w:jc w:val="left"/>
        <w:rPr>
          <w:rFonts w:cstheme="minorHAnsi"/>
          <w:sz w:val="24"/>
          <w:szCs w:val="24"/>
        </w:rPr>
      </w:pPr>
      <w:r>
        <w:rPr>
          <w:rStyle w:val="atm-text-decorator"/>
          <w:rFonts w:cstheme="minorHAnsi"/>
          <w:color w:val="000000" w:themeColor="text1"/>
          <w:sz w:val="24"/>
          <w:szCs w:val="24"/>
        </w:rPr>
        <w:t>Z dat dokumentovaných v </w:t>
      </w:r>
      <w:r w:rsidRPr="00E91149">
        <w:rPr>
          <w:rStyle w:val="atm-text-decorator"/>
          <w:rFonts w:cstheme="minorHAnsi"/>
          <w:b/>
          <w:bCs/>
          <w:color w:val="000000" w:themeColor="text1"/>
          <w:sz w:val="24"/>
          <w:szCs w:val="24"/>
          <w:u w:val="single"/>
        </w:rPr>
        <w:t xml:space="preserve">tabulkách 3 a 4 </w:t>
      </w:r>
      <w:r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jednoznačně </w:t>
      </w:r>
      <w:r w:rsidR="00ED6BEB" w:rsidRPr="00CE6183">
        <w:rPr>
          <w:rStyle w:val="markedcontent"/>
          <w:rFonts w:cstheme="minorHAnsi"/>
          <w:sz w:val="24"/>
          <w:szCs w:val="24"/>
        </w:rPr>
        <w:t>vyplývá, že očkování proti CVOID-19 je stále vysoce funkční ochranou proti závažným zdravotním dopadům epidemie</w:t>
      </w:r>
      <w:r>
        <w:rPr>
          <w:rStyle w:val="markedcontent"/>
          <w:rFonts w:cstheme="minorHAnsi"/>
          <w:sz w:val="24"/>
          <w:szCs w:val="24"/>
        </w:rPr>
        <w:t>, a to i v období dominance varianty Omikron</w:t>
      </w:r>
      <w:r w:rsidR="00ED6BEB" w:rsidRPr="00CE6183">
        <w:rPr>
          <w:rStyle w:val="markedcontent"/>
          <w:rFonts w:cstheme="minorHAnsi"/>
          <w:sz w:val="24"/>
          <w:szCs w:val="24"/>
        </w:rPr>
        <w:t xml:space="preserve">. </w:t>
      </w:r>
      <w:r w:rsidR="004038BD" w:rsidRPr="00CE6183">
        <w:rPr>
          <w:rStyle w:val="markedcontent"/>
          <w:rFonts w:cstheme="minorHAnsi"/>
          <w:sz w:val="24"/>
          <w:szCs w:val="24"/>
        </w:rPr>
        <w:t xml:space="preserve">Ačkoli </w:t>
      </w:r>
      <w:r w:rsidR="00CE6183" w:rsidRPr="00CE6183">
        <w:rPr>
          <w:rStyle w:val="markedcontent"/>
          <w:rFonts w:cstheme="minorHAnsi"/>
          <w:sz w:val="24"/>
          <w:szCs w:val="24"/>
        </w:rPr>
        <w:t xml:space="preserve">ochranný efekt </w:t>
      </w:r>
      <w:r w:rsidR="004038BD" w:rsidRPr="00CE6183">
        <w:rPr>
          <w:rStyle w:val="markedcontent"/>
          <w:rFonts w:cstheme="minorHAnsi"/>
          <w:sz w:val="24"/>
          <w:szCs w:val="24"/>
        </w:rPr>
        <w:t xml:space="preserve">proti nákaze samotné v čase relativně rychle vyprchává (rychlý pokles nastává po </w:t>
      </w:r>
      <w:proofErr w:type="gramStart"/>
      <w:r w:rsidR="004038BD" w:rsidRPr="00CE6183">
        <w:rPr>
          <w:rStyle w:val="markedcontent"/>
          <w:rFonts w:cstheme="minorHAnsi"/>
          <w:sz w:val="24"/>
          <w:szCs w:val="24"/>
        </w:rPr>
        <w:t>3 – 4</w:t>
      </w:r>
      <w:proofErr w:type="gramEnd"/>
      <w:r w:rsidR="004038BD" w:rsidRPr="00CE6183">
        <w:rPr>
          <w:rStyle w:val="markedcontent"/>
          <w:rFonts w:cstheme="minorHAnsi"/>
          <w:sz w:val="24"/>
          <w:szCs w:val="24"/>
        </w:rPr>
        <w:t xml:space="preserve"> měsících), ochrana proti těžkému průběhu nákazy je výrazně trvalejší. </w:t>
      </w:r>
      <w:r w:rsidR="00ED6BEB" w:rsidRPr="00CE6183">
        <w:rPr>
          <w:rStyle w:val="markedcontent"/>
          <w:rFonts w:cstheme="minorHAnsi"/>
          <w:sz w:val="24"/>
          <w:szCs w:val="24"/>
        </w:rPr>
        <w:t>Očkování hrálo společně s včasnou diagnostikou a ochrannou léčbou monoklonálními protilátkami zcela klíčovou roli tlumící zdravotní dopad epidemie</w:t>
      </w:r>
      <w:r w:rsidR="00ED6BEB" w:rsidRPr="00413562">
        <w:rPr>
          <w:rStyle w:val="markedcontent"/>
          <w:rFonts w:cstheme="minorHAnsi"/>
        </w:rPr>
        <w:t xml:space="preserve"> </w:t>
      </w:r>
      <w:r w:rsidR="00ED6BEB" w:rsidRPr="00CE6183">
        <w:rPr>
          <w:rStyle w:val="markedcontent"/>
          <w:rFonts w:cstheme="minorHAnsi"/>
          <w:sz w:val="24"/>
          <w:szCs w:val="24"/>
        </w:rPr>
        <w:t xml:space="preserve">na </w:t>
      </w:r>
      <w:r>
        <w:rPr>
          <w:rStyle w:val="markedcontent"/>
          <w:rFonts w:cstheme="minorHAnsi"/>
          <w:sz w:val="24"/>
          <w:szCs w:val="24"/>
        </w:rPr>
        <w:t xml:space="preserve">jaře i na </w:t>
      </w:r>
      <w:r w:rsidR="00ED6BEB" w:rsidRPr="00CE6183">
        <w:rPr>
          <w:rStyle w:val="markedcontent"/>
          <w:rFonts w:cstheme="minorHAnsi"/>
          <w:sz w:val="24"/>
          <w:szCs w:val="24"/>
        </w:rPr>
        <w:t>podzim 2021</w:t>
      </w:r>
      <w:r w:rsidR="004038BD" w:rsidRPr="00CE6183">
        <w:rPr>
          <w:rStyle w:val="markedcontent"/>
          <w:rFonts w:cstheme="minorHAnsi"/>
          <w:sz w:val="24"/>
          <w:szCs w:val="24"/>
        </w:rPr>
        <w:t xml:space="preserve"> </w:t>
      </w:r>
      <w:r>
        <w:rPr>
          <w:rStyle w:val="markedcontent"/>
          <w:rFonts w:cstheme="minorHAnsi"/>
          <w:sz w:val="24"/>
          <w:szCs w:val="24"/>
        </w:rPr>
        <w:t>(</w:t>
      </w:r>
      <w:r w:rsidRPr="00E91149">
        <w:rPr>
          <w:rStyle w:val="markedcontent"/>
          <w:rFonts w:cstheme="minorHAnsi"/>
          <w:b/>
          <w:bCs/>
          <w:sz w:val="24"/>
          <w:szCs w:val="24"/>
          <w:u w:val="single"/>
        </w:rPr>
        <w:t>Graf 4</w:t>
      </w:r>
      <w:r>
        <w:rPr>
          <w:rStyle w:val="markedcontent"/>
          <w:rFonts w:cstheme="minorHAnsi"/>
          <w:sz w:val="24"/>
          <w:szCs w:val="24"/>
        </w:rPr>
        <w:t xml:space="preserve">) </w:t>
      </w:r>
      <w:r w:rsidR="004038BD" w:rsidRPr="00CE6183">
        <w:rPr>
          <w:rFonts w:cstheme="minorHAnsi"/>
          <w:sz w:val="24"/>
          <w:szCs w:val="24"/>
        </w:rPr>
        <w:t>a tento vliv vytrval i po celou dobu šíření varianty Omikron v roce 2022.</w:t>
      </w:r>
      <w:r w:rsidR="00ED6BEB" w:rsidRPr="00CE6183">
        <w:rPr>
          <w:rStyle w:val="markedcontent"/>
          <w:rFonts w:cstheme="minorHAnsi"/>
          <w:sz w:val="24"/>
          <w:szCs w:val="24"/>
        </w:rPr>
        <w:t xml:space="preserve"> </w:t>
      </w:r>
      <w:r w:rsidR="004038BD" w:rsidRPr="00CE6183">
        <w:rPr>
          <w:rFonts w:cstheme="minorHAnsi"/>
          <w:sz w:val="24"/>
          <w:szCs w:val="24"/>
        </w:rPr>
        <w:t>Ochranný efekt očkování dokládá velké množství kvalitních vědeckých publikací a národních zpráv většiny vyspělých zemí. Rovněž česká data potvrzují zásadní ochran</w:t>
      </w:r>
      <w:r w:rsidR="00CE6183">
        <w:rPr>
          <w:rFonts w:cstheme="minorHAnsi"/>
          <w:sz w:val="24"/>
          <w:szCs w:val="24"/>
        </w:rPr>
        <w:t>ný efekt</w:t>
      </w:r>
      <w:r w:rsidR="004038BD" w:rsidRPr="00CE6183">
        <w:rPr>
          <w:rFonts w:cstheme="minorHAnsi"/>
          <w:sz w:val="24"/>
          <w:szCs w:val="24"/>
        </w:rPr>
        <w:t>, a to i v potenciálně zranitelných a seniorních populačních skupinách (Zahrádka a kol., 2022; Šmíd a kol., 2022)</w:t>
      </w:r>
      <w:r w:rsidR="00B05B9E" w:rsidRPr="00CE6183">
        <w:rPr>
          <w:rFonts w:cstheme="minorHAnsi"/>
          <w:sz w:val="24"/>
          <w:szCs w:val="24"/>
        </w:rPr>
        <w:t xml:space="preserve">. </w:t>
      </w:r>
    </w:p>
    <w:p w14:paraId="56BE1625" w14:textId="18574ED3" w:rsidR="00E91149" w:rsidRDefault="00E91149" w:rsidP="00ED6BEB">
      <w:pPr>
        <w:spacing w:line="276" w:lineRule="auto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Proočkovanost populace proti COVID-19 se mezi vyspělými státy velmi významně liší, a to až o desítky procent. </w:t>
      </w:r>
      <w:r w:rsidRPr="00E91149">
        <w:rPr>
          <w:rFonts w:cstheme="minorHAnsi"/>
          <w:b/>
          <w:bCs/>
          <w:sz w:val="24"/>
          <w:szCs w:val="24"/>
          <w:u w:val="single"/>
        </w:rPr>
        <w:t>Graf 5</w:t>
      </w:r>
      <w:r>
        <w:rPr>
          <w:rFonts w:cstheme="minorHAnsi"/>
          <w:sz w:val="24"/>
          <w:szCs w:val="24"/>
        </w:rPr>
        <w:t xml:space="preserve"> přináší srovnání proočkovanosti států EU a EHP dle dat ECDC aktualizovaných ke konci dubna 2022. Je patrné, že Česká republika stojí v dosažené míře proočkovanosti mezi zeměmi západní či severní Evropy a státy bývalého sovětského bloku. Proočkovanost naší populace není nízká (celkově v dospělé populaci mírně nad </w:t>
      </w:r>
      <w:proofErr w:type="gramStart"/>
      <w:r>
        <w:rPr>
          <w:rFonts w:cstheme="minorHAnsi"/>
          <w:sz w:val="24"/>
          <w:szCs w:val="24"/>
        </w:rPr>
        <w:t>70%</w:t>
      </w:r>
      <w:proofErr w:type="gramEnd"/>
      <w:r>
        <w:rPr>
          <w:rFonts w:cstheme="minorHAnsi"/>
          <w:sz w:val="24"/>
          <w:szCs w:val="24"/>
        </w:rPr>
        <w:t xml:space="preserve">, z toho cca 47% s posilující dávkou), ale optimálně by měla a mohla být až o 20% vyšší (viz např, srovnání s Norskem, Švédskem Dánskem na grafu 5). </w:t>
      </w:r>
      <w:r w:rsidR="00E952DB">
        <w:rPr>
          <w:rFonts w:cstheme="minorHAnsi"/>
          <w:sz w:val="24"/>
          <w:szCs w:val="24"/>
        </w:rPr>
        <w:t xml:space="preserve">Zejména v podzimních měsících přinášela vyšší proočkovanost západních a severních zemí Evropy výhodu v nižším počtu těžkých případů nákazy a v nižší úmrtnosti. </w:t>
      </w:r>
    </w:p>
    <w:p w14:paraId="7C55BEF8" w14:textId="5657D1EE" w:rsidR="00B05B9E" w:rsidRPr="00413562" w:rsidRDefault="00B05B9E" w:rsidP="00ED6BEB">
      <w:pPr>
        <w:spacing w:line="276" w:lineRule="auto"/>
        <w:jc w:val="left"/>
        <w:rPr>
          <w:rFonts w:cstheme="minorHAnsi"/>
          <w:sz w:val="24"/>
          <w:szCs w:val="24"/>
        </w:rPr>
      </w:pPr>
      <w:r w:rsidRPr="00413562">
        <w:rPr>
          <w:rFonts w:cstheme="minorHAnsi"/>
          <w:sz w:val="24"/>
          <w:szCs w:val="24"/>
        </w:rPr>
        <w:t xml:space="preserve">Lékaři byli </w:t>
      </w:r>
      <w:r w:rsidR="00E952DB">
        <w:rPr>
          <w:rFonts w:cstheme="minorHAnsi"/>
          <w:sz w:val="24"/>
          <w:szCs w:val="24"/>
        </w:rPr>
        <w:t xml:space="preserve">v ČR </w:t>
      </w:r>
      <w:r w:rsidRPr="00413562">
        <w:rPr>
          <w:rFonts w:cstheme="minorHAnsi"/>
          <w:sz w:val="24"/>
          <w:szCs w:val="24"/>
        </w:rPr>
        <w:t xml:space="preserve">jednou z přednostně očkovaných profesních skupin od počátku roku 2021 a velmi rychle dosáhli vysoké proočkovanosti. Aktuálně je alespoň jednou dávkou očkováno </w:t>
      </w:r>
      <w:proofErr w:type="gramStart"/>
      <w:r w:rsidR="00E952DB">
        <w:rPr>
          <w:rFonts w:cstheme="minorHAnsi"/>
          <w:sz w:val="24"/>
          <w:szCs w:val="24"/>
        </w:rPr>
        <w:t>87,9</w:t>
      </w:r>
      <w:r w:rsidRPr="00413562">
        <w:rPr>
          <w:rFonts w:cstheme="minorHAnsi"/>
          <w:sz w:val="24"/>
          <w:szCs w:val="24"/>
        </w:rPr>
        <w:t>%</w:t>
      </w:r>
      <w:proofErr w:type="gramEnd"/>
      <w:r w:rsidRPr="00413562">
        <w:rPr>
          <w:rFonts w:cstheme="minorHAnsi"/>
          <w:sz w:val="24"/>
          <w:szCs w:val="24"/>
        </w:rPr>
        <w:t xml:space="preserve"> všech aktivních lékařů, s posilující dávkou evidujeme 75</w:t>
      </w:r>
      <w:r w:rsidR="00E952DB">
        <w:rPr>
          <w:rFonts w:cstheme="minorHAnsi"/>
          <w:sz w:val="24"/>
          <w:szCs w:val="24"/>
        </w:rPr>
        <w:t>,4</w:t>
      </w:r>
      <w:r w:rsidRPr="00413562">
        <w:rPr>
          <w:rFonts w:cstheme="minorHAnsi"/>
          <w:sz w:val="24"/>
          <w:szCs w:val="24"/>
        </w:rPr>
        <w:t>% této skupiny (</w:t>
      </w:r>
      <w:r w:rsidR="00E952DB" w:rsidRPr="00E952DB">
        <w:rPr>
          <w:rFonts w:cstheme="minorHAnsi"/>
          <w:b/>
          <w:bCs/>
          <w:sz w:val="24"/>
          <w:szCs w:val="24"/>
          <w:u w:val="single"/>
        </w:rPr>
        <w:t>Graf 6, Tabulka 5</w:t>
      </w:r>
      <w:r w:rsidRPr="00413562">
        <w:rPr>
          <w:rFonts w:cstheme="minorHAnsi"/>
          <w:sz w:val="24"/>
          <w:szCs w:val="24"/>
        </w:rPr>
        <w:t xml:space="preserve">). Praktičtí lékaři jsou očkování ve významně vyšším procentu než celá populace lékařů, alespoň jednu dávku jich absolvovalo </w:t>
      </w:r>
      <w:proofErr w:type="gramStart"/>
      <w:r w:rsidRPr="00413562">
        <w:rPr>
          <w:rFonts w:cstheme="minorHAnsi"/>
          <w:sz w:val="24"/>
          <w:szCs w:val="24"/>
        </w:rPr>
        <w:t>94,3%</w:t>
      </w:r>
      <w:proofErr w:type="gramEnd"/>
      <w:r w:rsidRPr="00413562">
        <w:rPr>
          <w:rFonts w:cstheme="minorHAnsi"/>
          <w:sz w:val="24"/>
          <w:szCs w:val="24"/>
        </w:rPr>
        <w:t xml:space="preserve"> a posilující dávku 84,8%. </w:t>
      </w:r>
      <w:r w:rsidR="00CE6183">
        <w:rPr>
          <w:rFonts w:cstheme="minorHAnsi"/>
          <w:sz w:val="24"/>
          <w:szCs w:val="24"/>
        </w:rPr>
        <w:t xml:space="preserve">Vysoký podíl očkovaných registrujeme </w:t>
      </w:r>
      <w:r w:rsidRPr="00413562">
        <w:rPr>
          <w:rFonts w:cstheme="minorHAnsi"/>
          <w:sz w:val="24"/>
          <w:szCs w:val="24"/>
        </w:rPr>
        <w:t xml:space="preserve">rovněž </w:t>
      </w:r>
      <w:r w:rsidR="00CE6183">
        <w:rPr>
          <w:rFonts w:cstheme="minorHAnsi"/>
          <w:sz w:val="24"/>
          <w:szCs w:val="24"/>
        </w:rPr>
        <w:t xml:space="preserve">u </w:t>
      </w:r>
      <w:r w:rsidRPr="00413562">
        <w:rPr>
          <w:rFonts w:cstheme="minorHAnsi"/>
          <w:sz w:val="24"/>
          <w:szCs w:val="24"/>
        </w:rPr>
        <w:t>již neaktivní</w:t>
      </w:r>
      <w:r w:rsidR="00CE6183">
        <w:rPr>
          <w:rFonts w:cstheme="minorHAnsi"/>
          <w:sz w:val="24"/>
          <w:szCs w:val="24"/>
        </w:rPr>
        <w:t>ch</w:t>
      </w:r>
      <w:r w:rsidRPr="00413562">
        <w:rPr>
          <w:rFonts w:cstheme="minorHAnsi"/>
          <w:sz w:val="24"/>
          <w:szCs w:val="24"/>
        </w:rPr>
        <w:t xml:space="preserve"> prakti</w:t>
      </w:r>
      <w:r w:rsidR="00CE6183">
        <w:rPr>
          <w:rFonts w:cstheme="minorHAnsi"/>
          <w:sz w:val="24"/>
          <w:szCs w:val="24"/>
        </w:rPr>
        <w:t xml:space="preserve">ckých </w:t>
      </w:r>
      <w:r w:rsidRPr="00413562">
        <w:rPr>
          <w:rFonts w:cstheme="minorHAnsi"/>
          <w:sz w:val="24"/>
          <w:szCs w:val="24"/>
        </w:rPr>
        <w:t>lékař</w:t>
      </w:r>
      <w:r w:rsidR="00CE6183">
        <w:rPr>
          <w:rFonts w:cstheme="minorHAnsi"/>
          <w:sz w:val="24"/>
          <w:szCs w:val="24"/>
        </w:rPr>
        <w:t>ů</w:t>
      </w:r>
      <w:r w:rsidRPr="00413562">
        <w:rPr>
          <w:rFonts w:cstheme="minorHAnsi"/>
          <w:sz w:val="24"/>
          <w:szCs w:val="24"/>
        </w:rPr>
        <w:t xml:space="preserve"> seniorního věku, ve věkové kategorii 65+ </w:t>
      </w:r>
      <w:r w:rsidR="00CE6183" w:rsidRPr="00413562">
        <w:rPr>
          <w:rFonts w:cstheme="minorHAnsi"/>
          <w:sz w:val="24"/>
          <w:szCs w:val="24"/>
        </w:rPr>
        <w:t xml:space="preserve">přesahuje </w:t>
      </w:r>
      <w:r w:rsidR="00CE6183">
        <w:rPr>
          <w:rFonts w:cstheme="minorHAnsi"/>
          <w:sz w:val="24"/>
          <w:szCs w:val="24"/>
        </w:rPr>
        <w:t xml:space="preserve">jejich </w:t>
      </w:r>
      <w:r w:rsidRPr="00413562">
        <w:rPr>
          <w:rFonts w:cstheme="minorHAnsi"/>
          <w:sz w:val="24"/>
          <w:szCs w:val="24"/>
        </w:rPr>
        <w:t xml:space="preserve">proočkovanost </w:t>
      </w:r>
      <w:proofErr w:type="gramStart"/>
      <w:r w:rsidRPr="00413562">
        <w:rPr>
          <w:rFonts w:cstheme="minorHAnsi"/>
          <w:sz w:val="24"/>
          <w:szCs w:val="24"/>
        </w:rPr>
        <w:t>95%</w:t>
      </w:r>
      <w:proofErr w:type="gramEnd"/>
      <w:r w:rsidRPr="00413562">
        <w:rPr>
          <w:rFonts w:cstheme="minorHAnsi"/>
          <w:sz w:val="24"/>
          <w:szCs w:val="24"/>
        </w:rPr>
        <w:t xml:space="preserve">. </w:t>
      </w:r>
      <w:r w:rsidR="00E952DB">
        <w:rPr>
          <w:rFonts w:cstheme="minorHAnsi"/>
          <w:sz w:val="24"/>
          <w:szCs w:val="24"/>
        </w:rPr>
        <w:t xml:space="preserve">Rovněž na populaci lékařů lze doložit silný ochranný efekt očkování, které snížilo počet nákaz zejména v době šíření </w:t>
      </w:r>
      <w:r w:rsidR="00E952DB">
        <w:rPr>
          <w:rFonts w:cstheme="minorHAnsi"/>
          <w:sz w:val="24"/>
          <w:szCs w:val="24"/>
        </w:rPr>
        <w:lastRenderedPageBreak/>
        <w:t xml:space="preserve">varianty Delta na podzim 2021 a umožnilo tak udržet vysoký podíl lůžkové kapacity nemocnic ve funkčním provozu. </w:t>
      </w:r>
    </w:p>
    <w:p w14:paraId="1BCCF2E7" w14:textId="77777777" w:rsidR="00E952DB" w:rsidRDefault="00E952DB" w:rsidP="00B0443B">
      <w:pPr>
        <w:spacing w:line="276" w:lineRule="auto"/>
        <w:jc w:val="left"/>
        <w:rPr>
          <w:rFonts w:cstheme="minorHAnsi"/>
        </w:rPr>
      </w:pPr>
    </w:p>
    <w:p w14:paraId="288895D7" w14:textId="1D388181" w:rsidR="005A11D5" w:rsidRPr="00E952DB" w:rsidRDefault="00E952DB" w:rsidP="00B0443B">
      <w:pPr>
        <w:spacing w:line="276" w:lineRule="auto"/>
        <w:jc w:val="left"/>
        <w:rPr>
          <w:rFonts w:cstheme="minorHAnsi"/>
          <w:b/>
          <w:bCs/>
        </w:rPr>
      </w:pPr>
      <w:r w:rsidRPr="00E952DB">
        <w:rPr>
          <w:rFonts w:cstheme="minorHAnsi"/>
          <w:b/>
          <w:bCs/>
        </w:rPr>
        <w:t>Závěr</w:t>
      </w:r>
    </w:p>
    <w:p w14:paraId="0B3837D3" w14:textId="46C599CC" w:rsidR="00E91149" w:rsidRDefault="00E91149" w:rsidP="00E91149">
      <w:pPr>
        <w:spacing w:line="276" w:lineRule="auto"/>
        <w:jc w:val="left"/>
        <w:rPr>
          <w:rFonts w:cstheme="minorHAnsi"/>
          <w:sz w:val="24"/>
          <w:szCs w:val="24"/>
        </w:rPr>
      </w:pPr>
      <w:r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Tento článek píšeme v období nastupujícího útlumu epidemie, ze kterého ale nelze usuzovat na očekávatelný vývoj v podzimních měsících 2022. </w:t>
      </w:r>
      <w:r w:rsidR="00E952DB"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Toto poučení vyplývá z již doloženého vývoje v létě 2020 a </w:t>
      </w:r>
      <w:r w:rsidR="00C96F4A"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zejména </w:t>
      </w:r>
      <w:r w:rsidR="00E952DB"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v létě 2021. Tehdy varianta viru </w:t>
      </w:r>
      <w:r w:rsidR="00C96F4A"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Delta </w:t>
      </w:r>
      <w:r w:rsidR="00E952DB">
        <w:rPr>
          <w:rStyle w:val="atm-text-decorator"/>
          <w:rFonts w:cstheme="minorHAnsi"/>
          <w:color w:val="000000" w:themeColor="text1"/>
          <w:sz w:val="24"/>
          <w:szCs w:val="24"/>
        </w:rPr>
        <w:t>převládla v populaci již na konci května 2021 a nijak se ve zdravotním dopadu neprojevovala až do poloviny září. Rovněž v podzimních měsících 2022 můžeme téměř s jistotou předpokládat nárůst prevalence nákaz a silné komunitní šíření SARS-CoV-2. Pokud v populaci zůstane jako dominantní varianta Omikron, je již doloženo</w:t>
      </w:r>
      <w:r w:rsidR="00C96F4A"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, </w:t>
      </w:r>
      <w:r w:rsidR="00E952DB">
        <w:rPr>
          <w:rStyle w:val="atm-text-decorator"/>
          <w:rFonts w:cstheme="minorHAnsi"/>
          <w:color w:val="000000" w:themeColor="text1"/>
          <w:sz w:val="24"/>
          <w:szCs w:val="24"/>
        </w:rPr>
        <w:t xml:space="preserve">že základním nástrojem pro zvládání </w:t>
      </w:r>
      <w:r w:rsidR="00C96F4A">
        <w:rPr>
          <w:rStyle w:val="atm-text-decorator"/>
          <w:rFonts w:cstheme="minorHAnsi"/>
          <w:color w:val="000000" w:themeColor="text1"/>
          <w:sz w:val="24"/>
          <w:szCs w:val="24"/>
        </w:rPr>
        <w:t>zdravotních dopadů bude jednoznačně očkování další posilující dávkou, zejména u potenciálně zranitelných skupin obyvatel.</w:t>
      </w:r>
    </w:p>
    <w:p w14:paraId="0766BB9D" w14:textId="77777777" w:rsidR="00E91149" w:rsidRPr="009131DC" w:rsidRDefault="00E91149" w:rsidP="005A11D5">
      <w:pPr>
        <w:spacing w:line="276" w:lineRule="auto"/>
        <w:jc w:val="left"/>
        <w:rPr>
          <w:rFonts w:cstheme="minorHAnsi"/>
          <w:sz w:val="24"/>
          <w:szCs w:val="24"/>
        </w:rPr>
      </w:pPr>
    </w:p>
    <w:p w14:paraId="38D437E6" w14:textId="43F49519" w:rsidR="00A33908" w:rsidRPr="00413562" w:rsidRDefault="00BD6014" w:rsidP="00A33908">
      <w:pPr>
        <w:pStyle w:val="Nadpis2"/>
        <w:numPr>
          <w:ilvl w:val="0"/>
          <w:numId w:val="0"/>
        </w:numPr>
        <w:rPr>
          <w:rFonts w:cstheme="minorHAnsi"/>
          <w:sz w:val="24"/>
          <w:szCs w:val="24"/>
        </w:rPr>
      </w:pPr>
      <w:r w:rsidRPr="00413562">
        <w:rPr>
          <w:rFonts w:cstheme="minorHAnsi"/>
          <w:sz w:val="24"/>
          <w:szCs w:val="24"/>
        </w:rPr>
        <w:t>Poděkování</w:t>
      </w:r>
    </w:p>
    <w:p w14:paraId="1908A625" w14:textId="25AA0AFE" w:rsidR="00BD6014" w:rsidRPr="00B4523B" w:rsidRDefault="00B4523B" w:rsidP="00BD6014">
      <w:pPr>
        <w:rPr>
          <w:rFonts w:cstheme="minorHAnsi"/>
        </w:rPr>
      </w:pPr>
      <w:r w:rsidRPr="00B4523B">
        <w:rPr>
          <w:rFonts w:cstheme="minorHAnsi"/>
        </w:rPr>
        <w:t xml:space="preserve">Předložená data dokládají, že informační systém zůstává v základních funkcích plně funkční i v sezóně relativního útlumu epidemie. To je velmi podstatné, systém je tak připraven pro podzim 2022, kdy lze očekávat sezónní nárůst v šíření nákazy. </w:t>
      </w:r>
      <w:r w:rsidR="00BD6014" w:rsidRPr="00B4523B">
        <w:rPr>
          <w:rFonts w:cstheme="minorHAnsi"/>
        </w:rPr>
        <w:t xml:space="preserve">Autoři děkují všem </w:t>
      </w:r>
      <w:r w:rsidR="005A11D5" w:rsidRPr="00B4523B">
        <w:rPr>
          <w:rFonts w:cstheme="minorHAnsi"/>
        </w:rPr>
        <w:t xml:space="preserve">poskytovatelům, lékařům a dalším </w:t>
      </w:r>
      <w:r w:rsidR="00BD6014" w:rsidRPr="00B4523B">
        <w:rPr>
          <w:rFonts w:cstheme="minorHAnsi"/>
        </w:rPr>
        <w:t xml:space="preserve">odborníkům, kteří kvalitním zadáváním dat do systémů ISIN a NZIS umožňují hodnocení epidemiologické situace v souvislosti s nemocí COVID-19. </w:t>
      </w:r>
    </w:p>
    <w:p w14:paraId="39E03A01" w14:textId="2C8A6395" w:rsidR="00F40F22" w:rsidRPr="00413562" w:rsidRDefault="00F40F22" w:rsidP="00BD6014">
      <w:pPr>
        <w:rPr>
          <w:rFonts w:cstheme="minorHAnsi"/>
        </w:rPr>
      </w:pPr>
    </w:p>
    <w:p w14:paraId="541B256B" w14:textId="3C345C53" w:rsidR="000817E7" w:rsidRPr="00413562" w:rsidRDefault="000817E7" w:rsidP="00BD6014">
      <w:pPr>
        <w:rPr>
          <w:rFonts w:cstheme="minorHAnsi"/>
          <w:b/>
          <w:bCs/>
          <w:sz w:val="24"/>
          <w:szCs w:val="24"/>
        </w:rPr>
      </w:pPr>
      <w:r w:rsidRPr="00413562">
        <w:rPr>
          <w:rFonts w:cstheme="minorHAnsi"/>
          <w:b/>
          <w:bCs/>
          <w:sz w:val="24"/>
          <w:szCs w:val="24"/>
        </w:rPr>
        <w:t>Reference</w:t>
      </w:r>
    </w:p>
    <w:p w14:paraId="3D8B12A1" w14:textId="1B567F4F" w:rsidR="004028DF" w:rsidRDefault="004028DF" w:rsidP="00BD6014">
      <w:pPr>
        <w:rPr>
          <w:rFonts w:ascii="Times New Roman" w:hAnsi="Times New Roman" w:cs="Times New Roman"/>
        </w:rPr>
      </w:pPr>
    </w:p>
    <w:p w14:paraId="605EC4DA" w14:textId="344C39ED" w:rsidR="004028DF" w:rsidRPr="001203EE" w:rsidRDefault="004028DF" w:rsidP="00EC5687">
      <w:pPr>
        <w:spacing w:line="276" w:lineRule="auto"/>
        <w:jc w:val="left"/>
        <w:rPr>
          <w:rFonts w:cstheme="minorHAnsi"/>
          <w:sz w:val="24"/>
          <w:szCs w:val="24"/>
        </w:rPr>
      </w:pPr>
      <w:proofErr w:type="spellStart"/>
      <w:r w:rsidRPr="001203EE">
        <w:rPr>
          <w:rFonts w:cstheme="minorHAnsi"/>
          <w:sz w:val="24"/>
          <w:szCs w:val="24"/>
        </w:rPr>
        <w:t>Amerio</w:t>
      </w:r>
      <w:proofErr w:type="spellEnd"/>
      <w:r w:rsidRPr="001203EE">
        <w:rPr>
          <w:rFonts w:cstheme="minorHAnsi"/>
          <w:sz w:val="24"/>
          <w:szCs w:val="24"/>
        </w:rPr>
        <w:t xml:space="preserve"> A</w:t>
      </w:r>
      <w:r w:rsidR="001203EE">
        <w:rPr>
          <w:rFonts w:cstheme="minorHAnsi"/>
          <w:sz w:val="24"/>
          <w:szCs w:val="24"/>
        </w:rPr>
        <w:t>.</w:t>
      </w:r>
      <w:r w:rsidRPr="001203EE">
        <w:rPr>
          <w:rFonts w:cstheme="minorHAnsi"/>
          <w:sz w:val="24"/>
          <w:szCs w:val="24"/>
        </w:rPr>
        <w:t xml:space="preserve">, </w:t>
      </w:r>
      <w:proofErr w:type="spellStart"/>
      <w:r w:rsidRPr="001203EE">
        <w:rPr>
          <w:rFonts w:cstheme="minorHAnsi"/>
          <w:sz w:val="24"/>
          <w:szCs w:val="24"/>
        </w:rPr>
        <w:t>Bianchi</w:t>
      </w:r>
      <w:proofErr w:type="spellEnd"/>
      <w:r w:rsidRPr="001203EE">
        <w:rPr>
          <w:rFonts w:cstheme="minorHAnsi"/>
          <w:sz w:val="24"/>
          <w:szCs w:val="24"/>
        </w:rPr>
        <w:t xml:space="preserve"> D</w:t>
      </w:r>
      <w:r w:rsidR="001203EE">
        <w:rPr>
          <w:rFonts w:cstheme="minorHAnsi"/>
          <w:sz w:val="24"/>
          <w:szCs w:val="24"/>
        </w:rPr>
        <w:t>.</w:t>
      </w:r>
      <w:r w:rsidRPr="001203EE">
        <w:rPr>
          <w:rFonts w:cstheme="minorHAnsi"/>
          <w:sz w:val="24"/>
          <w:szCs w:val="24"/>
        </w:rPr>
        <w:t xml:space="preserve">, </w:t>
      </w:r>
      <w:proofErr w:type="spellStart"/>
      <w:r w:rsidRPr="001203EE">
        <w:rPr>
          <w:rFonts w:cstheme="minorHAnsi"/>
          <w:sz w:val="24"/>
          <w:szCs w:val="24"/>
        </w:rPr>
        <w:t>Santi</w:t>
      </w:r>
      <w:proofErr w:type="spellEnd"/>
      <w:r w:rsidRPr="001203EE">
        <w:rPr>
          <w:rFonts w:cstheme="minorHAnsi"/>
          <w:sz w:val="24"/>
          <w:szCs w:val="24"/>
        </w:rPr>
        <w:t xml:space="preserve"> F</w:t>
      </w:r>
      <w:r w:rsidR="001203EE">
        <w:rPr>
          <w:rFonts w:cstheme="minorHAnsi"/>
          <w:sz w:val="24"/>
          <w:szCs w:val="24"/>
        </w:rPr>
        <w:t>.</w:t>
      </w:r>
      <w:r w:rsidRPr="001203EE">
        <w:rPr>
          <w:rFonts w:cstheme="minorHAnsi"/>
          <w:sz w:val="24"/>
          <w:szCs w:val="24"/>
        </w:rPr>
        <w:t xml:space="preserve"> </w:t>
      </w:r>
      <w:r w:rsidR="00EC5687">
        <w:rPr>
          <w:rFonts w:cstheme="minorHAnsi"/>
          <w:sz w:val="24"/>
          <w:szCs w:val="24"/>
          <w:lang w:eastAsia="cs-CZ"/>
        </w:rPr>
        <w:t>et al.</w:t>
      </w:r>
      <w:r w:rsidRPr="001203EE">
        <w:rPr>
          <w:rFonts w:cstheme="minorHAnsi"/>
          <w:sz w:val="24"/>
          <w:szCs w:val="24"/>
        </w:rPr>
        <w:t xml:space="preserve"> Covid-19 </w:t>
      </w:r>
      <w:proofErr w:type="spellStart"/>
      <w:r w:rsidRPr="001203EE">
        <w:rPr>
          <w:rFonts w:cstheme="minorHAnsi"/>
          <w:sz w:val="24"/>
          <w:szCs w:val="24"/>
        </w:rPr>
        <w:t>pandemic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impact</w:t>
      </w:r>
      <w:proofErr w:type="spellEnd"/>
      <w:r w:rsidRPr="001203EE">
        <w:rPr>
          <w:rFonts w:cstheme="minorHAnsi"/>
          <w:sz w:val="24"/>
          <w:szCs w:val="24"/>
        </w:rPr>
        <w:t xml:space="preserve"> on </w:t>
      </w:r>
      <w:proofErr w:type="spellStart"/>
      <w:r w:rsidRPr="001203EE">
        <w:rPr>
          <w:rFonts w:cstheme="minorHAnsi"/>
          <w:sz w:val="24"/>
          <w:szCs w:val="24"/>
        </w:rPr>
        <w:t>mental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health</w:t>
      </w:r>
      <w:proofErr w:type="spellEnd"/>
      <w:r w:rsidRPr="001203EE">
        <w:rPr>
          <w:rFonts w:cstheme="minorHAnsi"/>
          <w:sz w:val="24"/>
          <w:szCs w:val="24"/>
        </w:rPr>
        <w:t>: a web-</w:t>
      </w:r>
      <w:proofErr w:type="spellStart"/>
      <w:r w:rsidRPr="001203EE">
        <w:rPr>
          <w:rFonts w:cstheme="minorHAnsi"/>
          <w:sz w:val="24"/>
          <w:szCs w:val="24"/>
        </w:rPr>
        <w:t>based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cross-sectional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survey</w:t>
      </w:r>
      <w:proofErr w:type="spellEnd"/>
      <w:r w:rsidRPr="001203EE">
        <w:rPr>
          <w:rFonts w:cstheme="minorHAnsi"/>
          <w:sz w:val="24"/>
          <w:szCs w:val="24"/>
        </w:rPr>
        <w:t xml:space="preserve"> on a sample </w:t>
      </w:r>
      <w:proofErr w:type="spellStart"/>
      <w:r w:rsidRPr="001203EE">
        <w:rPr>
          <w:rFonts w:cstheme="minorHAnsi"/>
          <w:sz w:val="24"/>
          <w:szCs w:val="24"/>
        </w:rPr>
        <w:t>of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Italian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general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practitioners</w:t>
      </w:r>
      <w:proofErr w:type="spellEnd"/>
      <w:r w:rsidRPr="001203EE">
        <w:rPr>
          <w:rFonts w:cstheme="minorHAnsi"/>
          <w:sz w:val="24"/>
          <w:szCs w:val="24"/>
        </w:rPr>
        <w:t xml:space="preserve">. Acta </w:t>
      </w:r>
      <w:proofErr w:type="spellStart"/>
      <w:r w:rsidRPr="001203EE">
        <w:rPr>
          <w:rFonts w:cstheme="minorHAnsi"/>
          <w:sz w:val="24"/>
          <w:szCs w:val="24"/>
        </w:rPr>
        <w:t>Biomed</w:t>
      </w:r>
      <w:proofErr w:type="spellEnd"/>
      <w:r w:rsidRPr="001203EE">
        <w:rPr>
          <w:rFonts w:cstheme="minorHAnsi"/>
          <w:sz w:val="24"/>
          <w:szCs w:val="24"/>
        </w:rPr>
        <w:t xml:space="preserve">. 2020 May 11;91(2):83-88. </w:t>
      </w:r>
      <w:proofErr w:type="spellStart"/>
      <w:r w:rsidRPr="001203EE">
        <w:rPr>
          <w:rFonts w:cstheme="minorHAnsi"/>
          <w:sz w:val="24"/>
          <w:szCs w:val="24"/>
        </w:rPr>
        <w:t>doi</w:t>
      </w:r>
      <w:proofErr w:type="spellEnd"/>
      <w:r w:rsidRPr="001203EE">
        <w:rPr>
          <w:rFonts w:cstheme="minorHAnsi"/>
          <w:sz w:val="24"/>
          <w:szCs w:val="24"/>
        </w:rPr>
        <w:t>: 10.23750/</w:t>
      </w:r>
      <w:proofErr w:type="gramStart"/>
      <w:r w:rsidRPr="001203EE">
        <w:rPr>
          <w:rFonts w:cstheme="minorHAnsi"/>
          <w:sz w:val="24"/>
          <w:szCs w:val="24"/>
        </w:rPr>
        <w:t>abm.v</w:t>
      </w:r>
      <w:proofErr w:type="gramEnd"/>
      <w:r w:rsidRPr="001203EE">
        <w:rPr>
          <w:rFonts w:cstheme="minorHAnsi"/>
          <w:sz w:val="24"/>
          <w:szCs w:val="24"/>
        </w:rPr>
        <w:t>91i2.9619. PMID: 32420931; PMCID: PMC7569634.</w:t>
      </w:r>
    </w:p>
    <w:p w14:paraId="74B39D2B" w14:textId="29A17A13" w:rsidR="00FC7488" w:rsidRPr="001203EE" w:rsidRDefault="00FC7488" w:rsidP="00EC5687">
      <w:pPr>
        <w:spacing w:line="276" w:lineRule="auto"/>
        <w:rPr>
          <w:rFonts w:cstheme="minorHAnsi"/>
          <w:sz w:val="24"/>
          <w:szCs w:val="24"/>
        </w:rPr>
      </w:pPr>
    </w:p>
    <w:p w14:paraId="30FB8082" w14:textId="5CE41025" w:rsidR="00FC7488" w:rsidRPr="001203EE" w:rsidRDefault="00FC7488" w:rsidP="00EC5687">
      <w:pPr>
        <w:spacing w:line="276" w:lineRule="auto"/>
        <w:jc w:val="left"/>
        <w:rPr>
          <w:rFonts w:cstheme="minorHAnsi"/>
          <w:sz w:val="24"/>
          <w:szCs w:val="24"/>
        </w:rPr>
      </w:pPr>
      <w:r w:rsidRPr="001203EE">
        <w:rPr>
          <w:rFonts w:cstheme="minorHAnsi"/>
          <w:sz w:val="24"/>
          <w:szCs w:val="24"/>
        </w:rPr>
        <w:t>Campbell F</w:t>
      </w:r>
      <w:r w:rsidR="001203EE" w:rsidRPr="001203EE">
        <w:rPr>
          <w:rFonts w:cstheme="minorHAnsi"/>
          <w:sz w:val="24"/>
          <w:szCs w:val="24"/>
        </w:rPr>
        <w:t>.</w:t>
      </w:r>
      <w:proofErr w:type="gramStart"/>
      <w:r w:rsidR="001203EE" w:rsidRPr="001203EE">
        <w:rPr>
          <w:rFonts w:cstheme="minorHAnsi"/>
          <w:sz w:val="24"/>
          <w:szCs w:val="24"/>
        </w:rPr>
        <w:t xml:space="preserve">, </w:t>
      </w:r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Archer</w:t>
      </w:r>
      <w:proofErr w:type="spellEnd"/>
      <w:proofErr w:type="gramEnd"/>
      <w:r w:rsidRPr="001203EE">
        <w:rPr>
          <w:rFonts w:cstheme="minorHAnsi"/>
          <w:sz w:val="24"/>
          <w:szCs w:val="24"/>
        </w:rPr>
        <w:t xml:space="preserve"> B</w:t>
      </w:r>
      <w:r w:rsidR="001203EE">
        <w:rPr>
          <w:rFonts w:cstheme="minorHAnsi"/>
          <w:sz w:val="24"/>
          <w:szCs w:val="24"/>
        </w:rPr>
        <w:t>.</w:t>
      </w:r>
      <w:r w:rsidRPr="001203EE">
        <w:rPr>
          <w:rFonts w:cstheme="minorHAnsi"/>
          <w:sz w:val="24"/>
          <w:szCs w:val="24"/>
        </w:rPr>
        <w:t xml:space="preserve">, </w:t>
      </w:r>
      <w:proofErr w:type="spellStart"/>
      <w:r w:rsidRPr="001203EE">
        <w:rPr>
          <w:rFonts w:cstheme="minorHAnsi"/>
          <w:sz w:val="24"/>
          <w:szCs w:val="24"/>
        </w:rPr>
        <w:t>Laurenson-Schafer</w:t>
      </w:r>
      <w:proofErr w:type="spellEnd"/>
      <w:r w:rsidRPr="001203EE">
        <w:rPr>
          <w:rFonts w:cstheme="minorHAnsi"/>
          <w:sz w:val="24"/>
          <w:szCs w:val="24"/>
        </w:rPr>
        <w:t xml:space="preserve"> H</w:t>
      </w:r>
      <w:r w:rsidR="001203EE">
        <w:rPr>
          <w:rFonts w:cstheme="minorHAnsi"/>
          <w:sz w:val="24"/>
          <w:szCs w:val="24"/>
        </w:rPr>
        <w:t>.</w:t>
      </w:r>
      <w:r w:rsidRPr="001203EE">
        <w:rPr>
          <w:rFonts w:cstheme="minorHAnsi"/>
          <w:sz w:val="24"/>
          <w:szCs w:val="24"/>
        </w:rPr>
        <w:t xml:space="preserve"> </w:t>
      </w:r>
      <w:r w:rsidR="00EC5687">
        <w:rPr>
          <w:rFonts w:cstheme="minorHAnsi"/>
          <w:sz w:val="24"/>
          <w:szCs w:val="24"/>
          <w:lang w:eastAsia="cs-CZ"/>
        </w:rPr>
        <w:t xml:space="preserve">et al. </w:t>
      </w:r>
      <w:proofErr w:type="spellStart"/>
      <w:r w:rsidRPr="001203EE">
        <w:rPr>
          <w:rFonts w:cstheme="minorHAnsi"/>
          <w:sz w:val="24"/>
          <w:szCs w:val="24"/>
        </w:rPr>
        <w:t>Increased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transmissibility</w:t>
      </w:r>
      <w:proofErr w:type="spellEnd"/>
      <w:r w:rsidRPr="001203EE">
        <w:rPr>
          <w:rFonts w:cstheme="minorHAnsi"/>
          <w:sz w:val="24"/>
          <w:szCs w:val="24"/>
        </w:rPr>
        <w:t xml:space="preserve"> and </w:t>
      </w:r>
      <w:proofErr w:type="spellStart"/>
      <w:r w:rsidRPr="001203EE">
        <w:rPr>
          <w:rFonts w:cstheme="minorHAnsi"/>
          <w:sz w:val="24"/>
          <w:szCs w:val="24"/>
        </w:rPr>
        <w:t>global</w:t>
      </w:r>
      <w:proofErr w:type="spellEnd"/>
      <w:r w:rsidRPr="001203EE">
        <w:rPr>
          <w:rFonts w:cstheme="minorHAnsi"/>
          <w:sz w:val="24"/>
          <w:szCs w:val="24"/>
        </w:rPr>
        <w:t xml:space="preserve"> spread </w:t>
      </w:r>
      <w:proofErr w:type="spellStart"/>
      <w:r w:rsidRPr="001203EE">
        <w:rPr>
          <w:rFonts w:cstheme="minorHAnsi"/>
          <w:sz w:val="24"/>
          <w:szCs w:val="24"/>
        </w:rPr>
        <w:t>of</w:t>
      </w:r>
      <w:proofErr w:type="spellEnd"/>
      <w:r w:rsidRPr="001203EE">
        <w:rPr>
          <w:rFonts w:cstheme="minorHAnsi"/>
          <w:sz w:val="24"/>
          <w:szCs w:val="24"/>
        </w:rPr>
        <w:t xml:space="preserve"> SARS-CoV-2 </w:t>
      </w:r>
      <w:proofErr w:type="spellStart"/>
      <w:r w:rsidRPr="001203EE">
        <w:rPr>
          <w:rFonts w:cstheme="minorHAnsi"/>
          <w:sz w:val="24"/>
          <w:szCs w:val="24"/>
        </w:rPr>
        <w:t>variants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of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concern</w:t>
      </w:r>
      <w:proofErr w:type="spellEnd"/>
      <w:r w:rsidRPr="001203EE">
        <w:rPr>
          <w:rFonts w:cstheme="minorHAnsi"/>
          <w:sz w:val="24"/>
          <w:szCs w:val="24"/>
        </w:rPr>
        <w:t xml:space="preserve"> as </w:t>
      </w:r>
      <w:proofErr w:type="spellStart"/>
      <w:r w:rsidRPr="001203EE">
        <w:rPr>
          <w:rFonts w:cstheme="minorHAnsi"/>
          <w:sz w:val="24"/>
          <w:szCs w:val="24"/>
        </w:rPr>
        <w:t>at</w:t>
      </w:r>
      <w:proofErr w:type="spellEnd"/>
      <w:r w:rsidRPr="001203EE">
        <w:rPr>
          <w:rFonts w:cstheme="minorHAnsi"/>
          <w:sz w:val="24"/>
          <w:szCs w:val="24"/>
        </w:rPr>
        <w:t xml:space="preserve"> June 2021. Euro </w:t>
      </w:r>
      <w:proofErr w:type="spellStart"/>
      <w:r w:rsidRPr="001203EE">
        <w:rPr>
          <w:rFonts w:cstheme="minorHAnsi"/>
          <w:sz w:val="24"/>
          <w:szCs w:val="24"/>
        </w:rPr>
        <w:t>Surveill</w:t>
      </w:r>
      <w:proofErr w:type="spellEnd"/>
      <w:r w:rsidRPr="001203EE">
        <w:rPr>
          <w:rFonts w:cstheme="minorHAnsi"/>
          <w:sz w:val="24"/>
          <w:szCs w:val="24"/>
        </w:rPr>
        <w:t>. 2021;26(24</w:t>
      </w:r>
      <w:proofErr w:type="gramStart"/>
      <w:r w:rsidRPr="001203EE">
        <w:rPr>
          <w:rFonts w:cstheme="minorHAnsi"/>
          <w:sz w:val="24"/>
          <w:szCs w:val="24"/>
        </w:rPr>
        <w:t>):</w:t>
      </w:r>
      <w:proofErr w:type="spellStart"/>
      <w:r w:rsidRPr="001203EE">
        <w:rPr>
          <w:rFonts w:cstheme="minorHAnsi"/>
          <w:sz w:val="24"/>
          <w:szCs w:val="24"/>
        </w:rPr>
        <w:t>pii</w:t>
      </w:r>
      <w:proofErr w:type="spellEnd"/>
      <w:proofErr w:type="gramEnd"/>
      <w:r w:rsidRPr="001203EE">
        <w:rPr>
          <w:rFonts w:cstheme="minorHAnsi"/>
          <w:sz w:val="24"/>
          <w:szCs w:val="24"/>
        </w:rPr>
        <w:t xml:space="preserve">=2100509. </w:t>
      </w:r>
      <w:hyperlink r:id="rId10" w:history="1">
        <w:r w:rsidRPr="001203EE">
          <w:rPr>
            <w:rStyle w:val="Hypertextovodkaz"/>
            <w:rFonts w:cstheme="minorHAnsi"/>
            <w:sz w:val="24"/>
            <w:szCs w:val="24"/>
          </w:rPr>
          <w:t>https://doi.org/10.2807/1560-7917.ES.2021.26.24.2100509</w:t>
        </w:r>
      </w:hyperlink>
    </w:p>
    <w:p w14:paraId="32D503B2" w14:textId="77777777" w:rsidR="00FC7488" w:rsidRPr="001203EE" w:rsidRDefault="00FC7488" w:rsidP="00EC5687">
      <w:pPr>
        <w:spacing w:line="276" w:lineRule="auto"/>
        <w:rPr>
          <w:rFonts w:cstheme="minorHAnsi"/>
          <w:sz w:val="24"/>
          <w:szCs w:val="24"/>
        </w:rPr>
      </w:pPr>
    </w:p>
    <w:p w14:paraId="3C56D3D3" w14:textId="39BC367D" w:rsidR="004028DF" w:rsidRPr="001203EE" w:rsidRDefault="004028DF" w:rsidP="00EC5687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1203EE">
        <w:rPr>
          <w:rFonts w:cstheme="minorHAnsi"/>
          <w:sz w:val="24"/>
          <w:szCs w:val="24"/>
        </w:rPr>
        <w:t>Ferguson</w:t>
      </w:r>
      <w:proofErr w:type="spellEnd"/>
      <w:r w:rsidRPr="001203EE">
        <w:rPr>
          <w:rFonts w:cstheme="minorHAnsi"/>
          <w:sz w:val="24"/>
          <w:szCs w:val="24"/>
        </w:rPr>
        <w:t xml:space="preserve"> N</w:t>
      </w:r>
      <w:r w:rsidR="00EC5687">
        <w:rPr>
          <w:rFonts w:cstheme="minorHAnsi"/>
          <w:sz w:val="24"/>
          <w:szCs w:val="24"/>
        </w:rPr>
        <w:t>.</w:t>
      </w:r>
      <w:r w:rsidRPr="001203EE">
        <w:rPr>
          <w:rFonts w:cstheme="minorHAnsi"/>
          <w:sz w:val="24"/>
          <w:szCs w:val="24"/>
        </w:rPr>
        <w:t xml:space="preserve">, </w:t>
      </w:r>
      <w:proofErr w:type="spellStart"/>
      <w:r w:rsidRPr="001203EE">
        <w:rPr>
          <w:rFonts w:cstheme="minorHAnsi"/>
          <w:sz w:val="24"/>
          <w:szCs w:val="24"/>
        </w:rPr>
        <w:t>Ghani</w:t>
      </w:r>
      <w:proofErr w:type="spellEnd"/>
      <w:r w:rsidRPr="001203EE">
        <w:rPr>
          <w:rFonts w:cstheme="minorHAnsi"/>
          <w:sz w:val="24"/>
          <w:szCs w:val="24"/>
        </w:rPr>
        <w:t xml:space="preserve"> A</w:t>
      </w:r>
      <w:r w:rsidR="00EC5687">
        <w:rPr>
          <w:rFonts w:cstheme="minorHAnsi"/>
          <w:sz w:val="24"/>
          <w:szCs w:val="24"/>
        </w:rPr>
        <w:t>.</w:t>
      </w:r>
      <w:r w:rsidRPr="001203EE">
        <w:rPr>
          <w:rFonts w:cstheme="minorHAnsi"/>
          <w:sz w:val="24"/>
          <w:szCs w:val="24"/>
        </w:rPr>
        <w:t xml:space="preserve">, </w:t>
      </w:r>
      <w:proofErr w:type="spellStart"/>
      <w:r w:rsidRPr="001203EE">
        <w:rPr>
          <w:rFonts w:cstheme="minorHAnsi"/>
          <w:sz w:val="24"/>
          <w:szCs w:val="24"/>
        </w:rPr>
        <w:t>Hinsley</w:t>
      </w:r>
      <w:proofErr w:type="spellEnd"/>
      <w:r w:rsidRPr="001203EE">
        <w:rPr>
          <w:rFonts w:cstheme="minorHAnsi"/>
          <w:sz w:val="24"/>
          <w:szCs w:val="24"/>
        </w:rPr>
        <w:t xml:space="preserve"> W</w:t>
      </w:r>
      <w:r w:rsidR="00EC5687">
        <w:rPr>
          <w:rFonts w:cstheme="minorHAnsi"/>
          <w:sz w:val="24"/>
          <w:szCs w:val="24"/>
        </w:rPr>
        <w:t>.</w:t>
      </w:r>
      <w:r w:rsidRPr="001203EE">
        <w:rPr>
          <w:rFonts w:cstheme="minorHAnsi"/>
          <w:sz w:val="24"/>
          <w:szCs w:val="24"/>
        </w:rPr>
        <w:t xml:space="preserve">, </w:t>
      </w:r>
      <w:proofErr w:type="spellStart"/>
      <w:r w:rsidRPr="001203EE">
        <w:rPr>
          <w:rFonts w:cstheme="minorHAnsi"/>
          <w:sz w:val="24"/>
          <w:szCs w:val="24"/>
        </w:rPr>
        <w:t>Volz</w:t>
      </w:r>
      <w:proofErr w:type="spellEnd"/>
      <w:r w:rsidRPr="001203EE">
        <w:rPr>
          <w:rFonts w:cstheme="minorHAnsi"/>
          <w:sz w:val="24"/>
          <w:szCs w:val="24"/>
        </w:rPr>
        <w:t xml:space="preserve"> E. </w:t>
      </w:r>
      <w:r w:rsidRPr="001203EE">
        <w:rPr>
          <w:rFonts w:cstheme="minorHAnsi"/>
          <w:i/>
          <w:iCs/>
          <w:sz w:val="24"/>
          <w:szCs w:val="24"/>
        </w:rPr>
        <w:t xml:space="preserve">Report 50: </w:t>
      </w:r>
      <w:proofErr w:type="spellStart"/>
      <w:r w:rsidRPr="001203EE">
        <w:rPr>
          <w:rFonts w:cstheme="minorHAnsi"/>
          <w:i/>
          <w:iCs/>
          <w:sz w:val="24"/>
          <w:szCs w:val="24"/>
        </w:rPr>
        <w:t>Hospitalisation</w:t>
      </w:r>
      <w:proofErr w:type="spellEnd"/>
      <w:r w:rsidRPr="001203EE">
        <w:rPr>
          <w:rFonts w:cstheme="minorHAnsi"/>
          <w:i/>
          <w:iCs/>
          <w:sz w:val="24"/>
          <w:szCs w:val="24"/>
        </w:rPr>
        <w:t xml:space="preserve"> Risk </w:t>
      </w:r>
      <w:proofErr w:type="spellStart"/>
      <w:r w:rsidRPr="001203EE">
        <w:rPr>
          <w:rFonts w:cstheme="minorHAnsi"/>
          <w:i/>
          <w:iCs/>
          <w:sz w:val="24"/>
          <w:szCs w:val="24"/>
        </w:rPr>
        <w:t>for</w:t>
      </w:r>
      <w:proofErr w:type="spellEnd"/>
      <w:r w:rsidRPr="001203EE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i/>
          <w:iCs/>
          <w:sz w:val="24"/>
          <w:szCs w:val="24"/>
        </w:rPr>
        <w:t>Omicron</w:t>
      </w:r>
      <w:proofErr w:type="spellEnd"/>
      <w:r w:rsidRPr="001203EE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i/>
          <w:iCs/>
          <w:sz w:val="24"/>
          <w:szCs w:val="24"/>
        </w:rPr>
        <w:t>Cases</w:t>
      </w:r>
      <w:proofErr w:type="spellEnd"/>
      <w:r w:rsidRPr="001203EE">
        <w:rPr>
          <w:rFonts w:cstheme="minorHAnsi"/>
          <w:i/>
          <w:iCs/>
          <w:sz w:val="24"/>
          <w:szCs w:val="24"/>
        </w:rPr>
        <w:t xml:space="preserve"> in </w:t>
      </w:r>
      <w:proofErr w:type="spellStart"/>
      <w:r w:rsidRPr="001203EE">
        <w:rPr>
          <w:rFonts w:cstheme="minorHAnsi"/>
          <w:i/>
          <w:iCs/>
          <w:sz w:val="24"/>
          <w:szCs w:val="24"/>
        </w:rPr>
        <w:t>England</w:t>
      </w:r>
      <w:proofErr w:type="spellEnd"/>
      <w:r w:rsidRPr="001203EE">
        <w:rPr>
          <w:rFonts w:cstheme="minorHAnsi"/>
          <w:sz w:val="24"/>
          <w:szCs w:val="24"/>
        </w:rPr>
        <w:t xml:space="preserve">. Imperial </w:t>
      </w:r>
      <w:proofErr w:type="spellStart"/>
      <w:r w:rsidRPr="001203EE">
        <w:rPr>
          <w:rFonts w:cstheme="minorHAnsi"/>
          <w:sz w:val="24"/>
          <w:szCs w:val="24"/>
        </w:rPr>
        <w:t>College</w:t>
      </w:r>
      <w:proofErr w:type="spellEnd"/>
      <w:r w:rsidRPr="001203EE">
        <w:rPr>
          <w:rFonts w:cstheme="minorHAnsi"/>
          <w:sz w:val="24"/>
          <w:szCs w:val="24"/>
        </w:rPr>
        <w:t xml:space="preserve"> London; 2021. </w:t>
      </w:r>
      <w:proofErr w:type="spellStart"/>
      <w:r w:rsidRPr="001203EE">
        <w:rPr>
          <w:rFonts w:cstheme="minorHAnsi"/>
          <w:sz w:val="24"/>
          <w:szCs w:val="24"/>
        </w:rPr>
        <w:t>Accessed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December</w:t>
      </w:r>
      <w:proofErr w:type="spellEnd"/>
      <w:r w:rsidRPr="001203EE">
        <w:rPr>
          <w:rFonts w:cstheme="minorHAnsi"/>
          <w:sz w:val="24"/>
          <w:szCs w:val="24"/>
        </w:rPr>
        <w:t xml:space="preserve"> 23, 2021. </w:t>
      </w:r>
      <w:hyperlink r:id="rId11" w:history="1">
        <w:r w:rsidRPr="001203EE">
          <w:rPr>
            <w:rStyle w:val="Hypertextovodkaz"/>
            <w:rFonts w:cstheme="minorHAnsi"/>
            <w:sz w:val="24"/>
            <w:szCs w:val="24"/>
          </w:rPr>
          <w:t>https://www.imperial.ac.uk/media/imperial-college/medicine/mrc-gida/2021-12-22-COVID19-Report-50.pdf</w:t>
        </w:r>
      </w:hyperlink>
    </w:p>
    <w:p w14:paraId="5DC72CC0" w14:textId="77777777" w:rsidR="00F40F22" w:rsidRPr="001203EE" w:rsidRDefault="00F40F22" w:rsidP="00EC5687">
      <w:pPr>
        <w:spacing w:line="276" w:lineRule="auto"/>
        <w:rPr>
          <w:rFonts w:cstheme="minorHAnsi"/>
          <w:sz w:val="24"/>
          <w:szCs w:val="24"/>
        </w:rPr>
      </w:pPr>
    </w:p>
    <w:p w14:paraId="462ED481" w14:textId="6B5714CF" w:rsidR="004028DF" w:rsidRPr="001203EE" w:rsidRDefault="004028DF" w:rsidP="00EC5687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1203EE">
        <w:rPr>
          <w:rFonts w:cstheme="minorHAnsi"/>
          <w:sz w:val="24"/>
          <w:szCs w:val="24"/>
        </w:rPr>
        <w:lastRenderedPageBreak/>
        <w:t>Horby</w:t>
      </w:r>
      <w:proofErr w:type="spellEnd"/>
      <w:r w:rsidRPr="001203EE">
        <w:rPr>
          <w:rFonts w:cstheme="minorHAnsi"/>
          <w:sz w:val="24"/>
          <w:szCs w:val="24"/>
        </w:rPr>
        <w:t xml:space="preserve"> P</w:t>
      </w:r>
      <w:r w:rsidR="00EC5687">
        <w:rPr>
          <w:rFonts w:cstheme="minorHAnsi"/>
          <w:sz w:val="24"/>
          <w:szCs w:val="24"/>
        </w:rPr>
        <w:t>.</w:t>
      </w:r>
      <w:r w:rsidRPr="001203EE">
        <w:rPr>
          <w:rFonts w:cstheme="minorHAnsi"/>
          <w:sz w:val="24"/>
          <w:szCs w:val="24"/>
        </w:rPr>
        <w:t xml:space="preserve">, </w:t>
      </w:r>
      <w:proofErr w:type="spellStart"/>
      <w:r w:rsidRPr="001203EE">
        <w:rPr>
          <w:rFonts w:cstheme="minorHAnsi"/>
          <w:sz w:val="24"/>
          <w:szCs w:val="24"/>
        </w:rPr>
        <w:t>Huntley</w:t>
      </w:r>
      <w:proofErr w:type="spellEnd"/>
      <w:r w:rsidRPr="001203EE">
        <w:rPr>
          <w:rFonts w:cstheme="minorHAnsi"/>
          <w:sz w:val="24"/>
          <w:szCs w:val="24"/>
        </w:rPr>
        <w:t xml:space="preserve"> C</w:t>
      </w:r>
      <w:r w:rsidR="00EC5687">
        <w:rPr>
          <w:rFonts w:cstheme="minorHAnsi"/>
          <w:sz w:val="24"/>
          <w:szCs w:val="24"/>
        </w:rPr>
        <w:t>.</w:t>
      </w:r>
      <w:r w:rsidRPr="001203EE">
        <w:rPr>
          <w:rFonts w:cstheme="minorHAnsi"/>
          <w:sz w:val="24"/>
          <w:szCs w:val="24"/>
        </w:rPr>
        <w:t xml:space="preserve">, </w:t>
      </w:r>
      <w:proofErr w:type="spellStart"/>
      <w:r w:rsidRPr="001203EE">
        <w:rPr>
          <w:rFonts w:cstheme="minorHAnsi"/>
          <w:sz w:val="24"/>
          <w:szCs w:val="24"/>
        </w:rPr>
        <w:t>Davies</w:t>
      </w:r>
      <w:proofErr w:type="spellEnd"/>
      <w:r w:rsidRPr="001203EE">
        <w:rPr>
          <w:rFonts w:cstheme="minorHAnsi"/>
          <w:sz w:val="24"/>
          <w:szCs w:val="24"/>
        </w:rPr>
        <w:t xml:space="preserve"> N</w:t>
      </w:r>
      <w:r w:rsidR="00EC5687">
        <w:rPr>
          <w:rFonts w:cstheme="minorHAnsi"/>
          <w:sz w:val="24"/>
          <w:szCs w:val="24"/>
        </w:rPr>
        <w:t>.</w:t>
      </w:r>
      <w:r w:rsidRPr="001203EE">
        <w:rPr>
          <w:rFonts w:cstheme="minorHAnsi"/>
          <w:sz w:val="24"/>
          <w:szCs w:val="24"/>
        </w:rPr>
        <w:t xml:space="preserve"> et al. </w:t>
      </w:r>
      <w:hyperlink r:id="rId12" w:tgtFrame="new" w:history="1">
        <w:r w:rsidRPr="001203EE">
          <w:rPr>
            <w:rStyle w:val="Hypertextovodkaz"/>
            <w:rFonts w:cstheme="minorHAnsi"/>
            <w:sz w:val="24"/>
            <w:szCs w:val="24"/>
          </w:rPr>
          <w:t xml:space="preserve">NERVTAG </w:t>
        </w:r>
        <w:proofErr w:type="spellStart"/>
        <w:r w:rsidRPr="001203EE">
          <w:rPr>
            <w:rStyle w:val="Hypertextovodkaz"/>
            <w:rFonts w:cstheme="minorHAnsi"/>
            <w:sz w:val="24"/>
            <w:szCs w:val="24"/>
          </w:rPr>
          <w:t>note</w:t>
        </w:r>
        <w:proofErr w:type="spellEnd"/>
        <w:r w:rsidRPr="001203EE">
          <w:rPr>
            <w:rStyle w:val="Hypertextovodkaz"/>
            <w:rFonts w:cstheme="minorHAnsi"/>
            <w:sz w:val="24"/>
            <w:szCs w:val="24"/>
          </w:rPr>
          <w:t xml:space="preserve"> on B.1.1.7 </w:t>
        </w:r>
        <w:proofErr w:type="spellStart"/>
        <w:r w:rsidRPr="001203EE">
          <w:rPr>
            <w:rStyle w:val="Hypertextovodkaz"/>
            <w:rFonts w:cstheme="minorHAnsi"/>
            <w:sz w:val="24"/>
            <w:szCs w:val="24"/>
          </w:rPr>
          <w:t>severity</w:t>
        </w:r>
        <w:proofErr w:type="spellEnd"/>
      </w:hyperlink>
      <w:r w:rsidRPr="001203EE">
        <w:rPr>
          <w:rFonts w:cstheme="minorHAnsi"/>
          <w:sz w:val="24"/>
          <w:szCs w:val="24"/>
        </w:rPr>
        <w:t xml:space="preserve">. SAGE meeting report. </w:t>
      </w:r>
      <w:proofErr w:type="spellStart"/>
      <w:r w:rsidRPr="001203EE">
        <w:rPr>
          <w:rFonts w:cstheme="minorHAnsi"/>
          <w:sz w:val="24"/>
          <w:szCs w:val="24"/>
        </w:rPr>
        <w:t>January</w:t>
      </w:r>
      <w:proofErr w:type="spellEnd"/>
      <w:r w:rsidRPr="001203EE">
        <w:rPr>
          <w:rFonts w:cstheme="minorHAnsi"/>
          <w:sz w:val="24"/>
          <w:szCs w:val="24"/>
        </w:rPr>
        <w:t xml:space="preserve"> 21, 2021.</w:t>
      </w:r>
    </w:p>
    <w:p w14:paraId="2B741698" w14:textId="77777777" w:rsidR="00F40F22" w:rsidRPr="001203EE" w:rsidRDefault="00F40F22" w:rsidP="00EC5687">
      <w:pPr>
        <w:spacing w:line="276" w:lineRule="auto"/>
        <w:rPr>
          <w:rFonts w:cstheme="minorHAnsi"/>
          <w:sz w:val="24"/>
          <w:szCs w:val="24"/>
        </w:rPr>
      </w:pPr>
    </w:p>
    <w:p w14:paraId="19266918" w14:textId="57610838" w:rsidR="00F40F22" w:rsidRDefault="00F40F22" w:rsidP="00EC5687">
      <w:pPr>
        <w:spacing w:line="276" w:lineRule="auto"/>
        <w:rPr>
          <w:rFonts w:cstheme="minorHAnsi"/>
          <w:sz w:val="24"/>
          <w:szCs w:val="24"/>
        </w:rPr>
      </w:pPr>
      <w:r w:rsidRPr="001203EE">
        <w:rPr>
          <w:rFonts w:cstheme="minorHAnsi"/>
          <w:sz w:val="24"/>
          <w:szCs w:val="24"/>
        </w:rPr>
        <w:t>Jarkovský</w:t>
      </w:r>
      <w:r w:rsidR="00EC5687">
        <w:rPr>
          <w:rFonts w:cstheme="minorHAnsi"/>
          <w:sz w:val="24"/>
          <w:szCs w:val="24"/>
        </w:rPr>
        <w:t xml:space="preserve"> J.</w:t>
      </w:r>
      <w:r w:rsidRPr="001203EE">
        <w:rPr>
          <w:rFonts w:cstheme="minorHAnsi"/>
          <w:sz w:val="24"/>
          <w:szCs w:val="24"/>
        </w:rPr>
        <w:t>, Benešová</w:t>
      </w:r>
      <w:r w:rsidR="00EC5687">
        <w:rPr>
          <w:rFonts w:cstheme="minorHAnsi"/>
          <w:sz w:val="24"/>
          <w:szCs w:val="24"/>
        </w:rPr>
        <w:t xml:space="preserve"> K.</w:t>
      </w:r>
      <w:r w:rsidRPr="001203EE">
        <w:rPr>
          <w:rFonts w:cstheme="minorHAnsi"/>
          <w:sz w:val="24"/>
          <w:szCs w:val="24"/>
        </w:rPr>
        <w:t>, Černý</w:t>
      </w:r>
      <w:r w:rsidR="00EC5687">
        <w:rPr>
          <w:rFonts w:cstheme="minorHAnsi"/>
          <w:sz w:val="24"/>
          <w:szCs w:val="24"/>
        </w:rPr>
        <w:t xml:space="preserve"> V.</w:t>
      </w:r>
      <w:r w:rsidRPr="001203EE">
        <w:rPr>
          <w:rFonts w:cstheme="minorHAnsi"/>
          <w:sz w:val="24"/>
          <w:szCs w:val="24"/>
        </w:rPr>
        <w:t xml:space="preserve"> </w:t>
      </w:r>
      <w:r w:rsidR="00EC5687">
        <w:rPr>
          <w:rFonts w:cstheme="minorHAnsi"/>
          <w:sz w:val="24"/>
          <w:szCs w:val="24"/>
          <w:lang w:eastAsia="cs-CZ"/>
        </w:rPr>
        <w:t xml:space="preserve">et al. </w:t>
      </w:r>
      <w:proofErr w:type="spellStart"/>
      <w:r w:rsidRPr="001203EE">
        <w:rPr>
          <w:rFonts w:cstheme="minorHAnsi"/>
          <w:sz w:val="24"/>
          <w:szCs w:val="24"/>
        </w:rPr>
        <w:t>Covidogram</w:t>
      </w:r>
      <w:proofErr w:type="spellEnd"/>
      <w:r w:rsidRPr="001203EE">
        <w:rPr>
          <w:rFonts w:cstheme="minorHAnsi"/>
          <w:sz w:val="24"/>
          <w:szCs w:val="24"/>
        </w:rPr>
        <w:t xml:space="preserve"> as a </w:t>
      </w:r>
      <w:proofErr w:type="spellStart"/>
      <w:r w:rsidRPr="001203EE">
        <w:rPr>
          <w:rFonts w:cstheme="minorHAnsi"/>
          <w:sz w:val="24"/>
          <w:szCs w:val="24"/>
        </w:rPr>
        <w:t>simple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tool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for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predicting</w:t>
      </w:r>
      <w:proofErr w:type="spellEnd"/>
      <w:r w:rsidRPr="001203EE">
        <w:rPr>
          <w:rFonts w:cstheme="minorHAnsi"/>
          <w:sz w:val="24"/>
          <w:szCs w:val="24"/>
        </w:rPr>
        <w:t xml:space="preserve"> severe </w:t>
      </w:r>
      <w:proofErr w:type="spellStart"/>
      <w:r w:rsidRPr="001203EE">
        <w:rPr>
          <w:rFonts w:cstheme="minorHAnsi"/>
          <w:sz w:val="24"/>
          <w:szCs w:val="24"/>
        </w:rPr>
        <w:t>course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of</w:t>
      </w:r>
      <w:proofErr w:type="spellEnd"/>
      <w:r w:rsidRPr="001203EE">
        <w:rPr>
          <w:rFonts w:cstheme="minorHAnsi"/>
          <w:sz w:val="24"/>
          <w:szCs w:val="24"/>
        </w:rPr>
        <w:t xml:space="preserve"> COVID-19: </w:t>
      </w:r>
      <w:proofErr w:type="spellStart"/>
      <w:r w:rsidRPr="001203EE">
        <w:rPr>
          <w:rFonts w:cstheme="minorHAnsi"/>
          <w:sz w:val="24"/>
          <w:szCs w:val="24"/>
        </w:rPr>
        <w:t>population-based</w:t>
      </w:r>
      <w:proofErr w:type="spellEnd"/>
      <w:r w:rsidRPr="001203EE">
        <w:rPr>
          <w:rFonts w:cstheme="minorHAnsi"/>
          <w:sz w:val="24"/>
          <w:szCs w:val="24"/>
        </w:rPr>
        <w:t xml:space="preserve"> study. BMJ Open. London: BMJ </w:t>
      </w:r>
      <w:proofErr w:type="spellStart"/>
      <w:r w:rsidRPr="001203EE">
        <w:rPr>
          <w:rFonts w:cstheme="minorHAnsi"/>
          <w:sz w:val="24"/>
          <w:szCs w:val="24"/>
        </w:rPr>
        <w:t>Publishing</w:t>
      </w:r>
      <w:proofErr w:type="spellEnd"/>
      <w:r w:rsidRPr="001203EE">
        <w:rPr>
          <w:rFonts w:cstheme="minorHAnsi"/>
          <w:sz w:val="24"/>
          <w:szCs w:val="24"/>
        </w:rPr>
        <w:t xml:space="preserve"> Group, 2021, vol. 11, No 2, p. 1-7. ISSN 2044-6055. doi:10.1136/bmjopen-2020-045442.</w:t>
      </w:r>
    </w:p>
    <w:p w14:paraId="408536AB" w14:textId="77777777" w:rsidR="00EC5687" w:rsidRPr="001203EE" w:rsidRDefault="00EC5687" w:rsidP="00EC5687">
      <w:pPr>
        <w:spacing w:line="276" w:lineRule="auto"/>
        <w:rPr>
          <w:rFonts w:cstheme="minorHAnsi"/>
          <w:b/>
          <w:sz w:val="24"/>
          <w:szCs w:val="24"/>
        </w:rPr>
      </w:pPr>
    </w:p>
    <w:p w14:paraId="7F86E50B" w14:textId="518F0E4B" w:rsidR="00F40F22" w:rsidRDefault="00F40F22" w:rsidP="00EC5687">
      <w:pPr>
        <w:spacing w:line="276" w:lineRule="auto"/>
        <w:rPr>
          <w:rFonts w:cstheme="minorHAnsi"/>
          <w:sz w:val="24"/>
          <w:szCs w:val="24"/>
        </w:rPr>
      </w:pPr>
      <w:r w:rsidRPr="001203EE">
        <w:rPr>
          <w:rFonts w:cstheme="minorHAnsi"/>
          <w:sz w:val="24"/>
          <w:szCs w:val="24"/>
        </w:rPr>
        <w:t>Komenda</w:t>
      </w:r>
      <w:r w:rsidR="00EC5687">
        <w:rPr>
          <w:rFonts w:cstheme="minorHAnsi"/>
          <w:sz w:val="24"/>
          <w:szCs w:val="24"/>
        </w:rPr>
        <w:t xml:space="preserve"> M.</w:t>
      </w:r>
      <w:r w:rsidRPr="001203EE">
        <w:rPr>
          <w:rFonts w:cstheme="minorHAnsi"/>
          <w:sz w:val="24"/>
          <w:szCs w:val="24"/>
        </w:rPr>
        <w:t>, Karolyi</w:t>
      </w:r>
      <w:r w:rsidR="00EC5687">
        <w:rPr>
          <w:rFonts w:cstheme="minorHAnsi"/>
          <w:sz w:val="24"/>
          <w:szCs w:val="24"/>
        </w:rPr>
        <w:t xml:space="preserve"> M.</w:t>
      </w:r>
      <w:r w:rsidRPr="001203EE">
        <w:rPr>
          <w:rFonts w:cstheme="minorHAnsi"/>
          <w:sz w:val="24"/>
          <w:szCs w:val="24"/>
        </w:rPr>
        <w:t xml:space="preserve">, </w:t>
      </w:r>
      <w:proofErr w:type="spellStart"/>
      <w:r w:rsidRPr="001203EE">
        <w:rPr>
          <w:rFonts w:cstheme="minorHAnsi"/>
          <w:sz w:val="24"/>
          <w:szCs w:val="24"/>
        </w:rPr>
        <w:t>Bulhart</w:t>
      </w:r>
      <w:proofErr w:type="spellEnd"/>
      <w:r w:rsidR="00EC5687">
        <w:rPr>
          <w:rFonts w:cstheme="minorHAnsi"/>
          <w:sz w:val="24"/>
          <w:szCs w:val="24"/>
        </w:rPr>
        <w:t xml:space="preserve"> V.</w:t>
      </w:r>
      <w:r w:rsidRPr="001203EE">
        <w:rPr>
          <w:rFonts w:cstheme="minorHAnsi"/>
          <w:sz w:val="24"/>
          <w:szCs w:val="24"/>
        </w:rPr>
        <w:t xml:space="preserve"> </w:t>
      </w:r>
      <w:r w:rsidR="00EC5687">
        <w:rPr>
          <w:rFonts w:cstheme="minorHAnsi"/>
          <w:sz w:val="24"/>
          <w:szCs w:val="24"/>
          <w:lang w:eastAsia="cs-CZ"/>
        </w:rPr>
        <w:t xml:space="preserve">et al. </w:t>
      </w:r>
      <w:r w:rsidRPr="001203EE">
        <w:rPr>
          <w:rFonts w:cstheme="minorHAnsi"/>
          <w:sz w:val="24"/>
          <w:szCs w:val="24"/>
        </w:rPr>
        <w:t>COVID</w:t>
      </w:r>
      <w:r w:rsidRPr="001203EE">
        <w:rPr>
          <w:rFonts w:cstheme="minorHAnsi"/>
          <w:sz w:val="24"/>
          <w:szCs w:val="24"/>
        </w:rPr>
        <w:noBreakHyphen/>
        <w:t xml:space="preserve">19: Přehled aktuální situace v ČR. </w:t>
      </w:r>
      <w:r w:rsidRPr="001203EE">
        <w:rPr>
          <w:rFonts w:cstheme="minorHAnsi"/>
          <w:i/>
          <w:iCs/>
          <w:sz w:val="24"/>
          <w:szCs w:val="24"/>
        </w:rPr>
        <w:t>Onemocnění aktuálně</w:t>
      </w:r>
      <w:r w:rsidRPr="001203EE">
        <w:rPr>
          <w:rFonts w:cstheme="minorHAnsi"/>
          <w:sz w:val="24"/>
          <w:szCs w:val="24"/>
        </w:rPr>
        <w:t xml:space="preserve"> [online]. Praha: Ministerstvo zdravotnictví ČR, </w:t>
      </w:r>
      <w:proofErr w:type="gramStart"/>
      <w:r w:rsidRPr="001203EE">
        <w:rPr>
          <w:rFonts w:cstheme="minorHAnsi"/>
          <w:sz w:val="24"/>
          <w:szCs w:val="24"/>
        </w:rPr>
        <w:t>2020a</w:t>
      </w:r>
      <w:proofErr w:type="gramEnd"/>
      <w:r w:rsidRPr="001203EE">
        <w:rPr>
          <w:rFonts w:cstheme="minorHAnsi"/>
          <w:sz w:val="24"/>
          <w:szCs w:val="24"/>
        </w:rPr>
        <w:t xml:space="preserve"> [cit. 15.08.2021]. Dostupné z: </w:t>
      </w:r>
      <w:hyperlink r:id="rId13" w:history="1">
        <w:r w:rsidRPr="001203EE">
          <w:rPr>
            <w:rStyle w:val="Hypertextovodkaz"/>
            <w:rFonts w:cstheme="minorHAnsi"/>
            <w:sz w:val="24"/>
            <w:szCs w:val="24"/>
          </w:rPr>
          <w:t>https://onemocneni-aktualne.mzcr.cz/covid-19</w:t>
        </w:r>
      </w:hyperlink>
      <w:r w:rsidRPr="001203EE">
        <w:rPr>
          <w:rFonts w:cstheme="minorHAnsi"/>
          <w:sz w:val="24"/>
          <w:szCs w:val="24"/>
        </w:rPr>
        <w:t>. Vývoj: společné pracoviště ÚZIS ČR a IBA LF MU. ISSN 2694-9423.</w:t>
      </w:r>
    </w:p>
    <w:p w14:paraId="78243AB8" w14:textId="77777777" w:rsidR="00EC5687" w:rsidRDefault="00EC5687" w:rsidP="00EC5687">
      <w:pPr>
        <w:spacing w:line="276" w:lineRule="auto"/>
        <w:rPr>
          <w:rFonts w:cstheme="minorHAnsi"/>
          <w:sz w:val="24"/>
          <w:szCs w:val="24"/>
        </w:rPr>
      </w:pPr>
    </w:p>
    <w:p w14:paraId="2D1FC735" w14:textId="20ED9F21" w:rsidR="00F40F22" w:rsidRDefault="00F40F22" w:rsidP="00EC5687">
      <w:pPr>
        <w:autoSpaceDE w:val="0"/>
        <w:autoSpaceDN w:val="0"/>
        <w:adjustRightInd w:val="0"/>
        <w:spacing w:line="276" w:lineRule="auto"/>
        <w:rPr>
          <w:rFonts w:cstheme="minorHAnsi"/>
          <w:sz w:val="24"/>
          <w:szCs w:val="24"/>
          <w:lang w:eastAsia="cs-CZ"/>
        </w:rPr>
      </w:pPr>
      <w:r w:rsidRPr="001203EE">
        <w:rPr>
          <w:rFonts w:cstheme="minorHAnsi"/>
          <w:sz w:val="24"/>
          <w:szCs w:val="24"/>
          <w:lang w:eastAsia="cs-CZ"/>
        </w:rPr>
        <w:t>Komenda</w:t>
      </w:r>
      <w:r w:rsidR="00EC5687">
        <w:rPr>
          <w:rFonts w:cstheme="minorHAnsi"/>
          <w:sz w:val="24"/>
          <w:szCs w:val="24"/>
          <w:lang w:eastAsia="cs-CZ"/>
        </w:rPr>
        <w:t xml:space="preserve"> M.</w:t>
      </w:r>
      <w:r w:rsidRPr="001203EE">
        <w:rPr>
          <w:rFonts w:cstheme="minorHAnsi"/>
          <w:sz w:val="24"/>
          <w:szCs w:val="24"/>
          <w:lang w:eastAsia="cs-CZ"/>
        </w:rPr>
        <w:t xml:space="preserve">, </w:t>
      </w:r>
      <w:proofErr w:type="spellStart"/>
      <w:r w:rsidRPr="001203EE">
        <w:rPr>
          <w:rFonts w:cstheme="minorHAnsi"/>
          <w:sz w:val="24"/>
          <w:szCs w:val="24"/>
          <w:lang w:eastAsia="cs-CZ"/>
        </w:rPr>
        <w:t>Bulhart</w:t>
      </w:r>
      <w:proofErr w:type="spellEnd"/>
      <w:r w:rsidR="00EC5687">
        <w:rPr>
          <w:rFonts w:cstheme="minorHAnsi"/>
          <w:sz w:val="24"/>
          <w:szCs w:val="24"/>
          <w:lang w:eastAsia="cs-CZ"/>
        </w:rPr>
        <w:t xml:space="preserve"> V.</w:t>
      </w:r>
      <w:r w:rsidRPr="001203EE">
        <w:rPr>
          <w:rFonts w:cstheme="minorHAnsi"/>
          <w:sz w:val="24"/>
          <w:szCs w:val="24"/>
          <w:lang w:eastAsia="cs-CZ"/>
        </w:rPr>
        <w:t>, Karolyi</w:t>
      </w:r>
      <w:r w:rsidR="00EC5687">
        <w:rPr>
          <w:rFonts w:cstheme="minorHAnsi"/>
          <w:sz w:val="24"/>
          <w:szCs w:val="24"/>
          <w:lang w:eastAsia="cs-CZ"/>
        </w:rPr>
        <w:t xml:space="preserve"> M. et al. </w:t>
      </w:r>
      <w:proofErr w:type="spellStart"/>
      <w:r w:rsidRPr="001203EE">
        <w:rPr>
          <w:rFonts w:cstheme="minorHAnsi"/>
          <w:sz w:val="24"/>
          <w:szCs w:val="24"/>
          <w:lang w:eastAsia="cs-CZ"/>
        </w:rPr>
        <w:t>Complex</w:t>
      </w:r>
      <w:proofErr w:type="spellEnd"/>
      <w:r w:rsidRPr="001203EE">
        <w:rPr>
          <w:rFonts w:cstheme="minorHAnsi"/>
          <w:sz w:val="24"/>
          <w:szCs w:val="24"/>
          <w:lang w:eastAsia="cs-CZ"/>
        </w:rPr>
        <w:t xml:space="preserve"> Reporting </w:t>
      </w:r>
      <w:proofErr w:type="spellStart"/>
      <w:r w:rsidRPr="001203EE">
        <w:rPr>
          <w:rFonts w:cstheme="minorHAnsi"/>
          <w:sz w:val="24"/>
          <w:szCs w:val="24"/>
          <w:lang w:eastAsia="cs-CZ"/>
        </w:rPr>
        <w:t>of</w:t>
      </w:r>
      <w:proofErr w:type="spellEnd"/>
      <w:r w:rsidRPr="001203EE">
        <w:rPr>
          <w:rFonts w:cstheme="minorHAnsi"/>
          <w:sz w:val="24"/>
          <w:szCs w:val="24"/>
          <w:lang w:eastAsia="cs-CZ"/>
        </w:rPr>
        <w:t xml:space="preserve"> </w:t>
      </w:r>
      <w:proofErr w:type="spellStart"/>
      <w:r w:rsidRPr="001203EE">
        <w:rPr>
          <w:rFonts w:cstheme="minorHAnsi"/>
          <w:sz w:val="24"/>
          <w:szCs w:val="24"/>
          <w:lang w:eastAsia="cs-CZ"/>
        </w:rPr>
        <w:t>the</w:t>
      </w:r>
      <w:proofErr w:type="spellEnd"/>
      <w:r w:rsidRPr="001203EE">
        <w:rPr>
          <w:rFonts w:cstheme="minorHAnsi"/>
          <w:sz w:val="24"/>
          <w:szCs w:val="24"/>
          <w:lang w:eastAsia="cs-CZ"/>
        </w:rPr>
        <w:t xml:space="preserve"> COVID-19 </w:t>
      </w:r>
      <w:proofErr w:type="spellStart"/>
      <w:r w:rsidRPr="001203EE">
        <w:rPr>
          <w:rFonts w:cstheme="minorHAnsi"/>
          <w:sz w:val="24"/>
          <w:szCs w:val="24"/>
          <w:lang w:eastAsia="cs-CZ"/>
        </w:rPr>
        <w:t>Epidemic</w:t>
      </w:r>
      <w:proofErr w:type="spellEnd"/>
      <w:r w:rsidRPr="001203EE">
        <w:rPr>
          <w:rFonts w:cstheme="minorHAnsi"/>
          <w:sz w:val="24"/>
          <w:szCs w:val="24"/>
          <w:lang w:eastAsia="cs-CZ"/>
        </w:rPr>
        <w:t xml:space="preserve"> in </w:t>
      </w:r>
      <w:proofErr w:type="spellStart"/>
      <w:r w:rsidRPr="001203EE">
        <w:rPr>
          <w:rFonts w:cstheme="minorHAnsi"/>
          <w:sz w:val="24"/>
          <w:szCs w:val="24"/>
          <w:lang w:eastAsia="cs-CZ"/>
        </w:rPr>
        <w:t>the</w:t>
      </w:r>
      <w:proofErr w:type="spellEnd"/>
      <w:r w:rsidRPr="001203EE">
        <w:rPr>
          <w:rFonts w:cstheme="minorHAnsi"/>
          <w:sz w:val="24"/>
          <w:szCs w:val="24"/>
          <w:lang w:eastAsia="cs-CZ"/>
        </w:rPr>
        <w:t xml:space="preserve"> Czech Republic: Use </w:t>
      </w:r>
      <w:proofErr w:type="spellStart"/>
      <w:r w:rsidRPr="001203EE">
        <w:rPr>
          <w:rFonts w:cstheme="minorHAnsi"/>
          <w:sz w:val="24"/>
          <w:szCs w:val="24"/>
          <w:lang w:eastAsia="cs-CZ"/>
        </w:rPr>
        <w:t>of</w:t>
      </w:r>
      <w:proofErr w:type="spellEnd"/>
      <w:r w:rsidRPr="001203EE">
        <w:rPr>
          <w:rFonts w:cstheme="minorHAnsi"/>
          <w:sz w:val="24"/>
          <w:szCs w:val="24"/>
          <w:lang w:eastAsia="cs-CZ"/>
        </w:rPr>
        <w:t xml:space="preserve"> </w:t>
      </w:r>
      <w:proofErr w:type="spellStart"/>
      <w:r w:rsidRPr="001203EE">
        <w:rPr>
          <w:rFonts w:cstheme="minorHAnsi"/>
          <w:sz w:val="24"/>
          <w:szCs w:val="24"/>
          <w:lang w:eastAsia="cs-CZ"/>
        </w:rPr>
        <w:t>an</w:t>
      </w:r>
      <w:proofErr w:type="spellEnd"/>
      <w:r w:rsidRPr="001203EE">
        <w:rPr>
          <w:rFonts w:cstheme="minorHAnsi"/>
          <w:sz w:val="24"/>
          <w:szCs w:val="24"/>
          <w:lang w:eastAsia="cs-CZ"/>
        </w:rPr>
        <w:t xml:space="preserve"> </w:t>
      </w:r>
      <w:proofErr w:type="spellStart"/>
      <w:r w:rsidRPr="001203EE">
        <w:rPr>
          <w:rFonts w:cstheme="minorHAnsi"/>
          <w:sz w:val="24"/>
          <w:szCs w:val="24"/>
          <w:lang w:eastAsia="cs-CZ"/>
        </w:rPr>
        <w:t>Interactive</w:t>
      </w:r>
      <w:proofErr w:type="spellEnd"/>
      <w:r w:rsidRPr="001203EE">
        <w:rPr>
          <w:rFonts w:cstheme="minorHAnsi"/>
          <w:sz w:val="24"/>
          <w:szCs w:val="24"/>
          <w:lang w:eastAsia="cs-CZ"/>
        </w:rPr>
        <w:t xml:space="preserve"> Web-</w:t>
      </w:r>
      <w:proofErr w:type="spellStart"/>
      <w:r w:rsidRPr="001203EE">
        <w:rPr>
          <w:rFonts w:cstheme="minorHAnsi"/>
          <w:sz w:val="24"/>
          <w:szCs w:val="24"/>
          <w:lang w:eastAsia="cs-CZ"/>
        </w:rPr>
        <w:t>Based</w:t>
      </w:r>
      <w:proofErr w:type="spellEnd"/>
      <w:r w:rsidRPr="001203EE">
        <w:rPr>
          <w:rFonts w:cstheme="minorHAnsi"/>
          <w:sz w:val="24"/>
          <w:szCs w:val="24"/>
          <w:lang w:eastAsia="cs-CZ"/>
        </w:rPr>
        <w:t xml:space="preserve"> </w:t>
      </w:r>
      <w:proofErr w:type="spellStart"/>
      <w:r w:rsidRPr="001203EE">
        <w:rPr>
          <w:rFonts w:cstheme="minorHAnsi"/>
          <w:sz w:val="24"/>
          <w:szCs w:val="24"/>
          <w:lang w:eastAsia="cs-CZ"/>
        </w:rPr>
        <w:t>App</w:t>
      </w:r>
      <w:proofErr w:type="spellEnd"/>
      <w:r w:rsidRPr="001203EE">
        <w:rPr>
          <w:rFonts w:cstheme="minorHAnsi"/>
          <w:sz w:val="24"/>
          <w:szCs w:val="24"/>
          <w:lang w:eastAsia="cs-CZ"/>
        </w:rPr>
        <w:t xml:space="preserve"> in </w:t>
      </w:r>
      <w:proofErr w:type="spellStart"/>
      <w:r w:rsidRPr="001203EE">
        <w:rPr>
          <w:rFonts w:cstheme="minorHAnsi"/>
          <w:sz w:val="24"/>
          <w:szCs w:val="24"/>
          <w:lang w:eastAsia="cs-CZ"/>
        </w:rPr>
        <w:t>Practice</w:t>
      </w:r>
      <w:proofErr w:type="spellEnd"/>
      <w:r w:rsidRPr="001203EE">
        <w:rPr>
          <w:rFonts w:cstheme="minorHAnsi"/>
          <w:sz w:val="24"/>
          <w:szCs w:val="24"/>
          <w:lang w:eastAsia="cs-CZ"/>
        </w:rPr>
        <w:t xml:space="preserve">. J Med Internet Res </w:t>
      </w:r>
      <w:proofErr w:type="gramStart"/>
      <w:r w:rsidRPr="001203EE">
        <w:rPr>
          <w:rFonts w:cstheme="minorHAnsi"/>
          <w:sz w:val="24"/>
          <w:szCs w:val="24"/>
          <w:lang w:eastAsia="cs-CZ"/>
        </w:rPr>
        <w:t>2020b</w:t>
      </w:r>
      <w:proofErr w:type="gramEnd"/>
      <w:r w:rsidRPr="001203EE">
        <w:rPr>
          <w:rFonts w:cstheme="minorHAnsi"/>
          <w:sz w:val="24"/>
          <w:szCs w:val="24"/>
          <w:lang w:eastAsia="cs-CZ"/>
        </w:rPr>
        <w:t xml:space="preserve">, vol. 22, </w:t>
      </w:r>
      <w:proofErr w:type="spellStart"/>
      <w:r w:rsidRPr="001203EE">
        <w:rPr>
          <w:rFonts w:cstheme="minorHAnsi"/>
          <w:sz w:val="24"/>
          <w:szCs w:val="24"/>
          <w:lang w:eastAsia="cs-CZ"/>
        </w:rPr>
        <w:t>iss</w:t>
      </w:r>
      <w:proofErr w:type="spellEnd"/>
      <w:r w:rsidRPr="001203EE">
        <w:rPr>
          <w:rFonts w:cstheme="minorHAnsi"/>
          <w:sz w:val="24"/>
          <w:szCs w:val="24"/>
          <w:lang w:eastAsia="cs-CZ"/>
        </w:rPr>
        <w:t xml:space="preserve">. 5, e19367, p. 1. </w:t>
      </w:r>
    </w:p>
    <w:p w14:paraId="56FE793F" w14:textId="77777777" w:rsidR="00EC5687" w:rsidRPr="001203EE" w:rsidRDefault="00EC5687" w:rsidP="00EC5687">
      <w:pPr>
        <w:autoSpaceDE w:val="0"/>
        <w:autoSpaceDN w:val="0"/>
        <w:adjustRightInd w:val="0"/>
        <w:spacing w:line="276" w:lineRule="auto"/>
        <w:rPr>
          <w:rFonts w:cstheme="minorHAnsi"/>
          <w:sz w:val="24"/>
          <w:szCs w:val="24"/>
          <w:lang w:eastAsia="cs-CZ"/>
        </w:rPr>
      </w:pPr>
    </w:p>
    <w:p w14:paraId="4FCA5F59" w14:textId="77777777" w:rsidR="00C13A77" w:rsidRPr="001203EE" w:rsidRDefault="00C13A77" w:rsidP="00EC5687">
      <w:pPr>
        <w:pStyle w:val="xmsonormal"/>
        <w:shd w:val="clear" w:color="auto" w:fill="FFFFFF"/>
        <w:spacing w:before="120" w:beforeAutospacing="0" w:after="120" w:afterAutospacing="0" w:line="276" w:lineRule="auto"/>
        <w:rPr>
          <w:rFonts w:asciiTheme="minorHAnsi" w:hAnsiTheme="minorHAnsi" w:cstheme="minorHAnsi"/>
          <w:color w:val="201F1E"/>
        </w:rPr>
      </w:pPr>
      <w:r w:rsidRPr="001203EE">
        <w:rPr>
          <w:rFonts w:asciiTheme="minorHAnsi" w:hAnsiTheme="minorHAnsi" w:cstheme="minorHAnsi"/>
          <w:color w:val="201F1E"/>
        </w:rPr>
        <w:t>Komenda M., Jarkovský J., Klimeš D., et al. </w:t>
      </w:r>
      <w:proofErr w:type="spellStart"/>
      <w:r w:rsidR="00B04174">
        <w:fldChar w:fldCharType="begin"/>
      </w:r>
      <w:r w:rsidR="00B04174">
        <w:instrText xml:space="preserve"> HYPERLINK "https://doi.org/10.1371/journal.pone.0267397" \t "_blank" </w:instrText>
      </w:r>
      <w:r w:rsidR="00B04174">
        <w:fldChar w:fldCharType="separate"/>
      </w:r>
      <w:r w:rsidRPr="001203EE">
        <w:rPr>
          <w:rStyle w:val="Hypertextovodkaz"/>
          <w:rFonts w:asciiTheme="minorHAnsi" w:hAnsiTheme="minorHAnsi" w:cstheme="minorHAnsi"/>
          <w:color w:val="0563C1"/>
          <w:bdr w:val="none" w:sz="0" w:space="0" w:color="auto" w:frame="1"/>
        </w:rPr>
        <w:t>Sharing</w:t>
      </w:r>
      <w:proofErr w:type="spellEnd"/>
      <w:r w:rsidRPr="001203EE">
        <w:rPr>
          <w:rStyle w:val="Hypertextovodkaz"/>
          <w:rFonts w:asciiTheme="minorHAnsi" w:hAnsiTheme="minorHAnsi" w:cstheme="minorHAnsi"/>
          <w:color w:val="0563C1"/>
          <w:bdr w:val="none" w:sz="0" w:space="0" w:color="auto" w:frame="1"/>
        </w:rPr>
        <w:t xml:space="preserve"> </w:t>
      </w:r>
      <w:proofErr w:type="spellStart"/>
      <w:r w:rsidRPr="001203EE">
        <w:rPr>
          <w:rStyle w:val="Hypertextovodkaz"/>
          <w:rFonts w:asciiTheme="minorHAnsi" w:hAnsiTheme="minorHAnsi" w:cstheme="minorHAnsi"/>
          <w:color w:val="0563C1"/>
          <w:bdr w:val="none" w:sz="0" w:space="0" w:color="auto" w:frame="1"/>
        </w:rPr>
        <w:t>datasets</w:t>
      </w:r>
      <w:proofErr w:type="spellEnd"/>
      <w:r w:rsidRPr="001203EE">
        <w:rPr>
          <w:rStyle w:val="Hypertextovodkaz"/>
          <w:rFonts w:asciiTheme="minorHAnsi" w:hAnsiTheme="minorHAnsi" w:cstheme="minorHAnsi"/>
          <w:color w:val="0563C1"/>
          <w:bdr w:val="none" w:sz="0" w:space="0" w:color="auto" w:frame="1"/>
        </w:rPr>
        <w:t xml:space="preserve"> </w:t>
      </w:r>
      <w:proofErr w:type="spellStart"/>
      <w:r w:rsidRPr="001203EE">
        <w:rPr>
          <w:rStyle w:val="Hypertextovodkaz"/>
          <w:rFonts w:asciiTheme="minorHAnsi" w:hAnsiTheme="minorHAnsi" w:cstheme="minorHAnsi"/>
          <w:color w:val="0563C1"/>
          <w:bdr w:val="none" w:sz="0" w:space="0" w:color="auto" w:frame="1"/>
        </w:rPr>
        <w:t>of</w:t>
      </w:r>
      <w:proofErr w:type="spellEnd"/>
      <w:r w:rsidRPr="001203EE">
        <w:rPr>
          <w:rStyle w:val="Hypertextovodkaz"/>
          <w:rFonts w:asciiTheme="minorHAnsi" w:hAnsiTheme="minorHAnsi" w:cstheme="minorHAnsi"/>
          <w:color w:val="0563C1"/>
          <w:bdr w:val="none" w:sz="0" w:space="0" w:color="auto" w:frame="1"/>
        </w:rPr>
        <w:t xml:space="preserve"> </w:t>
      </w:r>
      <w:proofErr w:type="spellStart"/>
      <w:r w:rsidRPr="001203EE">
        <w:rPr>
          <w:rStyle w:val="Hypertextovodkaz"/>
          <w:rFonts w:asciiTheme="minorHAnsi" w:hAnsiTheme="minorHAnsi" w:cstheme="minorHAnsi"/>
          <w:color w:val="0563C1"/>
          <w:bdr w:val="none" w:sz="0" w:space="0" w:color="auto" w:frame="1"/>
        </w:rPr>
        <w:t>the</w:t>
      </w:r>
      <w:proofErr w:type="spellEnd"/>
      <w:r w:rsidRPr="001203EE">
        <w:rPr>
          <w:rStyle w:val="Hypertextovodkaz"/>
          <w:rFonts w:asciiTheme="minorHAnsi" w:hAnsiTheme="minorHAnsi" w:cstheme="minorHAnsi"/>
          <w:color w:val="0563C1"/>
          <w:bdr w:val="none" w:sz="0" w:space="0" w:color="auto" w:frame="1"/>
        </w:rPr>
        <w:t xml:space="preserve"> COVID-19 </w:t>
      </w:r>
      <w:proofErr w:type="spellStart"/>
      <w:r w:rsidRPr="001203EE">
        <w:rPr>
          <w:rStyle w:val="Hypertextovodkaz"/>
          <w:rFonts w:asciiTheme="minorHAnsi" w:hAnsiTheme="minorHAnsi" w:cstheme="minorHAnsi"/>
          <w:color w:val="0563C1"/>
          <w:bdr w:val="none" w:sz="0" w:space="0" w:color="auto" w:frame="1"/>
        </w:rPr>
        <w:t>epidemic</w:t>
      </w:r>
      <w:proofErr w:type="spellEnd"/>
      <w:r w:rsidRPr="001203EE">
        <w:rPr>
          <w:rStyle w:val="Hypertextovodkaz"/>
          <w:rFonts w:asciiTheme="minorHAnsi" w:hAnsiTheme="minorHAnsi" w:cstheme="minorHAnsi"/>
          <w:color w:val="0563C1"/>
          <w:bdr w:val="none" w:sz="0" w:space="0" w:color="auto" w:frame="1"/>
        </w:rPr>
        <w:t xml:space="preserve"> in </w:t>
      </w:r>
      <w:proofErr w:type="spellStart"/>
      <w:r w:rsidRPr="001203EE">
        <w:rPr>
          <w:rStyle w:val="Hypertextovodkaz"/>
          <w:rFonts w:asciiTheme="minorHAnsi" w:hAnsiTheme="minorHAnsi" w:cstheme="minorHAnsi"/>
          <w:color w:val="0563C1"/>
          <w:bdr w:val="none" w:sz="0" w:space="0" w:color="auto" w:frame="1"/>
        </w:rPr>
        <w:t>the</w:t>
      </w:r>
      <w:proofErr w:type="spellEnd"/>
      <w:r w:rsidRPr="001203EE">
        <w:rPr>
          <w:rStyle w:val="Hypertextovodkaz"/>
          <w:rFonts w:asciiTheme="minorHAnsi" w:hAnsiTheme="minorHAnsi" w:cstheme="minorHAnsi"/>
          <w:color w:val="0563C1"/>
          <w:bdr w:val="none" w:sz="0" w:space="0" w:color="auto" w:frame="1"/>
        </w:rPr>
        <w:t xml:space="preserve"> Czech Republic</w:t>
      </w:r>
      <w:r w:rsidR="00B04174">
        <w:rPr>
          <w:rStyle w:val="Hypertextovodkaz"/>
          <w:rFonts w:asciiTheme="minorHAnsi" w:hAnsiTheme="minorHAnsi" w:cstheme="minorHAnsi"/>
          <w:color w:val="0563C1"/>
          <w:bdr w:val="none" w:sz="0" w:space="0" w:color="auto" w:frame="1"/>
        </w:rPr>
        <w:fldChar w:fldCharType="end"/>
      </w:r>
      <w:r w:rsidRPr="001203EE">
        <w:rPr>
          <w:rFonts w:asciiTheme="minorHAnsi" w:hAnsiTheme="minorHAnsi" w:cstheme="minorHAnsi"/>
          <w:color w:val="201F1E"/>
        </w:rPr>
        <w:t>. PLOS ONE 2022;17(4</w:t>
      </w:r>
      <w:proofErr w:type="gramStart"/>
      <w:r w:rsidRPr="001203EE">
        <w:rPr>
          <w:rFonts w:asciiTheme="minorHAnsi" w:hAnsiTheme="minorHAnsi" w:cstheme="minorHAnsi"/>
          <w:color w:val="201F1E"/>
        </w:rPr>
        <w:t>):e</w:t>
      </w:r>
      <w:proofErr w:type="gramEnd"/>
      <w:r w:rsidRPr="001203EE">
        <w:rPr>
          <w:rFonts w:asciiTheme="minorHAnsi" w:hAnsiTheme="minorHAnsi" w:cstheme="minorHAnsi"/>
          <w:color w:val="201F1E"/>
        </w:rPr>
        <w:t>0267397.  </w:t>
      </w:r>
    </w:p>
    <w:p w14:paraId="21B8CBC0" w14:textId="225387A8" w:rsidR="00C13A77" w:rsidRPr="001203EE" w:rsidRDefault="00B04174" w:rsidP="00EC5687">
      <w:pPr>
        <w:pStyle w:val="xmsonormal"/>
        <w:shd w:val="clear" w:color="auto" w:fill="FFFFFF"/>
        <w:spacing w:before="120" w:beforeAutospacing="0" w:after="120" w:afterAutospacing="0" w:line="276" w:lineRule="auto"/>
        <w:rPr>
          <w:rStyle w:val="Hypertextovodkaz"/>
          <w:rFonts w:asciiTheme="minorHAnsi" w:hAnsiTheme="minorHAnsi" w:cstheme="minorHAnsi"/>
          <w:color w:val="0563C1"/>
          <w:bdr w:val="none" w:sz="0" w:space="0" w:color="auto" w:frame="1"/>
        </w:rPr>
      </w:pPr>
      <w:hyperlink r:id="rId14" w:tgtFrame="_blank" w:history="1">
        <w:r w:rsidR="00C13A77" w:rsidRPr="001203EE">
          <w:rPr>
            <w:rStyle w:val="Hypertextovodkaz"/>
            <w:rFonts w:asciiTheme="minorHAnsi" w:hAnsiTheme="minorHAnsi" w:cstheme="minorHAnsi"/>
            <w:color w:val="0563C1"/>
            <w:bdr w:val="none" w:sz="0" w:space="0" w:color="auto" w:frame="1"/>
          </w:rPr>
          <w:t>https://journals.plos.org/plosone/article?id=10.1371/journal.pone.0267397</w:t>
        </w:r>
      </w:hyperlink>
    </w:p>
    <w:p w14:paraId="7987F671" w14:textId="70065904" w:rsidR="003A438E" w:rsidRPr="001203EE" w:rsidRDefault="003A438E" w:rsidP="00EC5687">
      <w:pPr>
        <w:pStyle w:val="xmsonormal"/>
        <w:shd w:val="clear" w:color="auto" w:fill="FFFFFF"/>
        <w:spacing w:before="120" w:beforeAutospacing="0" w:after="120" w:afterAutospacing="0" w:line="276" w:lineRule="auto"/>
        <w:rPr>
          <w:rStyle w:val="Hypertextovodkaz"/>
          <w:rFonts w:asciiTheme="minorHAnsi" w:hAnsiTheme="minorHAnsi" w:cstheme="minorHAnsi"/>
          <w:color w:val="0563C1"/>
          <w:bdr w:val="none" w:sz="0" w:space="0" w:color="auto" w:frame="1"/>
        </w:rPr>
      </w:pPr>
    </w:p>
    <w:p w14:paraId="3E91D3FB" w14:textId="15C28C10" w:rsidR="003A438E" w:rsidRPr="001203EE" w:rsidRDefault="003A438E" w:rsidP="00EC5687">
      <w:pPr>
        <w:pStyle w:val="xmsonormal"/>
        <w:shd w:val="clear" w:color="auto" w:fill="FFFFFF"/>
        <w:spacing w:before="120" w:beforeAutospacing="0" w:after="120" w:afterAutospacing="0" w:line="276" w:lineRule="auto"/>
        <w:rPr>
          <w:rFonts w:asciiTheme="minorHAnsi" w:hAnsiTheme="minorHAnsi" w:cstheme="minorHAnsi"/>
        </w:rPr>
      </w:pPr>
      <w:proofErr w:type="spellStart"/>
      <w:r w:rsidRPr="001203EE">
        <w:rPr>
          <w:rFonts w:asciiTheme="minorHAnsi" w:hAnsiTheme="minorHAnsi" w:cstheme="minorHAnsi"/>
        </w:rPr>
        <w:t>Misra</w:t>
      </w:r>
      <w:proofErr w:type="spellEnd"/>
      <w:r w:rsidRPr="001203EE">
        <w:rPr>
          <w:rFonts w:asciiTheme="minorHAnsi" w:hAnsiTheme="minorHAnsi" w:cstheme="minorHAnsi"/>
        </w:rPr>
        <w:t xml:space="preserve"> A. </w:t>
      </w:r>
      <w:proofErr w:type="spellStart"/>
      <w:r w:rsidRPr="001203EE">
        <w:rPr>
          <w:rFonts w:asciiTheme="minorHAnsi" w:hAnsiTheme="minorHAnsi" w:cstheme="minorHAnsi"/>
        </w:rPr>
        <w:t>Doctors</w:t>
      </w:r>
      <w:proofErr w:type="spellEnd"/>
      <w:r w:rsidRPr="001203EE">
        <w:rPr>
          <w:rFonts w:asciiTheme="minorHAnsi" w:hAnsiTheme="minorHAnsi" w:cstheme="minorHAnsi"/>
        </w:rPr>
        <w:t xml:space="preserve"> and </w:t>
      </w:r>
      <w:proofErr w:type="spellStart"/>
      <w:r w:rsidRPr="001203EE">
        <w:rPr>
          <w:rFonts w:asciiTheme="minorHAnsi" w:hAnsiTheme="minorHAnsi" w:cstheme="minorHAnsi"/>
        </w:rPr>
        <w:t>healthcare</w:t>
      </w:r>
      <w:proofErr w:type="spellEnd"/>
      <w:r w:rsidRPr="001203EE">
        <w:rPr>
          <w:rFonts w:asciiTheme="minorHAnsi" w:hAnsiTheme="minorHAnsi" w:cstheme="minorHAnsi"/>
        </w:rPr>
        <w:t xml:space="preserve"> </w:t>
      </w:r>
      <w:proofErr w:type="spellStart"/>
      <w:r w:rsidRPr="001203EE">
        <w:rPr>
          <w:rFonts w:asciiTheme="minorHAnsi" w:hAnsiTheme="minorHAnsi" w:cstheme="minorHAnsi"/>
        </w:rPr>
        <w:t>workers</w:t>
      </w:r>
      <w:proofErr w:type="spellEnd"/>
      <w:r w:rsidRPr="001203EE">
        <w:rPr>
          <w:rFonts w:asciiTheme="minorHAnsi" w:hAnsiTheme="minorHAnsi" w:cstheme="minorHAnsi"/>
        </w:rPr>
        <w:t xml:space="preserve"> </w:t>
      </w:r>
      <w:proofErr w:type="spellStart"/>
      <w:r w:rsidRPr="001203EE">
        <w:rPr>
          <w:rFonts w:asciiTheme="minorHAnsi" w:hAnsiTheme="minorHAnsi" w:cstheme="minorHAnsi"/>
        </w:rPr>
        <w:t>at</w:t>
      </w:r>
      <w:proofErr w:type="spellEnd"/>
      <w:r w:rsidRPr="001203EE">
        <w:rPr>
          <w:rFonts w:asciiTheme="minorHAnsi" w:hAnsiTheme="minorHAnsi" w:cstheme="minorHAnsi"/>
        </w:rPr>
        <w:t xml:space="preserve"> </w:t>
      </w:r>
      <w:proofErr w:type="spellStart"/>
      <w:r w:rsidRPr="001203EE">
        <w:rPr>
          <w:rFonts w:asciiTheme="minorHAnsi" w:hAnsiTheme="minorHAnsi" w:cstheme="minorHAnsi"/>
        </w:rPr>
        <w:t>frontline</w:t>
      </w:r>
      <w:proofErr w:type="spellEnd"/>
      <w:r w:rsidRPr="001203EE">
        <w:rPr>
          <w:rFonts w:asciiTheme="minorHAnsi" w:hAnsiTheme="minorHAnsi" w:cstheme="minorHAnsi"/>
        </w:rPr>
        <w:t xml:space="preserve"> </w:t>
      </w:r>
      <w:proofErr w:type="spellStart"/>
      <w:r w:rsidRPr="001203EE">
        <w:rPr>
          <w:rFonts w:asciiTheme="minorHAnsi" w:hAnsiTheme="minorHAnsi" w:cstheme="minorHAnsi"/>
        </w:rPr>
        <w:t>of</w:t>
      </w:r>
      <w:proofErr w:type="spellEnd"/>
      <w:r w:rsidRPr="001203EE">
        <w:rPr>
          <w:rFonts w:asciiTheme="minorHAnsi" w:hAnsiTheme="minorHAnsi" w:cstheme="minorHAnsi"/>
        </w:rPr>
        <w:t xml:space="preserve"> COVID 19 </w:t>
      </w:r>
      <w:proofErr w:type="spellStart"/>
      <w:r w:rsidRPr="001203EE">
        <w:rPr>
          <w:rFonts w:asciiTheme="minorHAnsi" w:hAnsiTheme="minorHAnsi" w:cstheme="minorHAnsi"/>
        </w:rPr>
        <w:t>epidemic</w:t>
      </w:r>
      <w:proofErr w:type="spellEnd"/>
      <w:r w:rsidRPr="001203EE">
        <w:rPr>
          <w:rFonts w:asciiTheme="minorHAnsi" w:hAnsiTheme="minorHAnsi" w:cstheme="minorHAnsi"/>
        </w:rPr>
        <w:t xml:space="preserve">: </w:t>
      </w:r>
      <w:proofErr w:type="spellStart"/>
      <w:r w:rsidRPr="001203EE">
        <w:rPr>
          <w:rFonts w:asciiTheme="minorHAnsi" w:hAnsiTheme="minorHAnsi" w:cstheme="minorHAnsi"/>
        </w:rPr>
        <w:t>Admiration</w:t>
      </w:r>
      <w:proofErr w:type="spellEnd"/>
      <w:r w:rsidRPr="001203EE">
        <w:rPr>
          <w:rFonts w:asciiTheme="minorHAnsi" w:hAnsiTheme="minorHAnsi" w:cstheme="minorHAnsi"/>
        </w:rPr>
        <w:t xml:space="preserve">, a pat on </w:t>
      </w:r>
      <w:proofErr w:type="spellStart"/>
      <w:r w:rsidRPr="001203EE">
        <w:rPr>
          <w:rFonts w:asciiTheme="minorHAnsi" w:hAnsiTheme="minorHAnsi" w:cstheme="minorHAnsi"/>
        </w:rPr>
        <w:t>the</w:t>
      </w:r>
      <w:proofErr w:type="spellEnd"/>
      <w:r w:rsidRPr="001203EE">
        <w:rPr>
          <w:rFonts w:asciiTheme="minorHAnsi" w:hAnsiTheme="minorHAnsi" w:cstheme="minorHAnsi"/>
        </w:rPr>
        <w:t xml:space="preserve"> </w:t>
      </w:r>
      <w:proofErr w:type="spellStart"/>
      <w:r w:rsidRPr="001203EE">
        <w:rPr>
          <w:rFonts w:asciiTheme="minorHAnsi" w:hAnsiTheme="minorHAnsi" w:cstheme="minorHAnsi"/>
        </w:rPr>
        <w:t>back</w:t>
      </w:r>
      <w:proofErr w:type="spellEnd"/>
      <w:r w:rsidRPr="001203EE">
        <w:rPr>
          <w:rFonts w:asciiTheme="minorHAnsi" w:hAnsiTheme="minorHAnsi" w:cstheme="minorHAnsi"/>
        </w:rPr>
        <w:t xml:space="preserve">, and </w:t>
      </w:r>
      <w:proofErr w:type="spellStart"/>
      <w:r w:rsidRPr="001203EE">
        <w:rPr>
          <w:rFonts w:asciiTheme="minorHAnsi" w:hAnsiTheme="minorHAnsi" w:cstheme="minorHAnsi"/>
        </w:rPr>
        <w:t>need</w:t>
      </w:r>
      <w:proofErr w:type="spellEnd"/>
      <w:r w:rsidRPr="001203EE">
        <w:rPr>
          <w:rFonts w:asciiTheme="minorHAnsi" w:hAnsiTheme="minorHAnsi" w:cstheme="minorHAnsi"/>
        </w:rPr>
        <w:t xml:space="preserve"> </w:t>
      </w:r>
      <w:proofErr w:type="spellStart"/>
      <w:r w:rsidRPr="001203EE">
        <w:rPr>
          <w:rFonts w:asciiTheme="minorHAnsi" w:hAnsiTheme="minorHAnsi" w:cstheme="minorHAnsi"/>
        </w:rPr>
        <w:t>for</w:t>
      </w:r>
      <w:proofErr w:type="spellEnd"/>
      <w:r w:rsidRPr="001203EE">
        <w:rPr>
          <w:rFonts w:asciiTheme="minorHAnsi" w:hAnsiTheme="minorHAnsi" w:cstheme="minorHAnsi"/>
        </w:rPr>
        <w:t xml:space="preserve"> </w:t>
      </w:r>
      <w:proofErr w:type="spellStart"/>
      <w:r w:rsidRPr="001203EE">
        <w:rPr>
          <w:rFonts w:asciiTheme="minorHAnsi" w:hAnsiTheme="minorHAnsi" w:cstheme="minorHAnsi"/>
        </w:rPr>
        <w:t>extreme</w:t>
      </w:r>
      <w:proofErr w:type="spellEnd"/>
      <w:r w:rsidRPr="001203EE">
        <w:rPr>
          <w:rFonts w:asciiTheme="minorHAnsi" w:hAnsiTheme="minorHAnsi" w:cstheme="minorHAnsi"/>
        </w:rPr>
        <w:t xml:space="preserve"> </w:t>
      </w:r>
      <w:proofErr w:type="spellStart"/>
      <w:r w:rsidRPr="001203EE">
        <w:rPr>
          <w:rFonts w:asciiTheme="minorHAnsi" w:hAnsiTheme="minorHAnsi" w:cstheme="minorHAnsi"/>
        </w:rPr>
        <w:t>caution</w:t>
      </w:r>
      <w:proofErr w:type="spellEnd"/>
      <w:r w:rsidRPr="001203EE">
        <w:rPr>
          <w:rFonts w:asciiTheme="minorHAnsi" w:hAnsiTheme="minorHAnsi" w:cstheme="minorHAnsi"/>
        </w:rPr>
        <w:t xml:space="preserve">. Diabetes </w:t>
      </w:r>
      <w:proofErr w:type="spellStart"/>
      <w:r w:rsidRPr="001203EE">
        <w:rPr>
          <w:rFonts w:asciiTheme="minorHAnsi" w:hAnsiTheme="minorHAnsi" w:cstheme="minorHAnsi"/>
        </w:rPr>
        <w:t>Metab</w:t>
      </w:r>
      <w:proofErr w:type="spellEnd"/>
      <w:r w:rsidRPr="001203EE">
        <w:rPr>
          <w:rFonts w:asciiTheme="minorHAnsi" w:hAnsiTheme="minorHAnsi" w:cstheme="minorHAnsi"/>
        </w:rPr>
        <w:t xml:space="preserve"> </w:t>
      </w:r>
      <w:proofErr w:type="spellStart"/>
      <w:r w:rsidRPr="001203EE">
        <w:rPr>
          <w:rFonts w:asciiTheme="minorHAnsi" w:hAnsiTheme="minorHAnsi" w:cstheme="minorHAnsi"/>
        </w:rPr>
        <w:t>Syndr</w:t>
      </w:r>
      <w:proofErr w:type="spellEnd"/>
      <w:r w:rsidRPr="001203EE">
        <w:rPr>
          <w:rFonts w:asciiTheme="minorHAnsi" w:hAnsiTheme="minorHAnsi" w:cstheme="minorHAnsi"/>
        </w:rPr>
        <w:t xml:space="preserve">. 2020 May-Jun;14(3):255-256. </w:t>
      </w:r>
      <w:proofErr w:type="spellStart"/>
      <w:r w:rsidRPr="001203EE">
        <w:rPr>
          <w:rFonts w:asciiTheme="minorHAnsi" w:hAnsiTheme="minorHAnsi" w:cstheme="minorHAnsi"/>
        </w:rPr>
        <w:t>doi</w:t>
      </w:r>
      <w:proofErr w:type="spellEnd"/>
      <w:r w:rsidRPr="001203EE">
        <w:rPr>
          <w:rFonts w:asciiTheme="minorHAnsi" w:hAnsiTheme="minorHAnsi" w:cstheme="minorHAnsi"/>
        </w:rPr>
        <w:t xml:space="preserve">: 10.1016/j.dsx.2020.03.006. </w:t>
      </w:r>
      <w:proofErr w:type="spellStart"/>
      <w:r w:rsidRPr="001203EE">
        <w:rPr>
          <w:rFonts w:asciiTheme="minorHAnsi" w:hAnsiTheme="minorHAnsi" w:cstheme="minorHAnsi"/>
        </w:rPr>
        <w:t>Epub</w:t>
      </w:r>
      <w:proofErr w:type="spellEnd"/>
      <w:r w:rsidRPr="001203EE">
        <w:rPr>
          <w:rFonts w:asciiTheme="minorHAnsi" w:hAnsiTheme="minorHAnsi" w:cstheme="minorHAnsi"/>
        </w:rPr>
        <w:t xml:space="preserve"> 2020 Mar 22. PMID: 32248083; PMCID: PMC7102612.</w:t>
      </w:r>
    </w:p>
    <w:p w14:paraId="6383F9C8" w14:textId="591261CB" w:rsidR="004038BD" w:rsidRPr="001203EE" w:rsidRDefault="004038BD" w:rsidP="00EC5687">
      <w:pPr>
        <w:pStyle w:val="xmsonormal"/>
        <w:shd w:val="clear" w:color="auto" w:fill="FFFFFF"/>
        <w:spacing w:before="120" w:beforeAutospacing="0" w:after="120" w:afterAutospacing="0" w:line="276" w:lineRule="auto"/>
        <w:rPr>
          <w:rFonts w:asciiTheme="minorHAnsi" w:hAnsiTheme="minorHAnsi" w:cstheme="minorHAnsi"/>
        </w:rPr>
      </w:pPr>
    </w:p>
    <w:p w14:paraId="4943A236" w14:textId="6082F666" w:rsidR="004038BD" w:rsidRDefault="004038BD" w:rsidP="00EC5687">
      <w:pPr>
        <w:spacing w:line="276" w:lineRule="auto"/>
        <w:rPr>
          <w:rFonts w:cstheme="minorHAnsi"/>
          <w:sz w:val="24"/>
          <w:szCs w:val="24"/>
        </w:rPr>
      </w:pPr>
      <w:r w:rsidRPr="001203EE">
        <w:rPr>
          <w:rFonts w:cstheme="minorHAnsi"/>
          <w:sz w:val="24"/>
          <w:szCs w:val="24"/>
        </w:rPr>
        <w:t>Šmíd</w:t>
      </w:r>
      <w:r w:rsidR="00EC5687">
        <w:rPr>
          <w:rFonts w:cstheme="minorHAnsi"/>
          <w:sz w:val="24"/>
          <w:szCs w:val="24"/>
        </w:rPr>
        <w:t xml:space="preserve"> M.</w:t>
      </w:r>
      <w:r w:rsidRPr="001203EE">
        <w:rPr>
          <w:rFonts w:cstheme="minorHAnsi"/>
          <w:sz w:val="24"/>
          <w:szCs w:val="24"/>
        </w:rPr>
        <w:t xml:space="preserve">, </w:t>
      </w:r>
      <w:proofErr w:type="spellStart"/>
      <w:r w:rsidRPr="001203EE">
        <w:rPr>
          <w:rFonts w:cstheme="minorHAnsi"/>
          <w:sz w:val="24"/>
          <w:szCs w:val="24"/>
        </w:rPr>
        <w:t>Berec</w:t>
      </w:r>
      <w:proofErr w:type="spellEnd"/>
      <w:r w:rsidR="00EC5687">
        <w:rPr>
          <w:rFonts w:cstheme="minorHAnsi"/>
          <w:sz w:val="24"/>
          <w:szCs w:val="24"/>
        </w:rPr>
        <w:t xml:space="preserve"> L.</w:t>
      </w:r>
      <w:r w:rsidRPr="001203EE">
        <w:rPr>
          <w:rFonts w:cstheme="minorHAnsi"/>
          <w:sz w:val="24"/>
          <w:szCs w:val="24"/>
        </w:rPr>
        <w:t>, Přibylová</w:t>
      </w:r>
      <w:r w:rsidR="00EC5687">
        <w:rPr>
          <w:rFonts w:cstheme="minorHAnsi"/>
          <w:sz w:val="24"/>
          <w:szCs w:val="24"/>
        </w:rPr>
        <w:t xml:space="preserve"> L.</w:t>
      </w:r>
      <w:r w:rsidR="00711A58">
        <w:rPr>
          <w:rFonts w:cstheme="minorHAnsi"/>
          <w:sz w:val="24"/>
          <w:szCs w:val="24"/>
        </w:rPr>
        <w:t xml:space="preserve">, Majek O., Pavlik T., Jarkovsky J., </w:t>
      </w:r>
      <w:proofErr w:type="spellStart"/>
      <w:r w:rsidR="00711A58">
        <w:rPr>
          <w:rFonts w:cstheme="minorHAnsi"/>
          <w:sz w:val="24"/>
          <w:szCs w:val="24"/>
        </w:rPr>
        <w:t>Weiner</w:t>
      </w:r>
      <w:proofErr w:type="spellEnd"/>
      <w:r w:rsidR="00711A58">
        <w:rPr>
          <w:rFonts w:cstheme="minorHAnsi"/>
          <w:sz w:val="24"/>
          <w:szCs w:val="24"/>
        </w:rPr>
        <w:t xml:space="preserve"> J., </w:t>
      </w:r>
      <w:proofErr w:type="spellStart"/>
      <w:r w:rsidR="00711A58">
        <w:rPr>
          <w:rFonts w:cstheme="minorHAnsi"/>
          <w:sz w:val="24"/>
          <w:szCs w:val="24"/>
        </w:rPr>
        <w:t>Barusova</w:t>
      </w:r>
      <w:proofErr w:type="spellEnd"/>
      <w:r w:rsidR="00711A58">
        <w:rPr>
          <w:rFonts w:cstheme="minorHAnsi"/>
          <w:sz w:val="24"/>
          <w:szCs w:val="24"/>
        </w:rPr>
        <w:t xml:space="preserve"> T., Trnka J. </w:t>
      </w:r>
      <w:r w:rsidRPr="001203EE">
        <w:rPr>
          <w:rFonts w:cstheme="minorHAnsi"/>
          <w:sz w:val="24"/>
          <w:szCs w:val="24"/>
        </w:rPr>
        <w:t xml:space="preserve">(2022) </w:t>
      </w:r>
      <w:proofErr w:type="spellStart"/>
      <w:r w:rsidRPr="001203EE">
        <w:rPr>
          <w:rFonts w:cstheme="minorHAnsi"/>
          <w:sz w:val="24"/>
          <w:szCs w:val="24"/>
        </w:rPr>
        <w:t>Protection</w:t>
      </w:r>
      <w:proofErr w:type="spellEnd"/>
      <w:r w:rsidRPr="001203EE">
        <w:rPr>
          <w:rFonts w:cstheme="minorHAnsi"/>
          <w:sz w:val="24"/>
          <w:szCs w:val="24"/>
        </w:rPr>
        <w:t xml:space="preserve"> by </w:t>
      </w:r>
      <w:proofErr w:type="spellStart"/>
      <w:r w:rsidRPr="001203EE">
        <w:rPr>
          <w:rFonts w:cstheme="minorHAnsi"/>
          <w:sz w:val="24"/>
          <w:szCs w:val="24"/>
        </w:rPr>
        <w:t>vaccines</w:t>
      </w:r>
      <w:proofErr w:type="spellEnd"/>
      <w:r w:rsidRPr="001203EE">
        <w:rPr>
          <w:rFonts w:cstheme="minorHAnsi"/>
          <w:sz w:val="24"/>
          <w:szCs w:val="24"/>
        </w:rPr>
        <w:t xml:space="preserve"> and </w:t>
      </w:r>
      <w:proofErr w:type="spellStart"/>
      <w:r w:rsidRPr="001203EE">
        <w:rPr>
          <w:rFonts w:cstheme="minorHAnsi"/>
          <w:sz w:val="24"/>
          <w:szCs w:val="24"/>
        </w:rPr>
        <w:t>previous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infection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against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the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Omicron</w:t>
      </w:r>
      <w:proofErr w:type="spellEnd"/>
      <w:r w:rsidRPr="001203EE">
        <w:rPr>
          <w:rFonts w:cstheme="minorHAnsi"/>
          <w:sz w:val="24"/>
          <w:szCs w:val="24"/>
        </w:rPr>
        <w:t xml:space="preserve"> variant </w:t>
      </w:r>
      <w:proofErr w:type="spellStart"/>
      <w:r w:rsidRPr="001203EE">
        <w:rPr>
          <w:rFonts w:cstheme="minorHAnsi"/>
          <w:sz w:val="24"/>
          <w:szCs w:val="24"/>
        </w:rPr>
        <w:t>of</w:t>
      </w:r>
      <w:proofErr w:type="spellEnd"/>
      <w:r w:rsidRPr="001203EE">
        <w:rPr>
          <w:rFonts w:cstheme="minorHAnsi"/>
          <w:sz w:val="24"/>
          <w:szCs w:val="24"/>
        </w:rPr>
        <w:t xml:space="preserve"> SARS-CoV-2. </w:t>
      </w:r>
      <w:proofErr w:type="spellStart"/>
      <w:r w:rsidRPr="001203EE">
        <w:rPr>
          <w:rFonts w:cstheme="minorHAnsi"/>
          <w:sz w:val="24"/>
          <w:szCs w:val="24"/>
        </w:rPr>
        <w:t>The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Journal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of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Infectious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Diseases</w:t>
      </w:r>
      <w:proofErr w:type="spellEnd"/>
      <w:r w:rsidRPr="001203EE">
        <w:rPr>
          <w:rFonts w:cstheme="minorHAnsi"/>
          <w:sz w:val="24"/>
          <w:szCs w:val="24"/>
        </w:rPr>
        <w:t xml:space="preserve">, jiac161, </w:t>
      </w:r>
      <w:hyperlink r:id="rId15" w:history="1">
        <w:r w:rsidRPr="001203EE">
          <w:rPr>
            <w:rStyle w:val="Hypertextovodkaz"/>
            <w:rFonts w:cstheme="minorHAnsi"/>
            <w:sz w:val="24"/>
            <w:szCs w:val="24"/>
          </w:rPr>
          <w:t>https://doi.org/10.1093/infdis/jiac161</w:t>
        </w:r>
      </w:hyperlink>
      <w:r w:rsidRPr="001203EE">
        <w:rPr>
          <w:rFonts w:cstheme="minorHAnsi"/>
          <w:sz w:val="24"/>
          <w:szCs w:val="24"/>
        </w:rPr>
        <w:t xml:space="preserve">. </w:t>
      </w:r>
      <w:proofErr w:type="spellStart"/>
      <w:r w:rsidRPr="001203EE">
        <w:rPr>
          <w:rFonts w:cstheme="minorHAnsi"/>
          <w:sz w:val="24"/>
          <w:szCs w:val="24"/>
        </w:rPr>
        <w:t>Published</w:t>
      </w:r>
      <w:proofErr w:type="spellEnd"/>
      <w:r w:rsidRPr="001203EE">
        <w:rPr>
          <w:rFonts w:cstheme="minorHAnsi"/>
          <w:sz w:val="24"/>
          <w:szCs w:val="24"/>
        </w:rPr>
        <w:t xml:space="preserve">: 28 </w:t>
      </w:r>
      <w:proofErr w:type="spellStart"/>
      <w:r w:rsidRPr="001203EE">
        <w:rPr>
          <w:rFonts w:cstheme="minorHAnsi"/>
          <w:sz w:val="24"/>
          <w:szCs w:val="24"/>
        </w:rPr>
        <w:t>April</w:t>
      </w:r>
      <w:proofErr w:type="spellEnd"/>
      <w:r w:rsidRPr="001203EE">
        <w:rPr>
          <w:rFonts w:cstheme="minorHAnsi"/>
          <w:sz w:val="24"/>
          <w:szCs w:val="24"/>
        </w:rPr>
        <w:t xml:space="preserve"> 2022</w:t>
      </w:r>
    </w:p>
    <w:p w14:paraId="381A14D1" w14:textId="77777777" w:rsidR="00EC5687" w:rsidRPr="001203EE" w:rsidRDefault="00EC5687" w:rsidP="00EC5687">
      <w:pPr>
        <w:spacing w:line="276" w:lineRule="auto"/>
        <w:rPr>
          <w:rFonts w:cstheme="minorHAnsi"/>
          <w:sz w:val="24"/>
          <w:szCs w:val="24"/>
        </w:rPr>
      </w:pPr>
    </w:p>
    <w:p w14:paraId="3DBADD32" w14:textId="3A5A79C8" w:rsidR="00CF2968" w:rsidRDefault="00CF2968" w:rsidP="00EC5687">
      <w:pPr>
        <w:spacing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C5687">
        <w:rPr>
          <w:rFonts w:cstheme="minorHAnsi"/>
          <w:color w:val="000000" w:themeColor="text1"/>
          <w:sz w:val="24"/>
          <w:szCs w:val="24"/>
          <w:shd w:val="clear" w:color="auto" w:fill="FFFFFF"/>
        </w:rPr>
        <w:t>T</w:t>
      </w:r>
      <w:r w:rsidR="00EC568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ěšitelová </w:t>
      </w:r>
      <w:r w:rsidRPr="00EC5687">
        <w:rPr>
          <w:rFonts w:cstheme="minorHAnsi"/>
          <w:color w:val="000000" w:themeColor="text1"/>
          <w:sz w:val="24"/>
          <w:szCs w:val="24"/>
          <w:shd w:val="clear" w:color="auto" w:fill="FFFFFF"/>
        </w:rPr>
        <w:t>V</w:t>
      </w:r>
      <w:r w:rsidR="00EC5687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Pr="00EC568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EC5687">
        <w:rPr>
          <w:rFonts w:cstheme="minorHAnsi"/>
          <w:color w:val="000000" w:themeColor="text1"/>
          <w:sz w:val="24"/>
          <w:szCs w:val="24"/>
          <w:shd w:val="clear" w:color="auto" w:fill="FFFFFF"/>
        </w:rPr>
        <w:t>Blaha M.</w:t>
      </w:r>
      <w:r w:rsidRPr="00EC568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EC5687">
        <w:rPr>
          <w:rFonts w:cstheme="minorHAnsi"/>
          <w:color w:val="000000" w:themeColor="text1"/>
          <w:sz w:val="24"/>
          <w:szCs w:val="24"/>
          <w:shd w:val="clear" w:color="auto" w:fill="FFFFFF"/>
        </w:rPr>
        <w:t>Klimeš D.</w:t>
      </w:r>
      <w:r w:rsidR="002D3F0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Dušek L., Policar R. </w:t>
      </w:r>
      <w:r w:rsidRPr="00EC5687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Elektronizace zdravotnictví řečí paragrafů: VERZE 1.1</w:t>
      </w:r>
      <w:r w:rsidRPr="00EC5687">
        <w:rPr>
          <w:rFonts w:cstheme="minorHAnsi"/>
          <w:color w:val="000000" w:themeColor="text1"/>
          <w:sz w:val="24"/>
          <w:szCs w:val="24"/>
          <w:shd w:val="clear" w:color="auto" w:fill="FFFFFF"/>
        </w:rPr>
        <w:t>. Praha: Ústav zdravotnických informací a statistiky ČR, 2021, 345 s. ISBN 978-80-7472-189-2.</w:t>
      </w:r>
    </w:p>
    <w:p w14:paraId="412ECB60" w14:textId="77777777" w:rsidR="00EC5687" w:rsidRPr="00EC5687" w:rsidRDefault="00EC5687" w:rsidP="00EC5687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10003BA6" w14:textId="3B3D041B" w:rsidR="004028DF" w:rsidRDefault="004028DF" w:rsidP="00EC5687">
      <w:pPr>
        <w:spacing w:line="276" w:lineRule="auto"/>
        <w:rPr>
          <w:rStyle w:val="Hypertextovodkaz"/>
          <w:rFonts w:cstheme="minorHAnsi"/>
          <w:sz w:val="24"/>
          <w:szCs w:val="24"/>
        </w:rPr>
      </w:pPr>
      <w:proofErr w:type="spellStart"/>
      <w:r w:rsidRPr="001203EE">
        <w:rPr>
          <w:rFonts w:cstheme="minorHAnsi"/>
          <w:sz w:val="24"/>
          <w:szCs w:val="24"/>
        </w:rPr>
        <w:lastRenderedPageBreak/>
        <w:t>Volz</w:t>
      </w:r>
      <w:proofErr w:type="spellEnd"/>
      <w:r w:rsidR="00EC5687">
        <w:rPr>
          <w:rFonts w:cstheme="minorHAnsi"/>
          <w:sz w:val="24"/>
          <w:szCs w:val="24"/>
        </w:rPr>
        <w:t xml:space="preserve"> E.</w:t>
      </w:r>
      <w:r w:rsidRPr="001203EE">
        <w:rPr>
          <w:rFonts w:cstheme="minorHAnsi"/>
          <w:sz w:val="24"/>
          <w:szCs w:val="24"/>
        </w:rPr>
        <w:t xml:space="preserve">, </w:t>
      </w:r>
      <w:proofErr w:type="spellStart"/>
      <w:r w:rsidRPr="001203EE">
        <w:rPr>
          <w:rFonts w:cstheme="minorHAnsi"/>
          <w:sz w:val="24"/>
          <w:szCs w:val="24"/>
        </w:rPr>
        <w:t>Mishra</w:t>
      </w:r>
      <w:proofErr w:type="spellEnd"/>
      <w:r w:rsidR="00EC5687">
        <w:rPr>
          <w:rFonts w:cstheme="minorHAnsi"/>
          <w:sz w:val="24"/>
          <w:szCs w:val="24"/>
        </w:rPr>
        <w:t xml:space="preserve"> S.</w:t>
      </w:r>
      <w:r w:rsidRPr="001203EE">
        <w:rPr>
          <w:rFonts w:cstheme="minorHAnsi"/>
          <w:sz w:val="24"/>
          <w:szCs w:val="24"/>
        </w:rPr>
        <w:t xml:space="preserve">, </w:t>
      </w:r>
      <w:proofErr w:type="spellStart"/>
      <w:r w:rsidRPr="001203EE">
        <w:rPr>
          <w:rFonts w:cstheme="minorHAnsi"/>
          <w:sz w:val="24"/>
          <w:szCs w:val="24"/>
        </w:rPr>
        <w:t>Chand</w:t>
      </w:r>
      <w:proofErr w:type="spellEnd"/>
      <w:r w:rsidR="00EC5687">
        <w:rPr>
          <w:rFonts w:cstheme="minorHAnsi"/>
          <w:sz w:val="24"/>
          <w:szCs w:val="24"/>
        </w:rPr>
        <w:t xml:space="preserve"> M. </w:t>
      </w:r>
      <w:r w:rsidR="00EC5687">
        <w:rPr>
          <w:rFonts w:cstheme="minorHAnsi"/>
          <w:sz w:val="24"/>
          <w:szCs w:val="24"/>
          <w:lang w:eastAsia="cs-CZ"/>
        </w:rPr>
        <w:t>et al</w:t>
      </w:r>
      <w:r w:rsidR="00EC5687" w:rsidRPr="00EC5687">
        <w:rPr>
          <w:rFonts w:cstheme="minorHAnsi"/>
          <w:b/>
          <w:bCs/>
          <w:sz w:val="24"/>
          <w:szCs w:val="24"/>
          <w:lang w:eastAsia="cs-CZ"/>
        </w:rPr>
        <w:t>.</w:t>
      </w:r>
      <w:r w:rsidRPr="00EC5687">
        <w:rPr>
          <w:rStyle w:val="Zdraznn"/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C5687">
        <w:rPr>
          <w:rStyle w:val="Siln"/>
          <w:rFonts w:cstheme="minorHAnsi"/>
          <w:b w:val="0"/>
          <w:bCs w:val="0"/>
          <w:sz w:val="24"/>
          <w:szCs w:val="24"/>
        </w:rPr>
        <w:t>Assessing</w:t>
      </w:r>
      <w:proofErr w:type="spellEnd"/>
      <w:r w:rsidRPr="00EC5687">
        <w:rPr>
          <w:rStyle w:val="Siln"/>
          <w:rFonts w:cstheme="minorHAnsi"/>
          <w:b w:val="0"/>
          <w:bCs w:val="0"/>
          <w:sz w:val="24"/>
          <w:szCs w:val="24"/>
        </w:rPr>
        <w:t xml:space="preserve"> </w:t>
      </w:r>
      <w:proofErr w:type="spellStart"/>
      <w:r w:rsidRPr="00EC5687">
        <w:rPr>
          <w:rStyle w:val="Siln"/>
          <w:rFonts w:cstheme="minorHAnsi"/>
          <w:b w:val="0"/>
          <w:bCs w:val="0"/>
          <w:sz w:val="24"/>
          <w:szCs w:val="24"/>
        </w:rPr>
        <w:t>transmissibility</w:t>
      </w:r>
      <w:proofErr w:type="spellEnd"/>
      <w:r w:rsidRPr="00EC5687">
        <w:rPr>
          <w:rStyle w:val="Siln"/>
          <w:rFonts w:cstheme="minorHAnsi"/>
          <w:b w:val="0"/>
          <w:bCs w:val="0"/>
          <w:sz w:val="24"/>
          <w:szCs w:val="24"/>
        </w:rPr>
        <w:t xml:space="preserve"> </w:t>
      </w:r>
      <w:proofErr w:type="spellStart"/>
      <w:r w:rsidRPr="00EC5687">
        <w:rPr>
          <w:rStyle w:val="Siln"/>
          <w:rFonts w:cstheme="minorHAnsi"/>
          <w:b w:val="0"/>
          <w:bCs w:val="0"/>
          <w:sz w:val="24"/>
          <w:szCs w:val="24"/>
        </w:rPr>
        <w:t>of</w:t>
      </w:r>
      <w:proofErr w:type="spellEnd"/>
      <w:r w:rsidRPr="00EC5687">
        <w:rPr>
          <w:rStyle w:val="Siln"/>
          <w:rFonts w:cstheme="minorHAnsi"/>
          <w:b w:val="0"/>
          <w:bCs w:val="0"/>
          <w:sz w:val="24"/>
          <w:szCs w:val="24"/>
        </w:rPr>
        <w:t xml:space="preserve"> SARS-CoV-2 </w:t>
      </w:r>
      <w:proofErr w:type="spellStart"/>
      <w:r w:rsidRPr="00EC5687">
        <w:rPr>
          <w:rStyle w:val="Siln"/>
          <w:rFonts w:cstheme="minorHAnsi"/>
          <w:b w:val="0"/>
          <w:bCs w:val="0"/>
          <w:sz w:val="24"/>
          <w:szCs w:val="24"/>
        </w:rPr>
        <w:t>lineage</w:t>
      </w:r>
      <w:proofErr w:type="spellEnd"/>
      <w:r w:rsidRPr="00EC5687">
        <w:rPr>
          <w:rStyle w:val="Siln"/>
          <w:rFonts w:cstheme="minorHAnsi"/>
          <w:b w:val="0"/>
          <w:bCs w:val="0"/>
          <w:sz w:val="24"/>
          <w:szCs w:val="24"/>
        </w:rPr>
        <w:t xml:space="preserve"> B.1.1.7 in </w:t>
      </w:r>
      <w:proofErr w:type="spellStart"/>
      <w:r w:rsidRPr="00EC5687">
        <w:rPr>
          <w:rStyle w:val="Siln"/>
          <w:rFonts w:cstheme="minorHAnsi"/>
          <w:b w:val="0"/>
          <w:bCs w:val="0"/>
          <w:sz w:val="24"/>
          <w:szCs w:val="24"/>
        </w:rPr>
        <w:t>England</w:t>
      </w:r>
      <w:proofErr w:type="spellEnd"/>
      <w:r w:rsidRPr="00EC5687">
        <w:rPr>
          <w:rStyle w:val="Siln"/>
          <w:rFonts w:cstheme="minorHAnsi"/>
          <w:b w:val="0"/>
          <w:bCs w:val="0"/>
          <w:sz w:val="24"/>
          <w:szCs w:val="24"/>
        </w:rPr>
        <w:t>.</w:t>
      </w:r>
      <w:r w:rsidRPr="001203EE">
        <w:rPr>
          <w:rStyle w:val="Siln"/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Nature</w:t>
      </w:r>
      <w:proofErr w:type="spellEnd"/>
      <w:r w:rsidRPr="001203EE">
        <w:rPr>
          <w:rFonts w:cstheme="minorHAnsi"/>
          <w:sz w:val="24"/>
          <w:szCs w:val="24"/>
        </w:rPr>
        <w:t xml:space="preserve">, 593 (7858) (2021), pp. 266-269, </w:t>
      </w:r>
      <w:hyperlink r:id="rId16" w:tgtFrame="_blank" w:history="1">
        <w:r w:rsidRPr="001203EE">
          <w:rPr>
            <w:rStyle w:val="Hypertextovodkaz"/>
            <w:rFonts w:cstheme="minorHAnsi"/>
            <w:sz w:val="24"/>
            <w:szCs w:val="24"/>
          </w:rPr>
          <w:t>10.1038/s41586-021-</w:t>
        </w:r>
        <w:proofErr w:type="gramStart"/>
        <w:r w:rsidRPr="001203EE">
          <w:rPr>
            <w:rStyle w:val="Hypertextovodkaz"/>
            <w:rFonts w:cstheme="minorHAnsi"/>
            <w:sz w:val="24"/>
            <w:szCs w:val="24"/>
          </w:rPr>
          <w:t>03470-x</w:t>
        </w:r>
        <w:proofErr w:type="gramEnd"/>
      </w:hyperlink>
    </w:p>
    <w:p w14:paraId="2ED35EAB" w14:textId="77777777" w:rsidR="00EC5687" w:rsidRPr="001203EE" w:rsidRDefault="00EC5687" w:rsidP="00EC5687">
      <w:pPr>
        <w:spacing w:line="276" w:lineRule="auto"/>
        <w:rPr>
          <w:rStyle w:val="Hypertextovodkaz"/>
          <w:rFonts w:cstheme="minorHAnsi"/>
          <w:sz w:val="24"/>
          <w:szCs w:val="24"/>
        </w:rPr>
      </w:pPr>
    </w:p>
    <w:p w14:paraId="30657049" w14:textId="340BD63A" w:rsidR="004028DF" w:rsidRDefault="004028DF" w:rsidP="00EC5687">
      <w:pPr>
        <w:spacing w:line="276" w:lineRule="auto"/>
        <w:rPr>
          <w:rStyle w:val="Hypertextovodkaz"/>
          <w:rFonts w:cstheme="minorHAnsi"/>
          <w:sz w:val="24"/>
          <w:szCs w:val="24"/>
        </w:rPr>
      </w:pPr>
      <w:proofErr w:type="spellStart"/>
      <w:r w:rsidRPr="001203EE">
        <w:rPr>
          <w:rFonts w:cstheme="minorHAnsi"/>
          <w:sz w:val="24"/>
          <w:szCs w:val="24"/>
        </w:rPr>
        <w:t>Wang</w:t>
      </w:r>
      <w:proofErr w:type="spellEnd"/>
      <w:r w:rsidRPr="001203EE">
        <w:rPr>
          <w:rFonts w:cstheme="minorHAnsi"/>
          <w:sz w:val="24"/>
          <w:szCs w:val="24"/>
        </w:rPr>
        <w:t xml:space="preserve"> P., Nair M.S., </w:t>
      </w:r>
      <w:proofErr w:type="spellStart"/>
      <w:r w:rsidRPr="001203EE">
        <w:rPr>
          <w:rFonts w:cstheme="minorHAnsi"/>
          <w:sz w:val="24"/>
          <w:szCs w:val="24"/>
        </w:rPr>
        <w:t>Liu</w:t>
      </w:r>
      <w:proofErr w:type="spellEnd"/>
      <w:r w:rsidRPr="001203EE">
        <w:rPr>
          <w:rFonts w:cstheme="minorHAnsi"/>
          <w:sz w:val="24"/>
          <w:szCs w:val="24"/>
        </w:rPr>
        <w:t xml:space="preserve"> L.</w:t>
      </w:r>
      <w:r w:rsidR="00711A58">
        <w:rPr>
          <w:rFonts w:cstheme="minorHAnsi"/>
          <w:sz w:val="24"/>
          <w:szCs w:val="24"/>
        </w:rPr>
        <w:t xml:space="preserve">, </w:t>
      </w:r>
      <w:proofErr w:type="spellStart"/>
      <w:r w:rsidR="00711A58">
        <w:rPr>
          <w:rFonts w:cstheme="minorHAnsi"/>
          <w:sz w:val="24"/>
          <w:szCs w:val="24"/>
        </w:rPr>
        <w:t>Iketani</w:t>
      </w:r>
      <w:proofErr w:type="spellEnd"/>
      <w:r w:rsidR="00711A58">
        <w:rPr>
          <w:rFonts w:cstheme="minorHAnsi"/>
          <w:sz w:val="24"/>
          <w:szCs w:val="24"/>
        </w:rPr>
        <w:t xml:space="preserve"> S., </w:t>
      </w:r>
      <w:proofErr w:type="spellStart"/>
      <w:r w:rsidR="00711A58">
        <w:rPr>
          <w:rFonts w:cstheme="minorHAnsi"/>
          <w:sz w:val="24"/>
          <w:szCs w:val="24"/>
        </w:rPr>
        <w:t>Luo</w:t>
      </w:r>
      <w:proofErr w:type="spellEnd"/>
      <w:r w:rsidR="00711A58">
        <w:rPr>
          <w:rFonts w:cstheme="minorHAnsi"/>
          <w:sz w:val="24"/>
          <w:szCs w:val="24"/>
        </w:rPr>
        <w:t xml:space="preserve"> Y., </w:t>
      </w:r>
      <w:proofErr w:type="spellStart"/>
      <w:r w:rsidR="00711A58">
        <w:rPr>
          <w:rFonts w:cstheme="minorHAnsi"/>
          <w:sz w:val="24"/>
          <w:szCs w:val="24"/>
        </w:rPr>
        <w:t>Guo</w:t>
      </w:r>
      <w:proofErr w:type="spellEnd"/>
      <w:r w:rsidR="00711A58">
        <w:rPr>
          <w:rFonts w:cstheme="minorHAnsi"/>
          <w:sz w:val="24"/>
          <w:szCs w:val="24"/>
        </w:rPr>
        <w:t xml:space="preserve"> Y., </w:t>
      </w:r>
      <w:proofErr w:type="spellStart"/>
      <w:r w:rsidR="00711A58">
        <w:rPr>
          <w:rFonts w:cstheme="minorHAnsi"/>
          <w:sz w:val="24"/>
          <w:szCs w:val="24"/>
        </w:rPr>
        <w:t>Wang</w:t>
      </w:r>
      <w:proofErr w:type="spellEnd"/>
      <w:r w:rsidR="00711A58">
        <w:rPr>
          <w:rFonts w:cstheme="minorHAnsi"/>
          <w:sz w:val="24"/>
          <w:szCs w:val="24"/>
        </w:rPr>
        <w:t xml:space="preserve"> M. </w:t>
      </w:r>
      <w:r w:rsidRPr="001203EE">
        <w:rPr>
          <w:rFonts w:cstheme="minorHAnsi"/>
          <w:i/>
          <w:iCs/>
          <w:sz w:val="24"/>
          <w:szCs w:val="24"/>
        </w:rPr>
        <w:t>et al.</w:t>
      </w:r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Antibody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resistance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of</w:t>
      </w:r>
      <w:proofErr w:type="spellEnd"/>
      <w:r w:rsidRPr="001203EE">
        <w:rPr>
          <w:rFonts w:cstheme="minorHAnsi"/>
          <w:sz w:val="24"/>
          <w:szCs w:val="24"/>
        </w:rPr>
        <w:t xml:space="preserve"> SARS-CoV-2 </w:t>
      </w:r>
      <w:proofErr w:type="spellStart"/>
      <w:r w:rsidRPr="001203EE">
        <w:rPr>
          <w:rFonts w:cstheme="minorHAnsi"/>
          <w:sz w:val="24"/>
          <w:szCs w:val="24"/>
        </w:rPr>
        <w:t>variants</w:t>
      </w:r>
      <w:proofErr w:type="spellEnd"/>
      <w:r w:rsidRPr="001203EE">
        <w:rPr>
          <w:rFonts w:cstheme="minorHAnsi"/>
          <w:sz w:val="24"/>
          <w:szCs w:val="24"/>
        </w:rPr>
        <w:t xml:space="preserve"> B.1.351 and B.1.1.7. </w:t>
      </w:r>
      <w:proofErr w:type="spellStart"/>
      <w:r w:rsidRPr="001203EE">
        <w:rPr>
          <w:rFonts w:cstheme="minorHAnsi"/>
          <w:i/>
          <w:iCs/>
          <w:sz w:val="24"/>
          <w:szCs w:val="24"/>
        </w:rPr>
        <w:t>Nature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r w:rsidRPr="001203EE">
        <w:rPr>
          <w:rFonts w:cstheme="minorHAnsi"/>
          <w:b/>
          <w:bCs/>
          <w:sz w:val="24"/>
          <w:szCs w:val="24"/>
        </w:rPr>
        <w:t xml:space="preserve">593, </w:t>
      </w:r>
      <w:r w:rsidRPr="001203EE">
        <w:rPr>
          <w:rFonts w:cstheme="minorHAnsi"/>
          <w:sz w:val="24"/>
          <w:szCs w:val="24"/>
        </w:rPr>
        <w:t xml:space="preserve">130–135 (2021). </w:t>
      </w:r>
      <w:hyperlink r:id="rId17" w:history="1">
        <w:r w:rsidRPr="001203EE">
          <w:rPr>
            <w:rStyle w:val="Hypertextovodkaz"/>
            <w:rFonts w:cstheme="minorHAnsi"/>
            <w:sz w:val="24"/>
            <w:szCs w:val="24"/>
          </w:rPr>
          <w:t>https://doi.org/10.1038/s41586-021-03398-2</w:t>
        </w:r>
      </w:hyperlink>
    </w:p>
    <w:p w14:paraId="203D34E3" w14:textId="77777777" w:rsidR="00EC5687" w:rsidRPr="001203EE" w:rsidRDefault="00EC5687" w:rsidP="00EC5687">
      <w:pPr>
        <w:spacing w:line="276" w:lineRule="auto"/>
        <w:rPr>
          <w:rStyle w:val="Hypertextovodkaz"/>
          <w:rFonts w:cstheme="minorHAnsi"/>
          <w:sz w:val="24"/>
          <w:szCs w:val="24"/>
        </w:rPr>
      </w:pPr>
    </w:p>
    <w:p w14:paraId="5EF5087D" w14:textId="59472C17" w:rsidR="004028DF" w:rsidRDefault="00B04174" w:rsidP="00EC5687">
      <w:pPr>
        <w:spacing w:line="276" w:lineRule="auto"/>
        <w:rPr>
          <w:rStyle w:val="Hypertextovodkaz"/>
          <w:rFonts w:cstheme="minorHAnsi"/>
          <w:color w:val="000000" w:themeColor="text1"/>
          <w:sz w:val="24"/>
          <w:szCs w:val="24"/>
          <w:u w:val="none"/>
        </w:rPr>
      </w:pPr>
      <w:hyperlink r:id="rId18" w:history="1">
        <w:proofErr w:type="spellStart"/>
        <w:r w:rsidR="004028DF" w:rsidRP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>Wolter</w:t>
        </w:r>
        <w:proofErr w:type="spellEnd"/>
        <w:r w:rsidR="004028DF" w:rsidRP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 xml:space="preserve"> N</w:t>
        </w:r>
        <w:r w:rsid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>.</w:t>
        </w:r>
        <w:r w:rsidR="004028DF" w:rsidRP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 xml:space="preserve">, </w:t>
        </w:r>
        <w:proofErr w:type="spellStart"/>
        <w:r w:rsidR="004028DF" w:rsidRP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>Jassat</w:t>
        </w:r>
        <w:proofErr w:type="spellEnd"/>
        <w:r w:rsidR="004028DF" w:rsidRP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 xml:space="preserve"> W</w:t>
        </w:r>
        <w:r w:rsid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>.</w:t>
        </w:r>
        <w:r w:rsidR="004028DF" w:rsidRP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 xml:space="preserve">, </w:t>
        </w:r>
        <w:proofErr w:type="spellStart"/>
        <w:r w:rsidR="004028DF" w:rsidRP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>Walaza</w:t>
        </w:r>
        <w:proofErr w:type="spellEnd"/>
        <w:r w:rsidR="004028DF" w:rsidRP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 xml:space="preserve"> S</w:t>
        </w:r>
        <w:r w:rsid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>.</w:t>
        </w:r>
        <w:r w:rsidR="0020724F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 xml:space="preserve">, </w:t>
        </w:r>
        <w:proofErr w:type="spellStart"/>
        <w:r w:rsidR="0020724F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>Welch</w:t>
        </w:r>
        <w:proofErr w:type="spellEnd"/>
        <w:r w:rsidR="0020724F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 xml:space="preserve"> R., </w:t>
        </w:r>
        <w:proofErr w:type="spellStart"/>
        <w:r w:rsidR="0020724F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>Moultrie</w:t>
        </w:r>
        <w:proofErr w:type="spellEnd"/>
        <w:r w:rsidR="0020724F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 xml:space="preserve"> H., Groome M. </w:t>
        </w:r>
        <w:r w:rsidR="004028DF" w:rsidRP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 xml:space="preserve"> et al. Early </w:t>
        </w:r>
        <w:proofErr w:type="spellStart"/>
        <w:r w:rsidR="004028DF" w:rsidRP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>assessment</w:t>
        </w:r>
        <w:proofErr w:type="spellEnd"/>
        <w:r w:rsidR="004028DF" w:rsidRP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="004028DF" w:rsidRP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>of</w:t>
        </w:r>
        <w:proofErr w:type="spellEnd"/>
        <w:r w:rsidR="004028DF" w:rsidRP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="004028DF" w:rsidRP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>the</w:t>
        </w:r>
        <w:proofErr w:type="spellEnd"/>
        <w:r w:rsidR="004028DF" w:rsidRP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="004028DF" w:rsidRP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>clinical</w:t>
        </w:r>
        <w:proofErr w:type="spellEnd"/>
        <w:r w:rsidR="004028DF" w:rsidRP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="004028DF" w:rsidRP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>severity</w:t>
        </w:r>
        <w:proofErr w:type="spellEnd"/>
        <w:r w:rsidR="004028DF" w:rsidRP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="004028DF" w:rsidRP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>of</w:t>
        </w:r>
        <w:proofErr w:type="spellEnd"/>
        <w:r w:rsidR="004028DF" w:rsidRP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="004028DF" w:rsidRP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>the</w:t>
        </w:r>
        <w:proofErr w:type="spellEnd"/>
        <w:r w:rsidR="004028DF" w:rsidRP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 xml:space="preserve"> SARS-CoV-2 </w:t>
        </w:r>
        <w:proofErr w:type="spellStart"/>
        <w:r w:rsidR="004028DF" w:rsidRP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>omicron</w:t>
        </w:r>
        <w:proofErr w:type="spellEnd"/>
        <w:r w:rsidR="004028DF" w:rsidRP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 xml:space="preserve"> variant in </w:t>
        </w:r>
        <w:proofErr w:type="spellStart"/>
        <w:r w:rsidR="004028DF" w:rsidRP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>South</w:t>
        </w:r>
        <w:proofErr w:type="spellEnd"/>
        <w:r w:rsidR="004028DF" w:rsidRP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="004028DF" w:rsidRP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>Africa</w:t>
        </w:r>
        <w:proofErr w:type="spellEnd"/>
        <w:r w:rsidR="004028DF" w:rsidRP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 xml:space="preserve">: a data </w:t>
        </w:r>
        <w:proofErr w:type="spellStart"/>
        <w:r w:rsidR="004028DF" w:rsidRP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>linkage</w:t>
        </w:r>
        <w:proofErr w:type="spellEnd"/>
        <w:r w:rsidR="004028DF" w:rsidRPr="00EC5687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 xml:space="preserve"> study. Lancet 2022; 399:437.</w:t>
        </w:r>
      </w:hyperlink>
    </w:p>
    <w:p w14:paraId="37CAA6F2" w14:textId="77777777" w:rsidR="00EC5687" w:rsidRPr="00EC5687" w:rsidRDefault="00EC5687" w:rsidP="00EC5687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62E71318" w14:textId="0CF9FF87" w:rsidR="004038BD" w:rsidRPr="001203EE" w:rsidRDefault="004038BD" w:rsidP="00EC5687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1203EE">
        <w:rPr>
          <w:rFonts w:cstheme="minorHAnsi"/>
          <w:sz w:val="24"/>
          <w:szCs w:val="24"/>
        </w:rPr>
        <w:t>Zahradka</w:t>
      </w:r>
      <w:proofErr w:type="spellEnd"/>
      <w:r w:rsidR="00EC5687">
        <w:rPr>
          <w:rFonts w:cstheme="minorHAnsi"/>
          <w:sz w:val="24"/>
          <w:szCs w:val="24"/>
        </w:rPr>
        <w:t xml:space="preserve"> I.</w:t>
      </w:r>
      <w:r w:rsidRPr="001203EE">
        <w:rPr>
          <w:rFonts w:cstheme="minorHAnsi"/>
          <w:sz w:val="24"/>
          <w:szCs w:val="24"/>
        </w:rPr>
        <w:t>, Petr</w:t>
      </w:r>
      <w:r w:rsidR="00EC5687">
        <w:rPr>
          <w:rFonts w:cstheme="minorHAnsi"/>
          <w:sz w:val="24"/>
          <w:szCs w:val="24"/>
        </w:rPr>
        <w:t xml:space="preserve"> V.</w:t>
      </w:r>
      <w:r w:rsidRPr="001203EE">
        <w:rPr>
          <w:rFonts w:cstheme="minorHAnsi"/>
          <w:sz w:val="24"/>
          <w:szCs w:val="24"/>
        </w:rPr>
        <w:t xml:space="preserve">, </w:t>
      </w:r>
      <w:proofErr w:type="spellStart"/>
      <w:r w:rsidRPr="001203EE">
        <w:rPr>
          <w:rFonts w:cstheme="minorHAnsi"/>
          <w:sz w:val="24"/>
          <w:szCs w:val="24"/>
        </w:rPr>
        <w:t>Modos</w:t>
      </w:r>
      <w:proofErr w:type="spellEnd"/>
      <w:r w:rsidR="00EC5687">
        <w:rPr>
          <w:rFonts w:cstheme="minorHAnsi"/>
          <w:sz w:val="24"/>
          <w:szCs w:val="24"/>
        </w:rPr>
        <w:t xml:space="preserve"> I.</w:t>
      </w:r>
      <w:r w:rsidR="00D15347">
        <w:rPr>
          <w:rFonts w:cstheme="minorHAnsi"/>
          <w:sz w:val="24"/>
          <w:szCs w:val="24"/>
        </w:rPr>
        <w:t xml:space="preserve">, </w:t>
      </w:r>
      <w:proofErr w:type="spellStart"/>
      <w:r w:rsidR="00D15347">
        <w:rPr>
          <w:rFonts w:cstheme="minorHAnsi"/>
          <w:sz w:val="24"/>
          <w:szCs w:val="24"/>
        </w:rPr>
        <w:t>Magicova</w:t>
      </w:r>
      <w:proofErr w:type="spellEnd"/>
      <w:r w:rsidR="00D15347">
        <w:rPr>
          <w:rFonts w:cstheme="minorHAnsi"/>
          <w:sz w:val="24"/>
          <w:szCs w:val="24"/>
        </w:rPr>
        <w:t xml:space="preserve"> M., Dusek L., </w:t>
      </w:r>
      <w:proofErr w:type="spellStart"/>
      <w:r w:rsidR="00D15347">
        <w:rPr>
          <w:rFonts w:cstheme="minorHAnsi"/>
          <w:sz w:val="24"/>
          <w:szCs w:val="24"/>
        </w:rPr>
        <w:t>Viklicky</w:t>
      </w:r>
      <w:proofErr w:type="spellEnd"/>
      <w:r w:rsidR="00D15347">
        <w:rPr>
          <w:rFonts w:cstheme="minorHAnsi"/>
          <w:sz w:val="24"/>
          <w:szCs w:val="24"/>
        </w:rPr>
        <w:t xml:space="preserve"> O. </w:t>
      </w:r>
      <w:r w:rsidRPr="001203EE">
        <w:rPr>
          <w:rFonts w:cstheme="minorHAnsi"/>
          <w:sz w:val="24"/>
          <w:szCs w:val="24"/>
        </w:rPr>
        <w:t xml:space="preserve">(2022) </w:t>
      </w:r>
      <w:proofErr w:type="spellStart"/>
      <w:r w:rsidRPr="001203EE">
        <w:rPr>
          <w:rFonts w:cstheme="minorHAnsi"/>
          <w:sz w:val="24"/>
          <w:szCs w:val="24"/>
        </w:rPr>
        <w:t>Association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between</w:t>
      </w:r>
      <w:proofErr w:type="spellEnd"/>
      <w:r w:rsidRPr="001203EE">
        <w:rPr>
          <w:rFonts w:cstheme="minorHAnsi"/>
          <w:sz w:val="24"/>
          <w:szCs w:val="24"/>
        </w:rPr>
        <w:t xml:space="preserve"> SARS-CoV-2 mRNA </w:t>
      </w:r>
      <w:proofErr w:type="spellStart"/>
      <w:r w:rsidRPr="001203EE">
        <w:rPr>
          <w:rFonts w:cstheme="minorHAnsi"/>
          <w:sz w:val="24"/>
          <w:szCs w:val="24"/>
        </w:rPr>
        <w:t>vaccines</w:t>
      </w:r>
      <w:proofErr w:type="spellEnd"/>
      <w:r w:rsidRPr="001203EE">
        <w:rPr>
          <w:rFonts w:cstheme="minorHAnsi"/>
          <w:sz w:val="24"/>
          <w:szCs w:val="24"/>
        </w:rPr>
        <w:t xml:space="preserve"> and </w:t>
      </w:r>
      <w:proofErr w:type="spellStart"/>
      <w:r w:rsidRPr="001203EE">
        <w:rPr>
          <w:rFonts w:cstheme="minorHAnsi"/>
          <w:sz w:val="24"/>
          <w:szCs w:val="24"/>
        </w:rPr>
        <w:t>lower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infection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rates</w:t>
      </w:r>
      <w:proofErr w:type="spellEnd"/>
      <w:r w:rsidRPr="001203EE">
        <w:rPr>
          <w:rFonts w:cstheme="minorHAnsi"/>
          <w:sz w:val="24"/>
          <w:szCs w:val="24"/>
        </w:rPr>
        <w:t xml:space="preserve"> in </w:t>
      </w:r>
      <w:proofErr w:type="spellStart"/>
      <w:r w:rsidRPr="001203EE">
        <w:rPr>
          <w:rFonts w:cstheme="minorHAnsi"/>
          <w:sz w:val="24"/>
          <w:szCs w:val="24"/>
        </w:rPr>
        <w:t>kidney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transplant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recipients</w:t>
      </w:r>
      <w:proofErr w:type="spellEnd"/>
      <w:r w:rsidRPr="001203EE">
        <w:rPr>
          <w:rFonts w:cstheme="minorHAnsi"/>
          <w:sz w:val="24"/>
          <w:szCs w:val="24"/>
        </w:rPr>
        <w:t xml:space="preserve"> – a registry-</w:t>
      </w:r>
      <w:proofErr w:type="spellStart"/>
      <w:r w:rsidRPr="001203EE">
        <w:rPr>
          <w:rFonts w:cstheme="minorHAnsi"/>
          <w:sz w:val="24"/>
          <w:szCs w:val="24"/>
        </w:rPr>
        <w:t>based</w:t>
      </w:r>
      <w:proofErr w:type="spellEnd"/>
      <w:r w:rsidRPr="001203EE">
        <w:rPr>
          <w:rFonts w:cstheme="minorHAnsi"/>
          <w:sz w:val="24"/>
          <w:szCs w:val="24"/>
        </w:rPr>
        <w:t xml:space="preserve"> report. Ann </w:t>
      </w:r>
      <w:proofErr w:type="spellStart"/>
      <w:r w:rsidRPr="001203EE">
        <w:rPr>
          <w:rFonts w:cstheme="minorHAnsi"/>
          <w:sz w:val="24"/>
          <w:szCs w:val="24"/>
        </w:rPr>
        <w:t>Intern</w:t>
      </w:r>
      <w:proofErr w:type="spellEnd"/>
      <w:r w:rsidRPr="001203EE">
        <w:rPr>
          <w:rFonts w:cstheme="minorHAnsi"/>
          <w:sz w:val="24"/>
          <w:szCs w:val="24"/>
        </w:rPr>
        <w:t xml:space="preserve"> Med, 2022 May 3. </w:t>
      </w:r>
      <w:proofErr w:type="spellStart"/>
      <w:r w:rsidRPr="001203EE">
        <w:rPr>
          <w:rFonts w:cstheme="minorHAnsi"/>
          <w:sz w:val="24"/>
          <w:szCs w:val="24"/>
        </w:rPr>
        <w:t>doi</w:t>
      </w:r>
      <w:proofErr w:type="spellEnd"/>
      <w:r w:rsidRPr="001203EE">
        <w:rPr>
          <w:rFonts w:cstheme="minorHAnsi"/>
          <w:sz w:val="24"/>
          <w:szCs w:val="24"/>
        </w:rPr>
        <w:t xml:space="preserve">: 10.7326/M21-2973. Online </w:t>
      </w:r>
      <w:proofErr w:type="spellStart"/>
      <w:r w:rsidRPr="001203EE">
        <w:rPr>
          <w:rFonts w:cstheme="minorHAnsi"/>
          <w:sz w:val="24"/>
          <w:szCs w:val="24"/>
        </w:rPr>
        <w:t>ahead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of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print</w:t>
      </w:r>
      <w:proofErr w:type="spellEnd"/>
      <w:r w:rsidRPr="001203EE">
        <w:rPr>
          <w:rFonts w:cstheme="minorHAnsi"/>
          <w:sz w:val="24"/>
          <w:szCs w:val="24"/>
        </w:rPr>
        <w:t>.</w:t>
      </w:r>
    </w:p>
    <w:p w14:paraId="08F9F3CF" w14:textId="77777777" w:rsidR="00EC5687" w:rsidRDefault="00EC5687" w:rsidP="004028DF">
      <w:pPr>
        <w:rPr>
          <w:rFonts w:cstheme="minorHAnsi"/>
          <w:sz w:val="24"/>
          <w:szCs w:val="24"/>
        </w:rPr>
      </w:pPr>
    </w:p>
    <w:p w14:paraId="7A8A6083" w14:textId="1A1080DB" w:rsidR="004028DF" w:rsidRPr="001203EE" w:rsidRDefault="004028DF" w:rsidP="004028DF">
      <w:pPr>
        <w:rPr>
          <w:rFonts w:cstheme="minorHAnsi"/>
          <w:sz w:val="24"/>
          <w:szCs w:val="24"/>
        </w:rPr>
      </w:pPr>
      <w:proofErr w:type="spellStart"/>
      <w:r w:rsidRPr="00413562">
        <w:rPr>
          <w:rFonts w:cstheme="minorHAnsi"/>
          <w:color w:val="000000" w:themeColor="text1"/>
          <w:sz w:val="24"/>
          <w:szCs w:val="24"/>
        </w:rPr>
        <w:t>Zhenkui</w:t>
      </w:r>
      <w:proofErr w:type="spellEnd"/>
      <w:r w:rsidRPr="00413562">
        <w:rPr>
          <w:rFonts w:cstheme="minorHAnsi"/>
          <w:color w:val="000000" w:themeColor="text1"/>
          <w:sz w:val="24"/>
          <w:szCs w:val="24"/>
        </w:rPr>
        <w:t xml:space="preserve"> H</w:t>
      </w:r>
      <w:r w:rsidR="00413562" w:rsidRPr="00413562">
        <w:rPr>
          <w:rFonts w:cstheme="minorHAnsi"/>
          <w:color w:val="000000" w:themeColor="text1"/>
          <w:sz w:val="24"/>
          <w:szCs w:val="24"/>
        </w:rPr>
        <w:t>.</w:t>
      </w:r>
      <w:r w:rsidRPr="00413562">
        <w:rPr>
          <w:rFonts w:cstheme="minorHAnsi"/>
          <w:color w:val="000000" w:themeColor="text1"/>
          <w:sz w:val="24"/>
          <w:szCs w:val="24"/>
        </w:rPr>
        <w:t xml:space="preserve">, </w:t>
      </w:r>
      <w:hyperlink r:id="rId19" w:history="1">
        <w:proofErr w:type="spellStart"/>
        <w:r w:rsidRPr="00413562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>Xing</w:t>
        </w:r>
        <w:proofErr w:type="spellEnd"/>
        <w:r w:rsidRPr="00413562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 xml:space="preserve"> H</w:t>
        </w:r>
        <w:r w:rsidR="00413562" w:rsidRPr="00413562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>.</w:t>
        </w:r>
      </w:hyperlink>
      <w:r w:rsidRPr="00413562">
        <w:rPr>
          <w:rFonts w:cstheme="minorHAnsi"/>
          <w:color w:val="000000" w:themeColor="text1"/>
          <w:sz w:val="24"/>
          <w:szCs w:val="24"/>
        </w:rPr>
        <w:t xml:space="preserve">, </w:t>
      </w:r>
      <w:hyperlink r:id="rId20" w:history="1">
        <w:proofErr w:type="spellStart"/>
        <w:r w:rsidRPr="00413562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>Jianguo</w:t>
        </w:r>
        <w:proofErr w:type="spellEnd"/>
        <w:r w:rsidRPr="00413562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 xml:space="preserve"> Z</w:t>
        </w:r>
        <w:r w:rsidR="00413562" w:rsidRPr="00413562">
          <w:rPr>
            <w:rStyle w:val="Hypertextovodkaz"/>
            <w:rFonts w:cstheme="minorHAnsi"/>
            <w:color w:val="000000" w:themeColor="text1"/>
            <w:sz w:val="24"/>
            <w:szCs w:val="24"/>
            <w:u w:val="none"/>
          </w:rPr>
          <w:t>.</w:t>
        </w:r>
      </w:hyperlink>
      <w:r w:rsidR="0020724F">
        <w:rPr>
          <w:rStyle w:val="Hypertextovodkaz"/>
          <w:rFonts w:cstheme="minorHAnsi"/>
          <w:color w:val="000000" w:themeColor="text1"/>
          <w:sz w:val="24"/>
          <w:szCs w:val="24"/>
          <w:u w:val="none"/>
        </w:rPr>
        <w:t xml:space="preserve">, </w:t>
      </w:r>
      <w:proofErr w:type="spellStart"/>
      <w:r w:rsidR="0020724F">
        <w:rPr>
          <w:rStyle w:val="Hypertextovodkaz"/>
          <w:rFonts w:cstheme="minorHAnsi"/>
          <w:color w:val="000000" w:themeColor="text1"/>
          <w:sz w:val="24"/>
          <w:szCs w:val="24"/>
          <w:u w:val="none"/>
        </w:rPr>
        <w:t>Shixiang</w:t>
      </w:r>
      <w:proofErr w:type="spellEnd"/>
      <w:r w:rsidR="0020724F">
        <w:rPr>
          <w:rStyle w:val="Hypertextovodkaz"/>
          <w:rFonts w:cstheme="minorHAnsi"/>
          <w:color w:val="000000" w:themeColor="text1"/>
          <w:sz w:val="24"/>
          <w:szCs w:val="24"/>
          <w:u w:val="none"/>
        </w:rPr>
        <w:t xml:space="preserve"> F., </w:t>
      </w:r>
      <w:proofErr w:type="spellStart"/>
      <w:r w:rsidR="0020724F">
        <w:rPr>
          <w:rStyle w:val="Hypertextovodkaz"/>
          <w:rFonts w:cstheme="minorHAnsi"/>
          <w:color w:val="000000" w:themeColor="text1"/>
          <w:sz w:val="24"/>
          <w:szCs w:val="24"/>
          <w:u w:val="none"/>
        </w:rPr>
        <w:t>Daoyin</w:t>
      </w:r>
      <w:proofErr w:type="spellEnd"/>
      <w:r w:rsidR="0020724F">
        <w:rPr>
          <w:rStyle w:val="Hypertextovodkaz"/>
          <w:rFonts w:cstheme="minorHAnsi"/>
          <w:color w:val="000000" w:themeColor="text1"/>
          <w:sz w:val="24"/>
          <w:szCs w:val="24"/>
          <w:u w:val="none"/>
        </w:rPr>
        <w:t xml:space="preserve"> D., </w:t>
      </w:r>
      <w:proofErr w:type="spellStart"/>
      <w:r w:rsidR="0020724F">
        <w:rPr>
          <w:rStyle w:val="Hypertextovodkaz"/>
          <w:rFonts w:cstheme="minorHAnsi"/>
          <w:color w:val="000000" w:themeColor="text1"/>
          <w:sz w:val="24"/>
          <w:szCs w:val="24"/>
          <w:u w:val="none"/>
        </w:rPr>
        <w:t>Zhimin</w:t>
      </w:r>
      <w:proofErr w:type="spellEnd"/>
      <w:r w:rsidR="0020724F">
        <w:rPr>
          <w:rStyle w:val="Hypertextovodkaz"/>
          <w:rFonts w:cstheme="minorHAnsi"/>
          <w:color w:val="000000" w:themeColor="text1"/>
          <w:sz w:val="24"/>
          <w:szCs w:val="24"/>
          <w:u w:val="none"/>
        </w:rPr>
        <w:t xml:space="preserve"> T. (2022) </w:t>
      </w:r>
      <w:proofErr w:type="spellStart"/>
      <w:r w:rsidRPr="001203EE">
        <w:rPr>
          <w:rFonts w:cstheme="minorHAnsi"/>
          <w:sz w:val="24"/>
          <w:szCs w:val="24"/>
        </w:rPr>
        <w:t>Differences</w:t>
      </w:r>
      <w:proofErr w:type="spellEnd"/>
      <w:r w:rsidRPr="001203EE">
        <w:rPr>
          <w:rFonts w:cstheme="minorHAnsi"/>
          <w:sz w:val="24"/>
          <w:szCs w:val="24"/>
        </w:rPr>
        <w:t xml:space="preserve"> in </w:t>
      </w:r>
      <w:proofErr w:type="spellStart"/>
      <w:r w:rsidRPr="001203EE">
        <w:rPr>
          <w:rFonts w:cstheme="minorHAnsi"/>
          <w:sz w:val="24"/>
          <w:szCs w:val="24"/>
        </w:rPr>
        <w:t>Clinical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Characteristics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Between</w:t>
      </w:r>
      <w:proofErr w:type="spellEnd"/>
      <w:r w:rsidRPr="001203EE">
        <w:rPr>
          <w:rFonts w:cstheme="minorHAnsi"/>
          <w:sz w:val="24"/>
          <w:szCs w:val="24"/>
        </w:rPr>
        <w:t xml:space="preserve"> Delta Variant and </w:t>
      </w:r>
      <w:proofErr w:type="spellStart"/>
      <w:r w:rsidRPr="001203EE">
        <w:rPr>
          <w:rFonts w:cstheme="minorHAnsi"/>
          <w:sz w:val="24"/>
          <w:szCs w:val="24"/>
        </w:rPr>
        <w:t>Wild</w:t>
      </w:r>
      <w:proofErr w:type="spellEnd"/>
      <w:r w:rsidRPr="001203EE">
        <w:rPr>
          <w:rFonts w:cstheme="minorHAnsi"/>
          <w:sz w:val="24"/>
          <w:szCs w:val="24"/>
        </w:rPr>
        <w:t xml:space="preserve">-Type SARS-CoV-2 </w:t>
      </w:r>
      <w:proofErr w:type="spellStart"/>
      <w:r w:rsidRPr="001203EE">
        <w:rPr>
          <w:rFonts w:cstheme="minorHAnsi"/>
          <w:sz w:val="24"/>
          <w:szCs w:val="24"/>
        </w:rPr>
        <w:t>Infected</w:t>
      </w:r>
      <w:proofErr w:type="spellEnd"/>
      <w:r w:rsidRPr="001203EE">
        <w:rPr>
          <w:rFonts w:cstheme="minorHAnsi"/>
          <w:sz w:val="24"/>
          <w:szCs w:val="24"/>
        </w:rPr>
        <w:t xml:space="preserve"> </w:t>
      </w:r>
      <w:proofErr w:type="spellStart"/>
      <w:r w:rsidRPr="001203EE">
        <w:rPr>
          <w:rFonts w:cstheme="minorHAnsi"/>
          <w:sz w:val="24"/>
          <w:szCs w:val="24"/>
        </w:rPr>
        <w:t>Patients</w:t>
      </w:r>
      <w:proofErr w:type="spellEnd"/>
      <w:r w:rsidRPr="001203EE">
        <w:rPr>
          <w:rFonts w:cstheme="minorHAnsi"/>
          <w:sz w:val="24"/>
          <w:szCs w:val="24"/>
        </w:rPr>
        <w:t xml:space="preserve">. </w:t>
      </w:r>
      <w:proofErr w:type="spellStart"/>
      <w:r w:rsidRPr="001203EE">
        <w:rPr>
          <w:rFonts w:cstheme="minorHAnsi"/>
          <w:sz w:val="24"/>
          <w:szCs w:val="24"/>
        </w:rPr>
        <w:t>Frontiers</w:t>
      </w:r>
      <w:proofErr w:type="spellEnd"/>
      <w:r w:rsidRPr="001203EE">
        <w:rPr>
          <w:rFonts w:cstheme="minorHAnsi"/>
          <w:sz w:val="24"/>
          <w:szCs w:val="24"/>
        </w:rPr>
        <w:t xml:space="preserve"> in </w:t>
      </w:r>
      <w:proofErr w:type="spellStart"/>
      <w:r w:rsidRPr="001203EE">
        <w:rPr>
          <w:rFonts w:cstheme="minorHAnsi"/>
          <w:sz w:val="24"/>
          <w:szCs w:val="24"/>
        </w:rPr>
        <w:t>Medicine</w:t>
      </w:r>
      <w:proofErr w:type="spellEnd"/>
      <w:r w:rsidRPr="001203EE">
        <w:rPr>
          <w:rFonts w:cstheme="minorHAnsi"/>
          <w:sz w:val="24"/>
          <w:szCs w:val="24"/>
        </w:rPr>
        <w:t xml:space="preserve">, Vol. 8, 03 </w:t>
      </w:r>
      <w:proofErr w:type="spellStart"/>
      <w:r w:rsidRPr="001203EE">
        <w:rPr>
          <w:rFonts w:cstheme="minorHAnsi"/>
          <w:sz w:val="24"/>
          <w:szCs w:val="24"/>
        </w:rPr>
        <w:t>January</w:t>
      </w:r>
      <w:proofErr w:type="spellEnd"/>
      <w:r w:rsidRPr="001203EE">
        <w:rPr>
          <w:rFonts w:cstheme="minorHAnsi"/>
          <w:sz w:val="24"/>
          <w:szCs w:val="24"/>
        </w:rPr>
        <w:t xml:space="preserve"> 2022, </w:t>
      </w:r>
      <w:proofErr w:type="spellStart"/>
      <w:r w:rsidRPr="001203EE">
        <w:rPr>
          <w:rFonts w:cstheme="minorHAnsi"/>
          <w:sz w:val="24"/>
          <w:szCs w:val="24"/>
        </w:rPr>
        <w:t>doi</w:t>
      </w:r>
      <w:proofErr w:type="spellEnd"/>
      <w:r w:rsidRPr="001203EE">
        <w:rPr>
          <w:rFonts w:cstheme="minorHAnsi"/>
          <w:sz w:val="24"/>
          <w:szCs w:val="24"/>
        </w:rPr>
        <w:t>: 10.3389/fmed.2021.792135</w:t>
      </w:r>
    </w:p>
    <w:p w14:paraId="16B6B6AA" w14:textId="77777777" w:rsidR="004028DF" w:rsidRPr="001203EE" w:rsidRDefault="004028DF" w:rsidP="004028DF">
      <w:pPr>
        <w:rPr>
          <w:rFonts w:cstheme="minorHAnsi"/>
          <w:sz w:val="24"/>
          <w:szCs w:val="24"/>
        </w:rPr>
      </w:pPr>
    </w:p>
    <w:p w14:paraId="74B0742A" w14:textId="77777777" w:rsidR="004028DF" w:rsidRPr="001203EE" w:rsidRDefault="004028DF" w:rsidP="00C13A77">
      <w:pPr>
        <w:pStyle w:val="xmsonormal"/>
        <w:shd w:val="clear" w:color="auto" w:fill="FFFFFF"/>
        <w:spacing w:before="0" w:beforeAutospacing="0" w:after="0" w:afterAutospacing="0"/>
        <w:rPr>
          <w:rStyle w:val="Hypertextovodkaz"/>
          <w:rFonts w:asciiTheme="minorHAnsi" w:hAnsiTheme="minorHAnsi" w:cstheme="minorHAnsi"/>
          <w:color w:val="0563C1"/>
          <w:bdr w:val="none" w:sz="0" w:space="0" w:color="auto" w:frame="1"/>
        </w:rPr>
      </w:pPr>
    </w:p>
    <w:p w14:paraId="7652566C" w14:textId="77777777" w:rsidR="00C13A77" w:rsidRPr="001203EE" w:rsidRDefault="00C13A77" w:rsidP="00F40F22">
      <w:pPr>
        <w:autoSpaceDE w:val="0"/>
        <w:autoSpaceDN w:val="0"/>
        <w:adjustRightInd w:val="0"/>
        <w:spacing w:line="360" w:lineRule="auto"/>
        <w:rPr>
          <w:rFonts w:cstheme="minorHAnsi"/>
          <w:sz w:val="24"/>
          <w:szCs w:val="24"/>
          <w:lang w:eastAsia="cs-CZ"/>
        </w:rPr>
      </w:pPr>
    </w:p>
    <w:p w14:paraId="1E540A93" w14:textId="77777777" w:rsidR="00F40F22" w:rsidRPr="001203EE" w:rsidRDefault="00F40F22" w:rsidP="00BD6014">
      <w:pPr>
        <w:rPr>
          <w:rFonts w:cstheme="minorHAnsi"/>
          <w:sz w:val="24"/>
          <w:szCs w:val="24"/>
        </w:rPr>
      </w:pPr>
    </w:p>
    <w:sectPr w:rsidR="00F40F22" w:rsidRPr="001203EE" w:rsidSect="00C44723">
      <w:headerReference w:type="default" r:id="rId21"/>
      <w:pgSz w:w="11906" w:h="16838" w:code="9"/>
      <w:pgMar w:top="1418" w:right="1418" w:bottom="1418" w:left="1418" w:header="850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2D447" w14:textId="77777777" w:rsidR="00B04174" w:rsidRDefault="00B04174" w:rsidP="004E4F3D">
      <w:pPr>
        <w:spacing w:after="0"/>
      </w:pPr>
      <w:r>
        <w:separator/>
      </w:r>
    </w:p>
  </w:endnote>
  <w:endnote w:type="continuationSeparator" w:id="0">
    <w:p w14:paraId="581C6590" w14:textId="77777777" w:rsidR="00B04174" w:rsidRDefault="00B04174" w:rsidP="004E4F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3E5D4" w14:textId="77777777" w:rsidR="00B04174" w:rsidRDefault="00B04174" w:rsidP="004E4F3D">
      <w:pPr>
        <w:spacing w:after="0"/>
      </w:pPr>
      <w:r>
        <w:separator/>
      </w:r>
    </w:p>
  </w:footnote>
  <w:footnote w:type="continuationSeparator" w:id="0">
    <w:p w14:paraId="6667DF8A" w14:textId="77777777" w:rsidR="00B04174" w:rsidRDefault="00B04174" w:rsidP="004E4F3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56659" w14:textId="77777777" w:rsidR="00014680" w:rsidRDefault="00014680" w:rsidP="00554A70">
    <w:pPr>
      <w:pStyle w:val="Zpat"/>
      <w:tabs>
        <w:tab w:val="clear" w:pos="4536"/>
        <w:tab w:val="clear" w:pos="9072"/>
        <w:tab w:val="left" w:pos="3630"/>
      </w:tabs>
    </w:pPr>
  </w:p>
  <w:p w14:paraId="19A4205A" w14:textId="77777777" w:rsidR="00554A70" w:rsidRPr="00542F20" w:rsidRDefault="00554A70" w:rsidP="00554A70">
    <w:pPr>
      <w:pStyle w:val="Zpat"/>
      <w:tabs>
        <w:tab w:val="clear" w:pos="4536"/>
        <w:tab w:val="clear" w:pos="9072"/>
        <w:tab w:val="left" w:pos="36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pt;height:9pt" o:bullet="t">
        <v:imagedata r:id="rId1" o:title=""/>
      </v:shape>
    </w:pict>
  </w:numPicBullet>
  <w:abstractNum w:abstractNumId="0" w15:restartNumberingAfterBreak="0">
    <w:nsid w:val="0681314A"/>
    <w:multiLevelType w:val="hybridMultilevel"/>
    <w:tmpl w:val="9148F6F8"/>
    <w:lvl w:ilvl="0" w:tplc="B998A8B4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7C04"/>
    <w:multiLevelType w:val="hybridMultilevel"/>
    <w:tmpl w:val="7A3842C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16FC1"/>
    <w:multiLevelType w:val="hybridMultilevel"/>
    <w:tmpl w:val="00F4DF66"/>
    <w:lvl w:ilvl="0" w:tplc="5BCC136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91475"/>
    <w:multiLevelType w:val="hybridMultilevel"/>
    <w:tmpl w:val="B39E3D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05B4E"/>
    <w:multiLevelType w:val="hybridMultilevel"/>
    <w:tmpl w:val="00F4F0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030D4"/>
    <w:multiLevelType w:val="hybridMultilevel"/>
    <w:tmpl w:val="D758E2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2329C"/>
    <w:multiLevelType w:val="hybridMultilevel"/>
    <w:tmpl w:val="9FBC7E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B66BB"/>
    <w:multiLevelType w:val="hybridMultilevel"/>
    <w:tmpl w:val="906A9828"/>
    <w:lvl w:ilvl="0" w:tplc="40DA7CA6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62EF7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DD83177"/>
    <w:multiLevelType w:val="hybridMultilevel"/>
    <w:tmpl w:val="9D1000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14024"/>
    <w:multiLevelType w:val="hybridMultilevel"/>
    <w:tmpl w:val="DCBA788A"/>
    <w:lvl w:ilvl="0" w:tplc="D7E274D0">
      <w:start w:val="1"/>
      <w:numFmt w:val="bullet"/>
      <w:pStyle w:val="Odstavecseseznam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F23AF"/>
    <w:multiLevelType w:val="hybridMultilevel"/>
    <w:tmpl w:val="2CD4275C"/>
    <w:lvl w:ilvl="0" w:tplc="E110A44A">
      <w:start w:val="1"/>
      <w:numFmt w:val="decimal"/>
      <w:lvlText w:val="%1. 1.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B366A09"/>
    <w:multiLevelType w:val="hybridMultilevel"/>
    <w:tmpl w:val="3A9E53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97F1E"/>
    <w:multiLevelType w:val="hybridMultilevel"/>
    <w:tmpl w:val="E35845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86200"/>
    <w:multiLevelType w:val="hybridMultilevel"/>
    <w:tmpl w:val="BDCCDF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B5C3F"/>
    <w:multiLevelType w:val="hybridMultilevel"/>
    <w:tmpl w:val="4ABED4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11214"/>
    <w:multiLevelType w:val="hybridMultilevel"/>
    <w:tmpl w:val="7B90C744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54B64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D7E21A1"/>
    <w:multiLevelType w:val="hybridMultilevel"/>
    <w:tmpl w:val="9336172E"/>
    <w:lvl w:ilvl="0" w:tplc="3A82F7DE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984744"/>
    <w:multiLevelType w:val="hybridMultilevel"/>
    <w:tmpl w:val="2714ACFC"/>
    <w:lvl w:ilvl="0" w:tplc="8040BE96">
      <w:start w:val="1"/>
      <w:numFmt w:val="decimal"/>
      <w:pStyle w:val="Seznamslovan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995D31"/>
    <w:multiLevelType w:val="hybridMultilevel"/>
    <w:tmpl w:val="CE1C9F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7D247F"/>
    <w:multiLevelType w:val="hybridMultilevel"/>
    <w:tmpl w:val="CBAC2D36"/>
    <w:lvl w:ilvl="0" w:tplc="06009A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D3CE368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color w:val="000000" w:themeColor="text1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C12F8B"/>
    <w:multiLevelType w:val="hybridMultilevel"/>
    <w:tmpl w:val="48D2EC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8A4AAC"/>
    <w:multiLevelType w:val="hybridMultilevel"/>
    <w:tmpl w:val="5D307D9C"/>
    <w:lvl w:ilvl="0" w:tplc="614AC4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45E0B"/>
    <w:multiLevelType w:val="hybridMultilevel"/>
    <w:tmpl w:val="1B54AC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F16F4"/>
    <w:multiLevelType w:val="hybridMultilevel"/>
    <w:tmpl w:val="642C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450698"/>
    <w:multiLevelType w:val="hybridMultilevel"/>
    <w:tmpl w:val="3DAC54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913B79"/>
    <w:multiLevelType w:val="hybridMultilevel"/>
    <w:tmpl w:val="C79060DE"/>
    <w:lvl w:ilvl="0" w:tplc="1576D1A8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  <w:color w:val="29609C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043112"/>
    <w:multiLevelType w:val="hybridMultilevel"/>
    <w:tmpl w:val="675CB9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5"/>
  </w:num>
  <w:num w:numId="4">
    <w:abstractNumId w:val="28"/>
  </w:num>
  <w:num w:numId="5">
    <w:abstractNumId w:val="0"/>
  </w:num>
  <w:num w:numId="6">
    <w:abstractNumId w:val="11"/>
  </w:num>
  <w:num w:numId="7">
    <w:abstractNumId w:val="27"/>
  </w:num>
  <w:num w:numId="8">
    <w:abstractNumId w:val="6"/>
  </w:num>
  <w:num w:numId="9">
    <w:abstractNumId w:val="10"/>
  </w:num>
  <w:num w:numId="10">
    <w:abstractNumId w:val="12"/>
  </w:num>
  <w:num w:numId="11">
    <w:abstractNumId w:val="17"/>
  </w:num>
  <w:num w:numId="12">
    <w:abstractNumId w:val="8"/>
  </w:num>
  <w:num w:numId="13">
    <w:abstractNumId w:val="19"/>
  </w:num>
  <w:num w:numId="14">
    <w:abstractNumId w:val="9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25"/>
  </w:num>
  <w:num w:numId="18">
    <w:abstractNumId w:val="22"/>
  </w:num>
  <w:num w:numId="19">
    <w:abstractNumId w:val="5"/>
  </w:num>
  <w:num w:numId="20">
    <w:abstractNumId w:val="14"/>
  </w:num>
  <w:num w:numId="21">
    <w:abstractNumId w:val="3"/>
  </w:num>
  <w:num w:numId="22">
    <w:abstractNumId w:val="24"/>
  </w:num>
  <w:num w:numId="23">
    <w:abstractNumId w:val="26"/>
  </w:num>
  <w:num w:numId="24">
    <w:abstractNumId w:val="10"/>
  </w:num>
  <w:num w:numId="25">
    <w:abstractNumId w:val="9"/>
  </w:num>
  <w:num w:numId="26">
    <w:abstractNumId w:val="13"/>
  </w:num>
  <w:num w:numId="27">
    <w:abstractNumId w:val="4"/>
  </w:num>
  <w:num w:numId="28">
    <w:abstractNumId w:val="23"/>
  </w:num>
  <w:num w:numId="29">
    <w:abstractNumId w:val="1"/>
  </w:num>
  <w:num w:numId="30">
    <w:abstractNumId w:val="16"/>
  </w:num>
  <w:num w:numId="31">
    <w:abstractNumId w:val="2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C6E"/>
    <w:rsid w:val="00014680"/>
    <w:rsid w:val="00026A17"/>
    <w:rsid w:val="00030031"/>
    <w:rsid w:val="00031AEF"/>
    <w:rsid w:val="000355B6"/>
    <w:rsid w:val="00042226"/>
    <w:rsid w:val="00044801"/>
    <w:rsid w:val="00046363"/>
    <w:rsid w:val="000610F2"/>
    <w:rsid w:val="0006116B"/>
    <w:rsid w:val="0006236E"/>
    <w:rsid w:val="00066121"/>
    <w:rsid w:val="00072240"/>
    <w:rsid w:val="00080E88"/>
    <w:rsid w:val="00080ECA"/>
    <w:rsid w:val="000817E7"/>
    <w:rsid w:val="000911AC"/>
    <w:rsid w:val="000B5BA4"/>
    <w:rsid w:val="000C13E1"/>
    <w:rsid w:val="000D5748"/>
    <w:rsid w:val="000E4599"/>
    <w:rsid w:val="000F1BA8"/>
    <w:rsid w:val="000F465C"/>
    <w:rsid w:val="001142D0"/>
    <w:rsid w:val="001203EE"/>
    <w:rsid w:val="001248FD"/>
    <w:rsid w:val="001251C2"/>
    <w:rsid w:val="0014388F"/>
    <w:rsid w:val="00157414"/>
    <w:rsid w:val="00160C15"/>
    <w:rsid w:val="00165456"/>
    <w:rsid w:val="0016567E"/>
    <w:rsid w:val="0017434F"/>
    <w:rsid w:val="001965D8"/>
    <w:rsid w:val="001A00A7"/>
    <w:rsid w:val="001A0FF0"/>
    <w:rsid w:val="001B6A8A"/>
    <w:rsid w:val="001C412A"/>
    <w:rsid w:val="001C6EE3"/>
    <w:rsid w:val="00200E6E"/>
    <w:rsid w:val="00202E2A"/>
    <w:rsid w:val="002030E0"/>
    <w:rsid w:val="0020724F"/>
    <w:rsid w:val="00225193"/>
    <w:rsid w:val="002322EA"/>
    <w:rsid w:val="0025393C"/>
    <w:rsid w:val="0026270D"/>
    <w:rsid w:val="00266029"/>
    <w:rsid w:val="002713E0"/>
    <w:rsid w:val="002853D4"/>
    <w:rsid w:val="00297994"/>
    <w:rsid w:val="002B186E"/>
    <w:rsid w:val="002B42AF"/>
    <w:rsid w:val="002D3F0C"/>
    <w:rsid w:val="002D6AF8"/>
    <w:rsid w:val="002F1CBE"/>
    <w:rsid w:val="002F448C"/>
    <w:rsid w:val="002F56A7"/>
    <w:rsid w:val="00303FA7"/>
    <w:rsid w:val="00314152"/>
    <w:rsid w:val="0034108F"/>
    <w:rsid w:val="00342ADA"/>
    <w:rsid w:val="003864CE"/>
    <w:rsid w:val="00387A6D"/>
    <w:rsid w:val="00396049"/>
    <w:rsid w:val="003A438E"/>
    <w:rsid w:val="003B3EDF"/>
    <w:rsid w:val="003E54CD"/>
    <w:rsid w:val="003F3ACD"/>
    <w:rsid w:val="004028DF"/>
    <w:rsid w:val="004038BD"/>
    <w:rsid w:val="0040578D"/>
    <w:rsid w:val="00406C22"/>
    <w:rsid w:val="00407D39"/>
    <w:rsid w:val="00410726"/>
    <w:rsid w:val="00413562"/>
    <w:rsid w:val="004135A6"/>
    <w:rsid w:val="00417C75"/>
    <w:rsid w:val="004331ED"/>
    <w:rsid w:val="00447F76"/>
    <w:rsid w:val="00485323"/>
    <w:rsid w:val="00492ADA"/>
    <w:rsid w:val="004A052F"/>
    <w:rsid w:val="004A7E79"/>
    <w:rsid w:val="004B6A74"/>
    <w:rsid w:val="004C3093"/>
    <w:rsid w:val="004D11E8"/>
    <w:rsid w:val="004D16D5"/>
    <w:rsid w:val="004E240F"/>
    <w:rsid w:val="004E4F3D"/>
    <w:rsid w:val="00502AB0"/>
    <w:rsid w:val="00507F1B"/>
    <w:rsid w:val="00521651"/>
    <w:rsid w:val="00532373"/>
    <w:rsid w:val="00542F20"/>
    <w:rsid w:val="00554A70"/>
    <w:rsid w:val="00565D8B"/>
    <w:rsid w:val="00572EC8"/>
    <w:rsid w:val="00575899"/>
    <w:rsid w:val="00581EBC"/>
    <w:rsid w:val="005979A0"/>
    <w:rsid w:val="005A11D5"/>
    <w:rsid w:val="005A4F41"/>
    <w:rsid w:val="005A7BEF"/>
    <w:rsid w:val="005D3491"/>
    <w:rsid w:val="005D7933"/>
    <w:rsid w:val="005E1237"/>
    <w:rsid w:val="005E1EE2"/>
    <w:rsid w:val="005E662C"/>
    <w:rsid w:val="005F2C12"/>
    <w:rsid w:val="005F7A97"/>
    <w:rsid w:val="00602109"/>
    <w:rsid w:val="00632760"/>
    <w:rsid w:val="006403B0"/>
    <w:rsid w:val="00642AD1"/>
    <w:rsid w:val="006468AC"/>
    <w:rsid w:val="0066116E"/>
    <w:rsid w:val="00672287"/>
    <w:rsid w:val="006800B9"/>
    <w:rsid w:val="006A2A0C"/>
    <w:rsid w:val="006A4E81"/>
    <w:rsid w:val="006A59EB"/>
    <w:rsid w:val="006A77AA"/>
    <w:rsid w:val="006B1800"/>
    <w:rsid w:val="006B2DF8"/>
    <w:rsid w:val="006C4F5B"/>
    <w:rsid w:val="006D6D50"/>
    <w:rsid w:val="00707849"/>
    <w:rsid w:val="00711A58"/>
    <w:rsid w:val="00720558"/>
    <w:rsid w:val="00723168"/>
    <w:rsid w:val="00734589"/>
    <w:rsid w:val="00751FD9"/>
    <w:rsid w:val="00765FA3"/>
    <w:rsid w:val="007727C1"/>
    <w:rsid w:val="00780BFF"/>
    <w:rsid w:val="007A0895"/>
    <w:rsid w:val="007A5B0D"/>
    <w:rsid w:val="007D256F"/>
    <w:rsid w:val="007D31D9"/>
    <w:rsid w:val="007D4B49"/>
    <w:rsid w:val="007E402C"/>
    <w:rsid w:val="007E64B5"/>
    <w:rsid w:val="00805A16"/>
    <w:rsid w:val="00816A8A"/>
    <w:rsid w:val="00833C6E"/>
    <w:rsid w:val="008613DA"/>
    <w:rsid w:val="00865A2A"/>
    <w:rsid w:val="00866FF4"/>
    <w:rsid w:val="0087174E"/>
    <w:rsid w:val="00886605"/>
    <w:rsid w:val="008B54EC"/>
    <w:rsid w:val="008C23E5"/>
    <w:rsid w:val="008E2334"/>
    <w:rsid w:val="008E6BDC"/>
    <w:rsid w:val="009131DC"/>
    <w:rsid w:val="00937EEE"/>
    <w:rsid w:val="00947E73"/>
    <w:rsid w:val="009508E6"/>
    <w:rsid w:val="0096097F"/>
    <w:rsid w:val="009650D5"/>
    <w:rsid w:val="009A1B9F"/>
    <w:rsid w:val="009B5BA3"/>
    <w:rsid w:val="009E2C8D"/>
    <w:rsid w:val="009E6D8D"/>
    <w:rsid w:val="009F23EE"/>
    <w:rsid w:val="009F6B6B"/>
    <w:rsid w:val="00A10BB7"/>
    <w:rsid w:val="00A162FB"/>
    <w:rsid w:val="00A33908"/>
    <w:rsid w:val="00A50E73"/>
    <w:rsid w:val="00A647C1"/>
    <w:rsid w:val="00A66AD8"/>
    <w:rsid w:val="00A86AB4"/>
    <w:rsid w:val="00AA6871"/>
    <w:rsid w:val="00AC0FDF"/>
    <w:rsid w:val="00AC248F"/>
    <w:rsid w:val="00B004BF"/>
    <w:rsid w:val="00B01D30"/>
    <w:rsid w:val="00B04174"/>
    <w:rsid w:val="00B0443B"/>
    <w:rsid w:val="00B05B9E"/>
    <w:rsid w:val="00B11AED"/>
    <w:rsid w:val="00B12B67"/>
    <w:rsid w:val="00B1482F"/>
    <w:rsid w:val="00B33C5D"/>
    <w:rsid w:val="00B4523B"/>
    <w:rsid w:val="00B46A5E"/>
    <w:rsid w:val="00B63FE0"/>
    <w:rsid w:val="00B71133"/>
    <w:rsid w:val="00B72A30"/>
    <w:rsid w:val="00B765D0"/>
    <w:rsid w:val="00B913BE"/>
    <w:rsid w:val="00B95153"/>
    <w:rsid w:val="00BB0DEC"/>
    <w:rsid w:val="00BC00B4"/>
    <w:rsid w:val="00BC3AE6"/>
    <w:rsid w:val="00BC6393"/>
    <w:rsid w:val="00BC78A2"/>
    <w:rsid w:val="00BD2AE8"/>
    <w:rsid w:val="00BD6014"/>
    <w:rsid w:val="00BE23D2"/>
    <w:rsid w:val="00BF7BBD"/>
    <w:rsid w:val="00C13A77"/>
    <w:rsid w:val="00C34CB1"/>
    <w:rsid w:val="00C34DB8"/>
    <w:rsid w:val="00C44723"/>
    <w:rsid w:val="00C74786"/>
    <w:rsid w:val="00C7697A"/>
    <w:rsid w:val="00C8711C"/>
    <w:rsid w:val="00C96F4A"/>
    <w:rsid w:val="00CB7784"/>
    <w:rsid w:val="00CC3B42"/>
    <w:rsid w:val="00CC47C4"/>
    <w:rsid w:val="00CD3C8C"/>
    <w:rsid w:val="00CD6A20"/>
    <w:rsid w:val="00CE517A"/>
    <w:rsid w:val="00CE6183"/>
    <w:rsid w:val="00CE7662"/>
    <w:rsid w:val="00CF2968"/>
    <w:rsid w:val="00CF7BBD"/>
    <w:rsid w:val="00D02643"/>
    <w:rsid w:val="00D062F3"/>
    <w:rsid w:val="00D11488"/>
    <w:rsid w:val="00D15347"/>
    <w:rsid w:val="00D44704"/>
    <w:rsid w:val="00D45222"/>
    <w:rsid w:val="00D57731"/>
    <w:rsid w:val="00D64721"/>
    <w:rsid w:val="00D7285A"/>
    <w:rsid w:val="00D7411D"/>
    <w:rsid w:val="00D8378A"/>
    <w:rsid w:val="00D866AB"/>
    <w:rsid w:val="00D967D5"/>
    <w:rsid w:val="00DA1FAE"/>
    <w:rsid w:val="00DA66DD"/>
    <w:rsid w:val="00DA7797"/>
    <w:rsid w:val="00DB4D26"/>
    <w:rsid w:val="00DC109F"/>
    <w:rsid w:val="00DD283C"/>
    <w:rsid w:val="00DD62A2"/>
    <w:rsid w:val="00DE31B8"/>
    <w:rsid w:val="00E110DD"/>
    <w:rsid w:val="00E121FD"/>
    <w:rsid w:val="00E14470"/>
    <w:rsid w:val="00E16F5E"/>
    <w:rsid w:val="00E63B42"/>
    <w:rsid w:val="00E72D0B"/>
    <w:rsid w:val="00E90B4A"/>
    <w:rsid w:val="00E91149"/>
    <w:rsid w:val="00E921D0"/>
    <w:rsid w:val="00E9334E"/>
    <w:rsid w:val="00E952DB"/>
    <w:rsid w:val="00E95E07"/>
    <w:rsid w:val="00EA2B9B"/>
    <w:rsid w:val="00EA634B"/>
    <w:rsid w:val="00EB4D9A"/>
    <w:rsid w:val="00EB6772"/>
    <w:rsid w:val="00EC0343"/>
    <w:rsid w:val="00EC2D69"/>
    <w:rsid w:val="00EC2E98"/>
    <w:rsid w:val="00EC30E9"/>
    <w:rsid w:val="00EC5687"/>
    <w:rsid w:val="00ED0FBE"/>
    <w:rsid w:val="00ED413A"/>
    <w:rsid w:val="00ED6BEB"/>
    <w:rsid w:val="00EF1F9C"/>
    <w:rsid w:val="00F03324"/>
    <w:rsid w:val="00F102F9"/>
    <w:rsid w:val="00F2431B"/>
    <w:rsid w:val="00F35289"/>
    <w:rsid w:val="00F40F22"/>
    <w:rsid w:val="00F41565"/>
    <w:rsid w:val="00F41AED"/>
    <w:rsid w:val="00F5603B"/>
    <w:rsid w:val="00F77F2D"/>
    <w:rsid w:val="00FC7488"/>
    <w:rsid w:val="00FD544A"/>
    <w:rsid w:val="00FE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83D8EC"/>
  <w15:docId w15:val="{25930B2D-742F-4346-AF96-928A5FF2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B6A8A"/>
    <w:pPr>
      <w:spacing w:before="120" w:after="120" w:line="240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042226"/>
    <w:pPr>
      <w:keepNext/>
      <w:keepLines/>
      <w:numPr>
        <w:numId w:val="11"/>
      </w:numPr>
      <w:pBdr>
        <w:bottom w:val="single" w:sz="12" w:space="1" w:color="D31145"/>
      </w:pBdr>
      <w:spacing w:before="3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42226"/>
    <w:pPr>
      <w:keepNext/>
      <w:keepLines/>
      <w:numPr>
        <w:ilvl w:val="1"/>
        <w:numId w:val="11"/>
      </w:numPr>
      <w:spacing w:before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42226"/>
    <w:pPr>
      <w:keepNext/>
      <w:keepLines/>
      <w:numPr>
        <w:ilvl w:val="2"/>
        <w:numId w:val="11"/>
      </w:numPr>
      <w:spacing w:before="240"/>
      <w:outlineLvl w:val="2"/>
    </w:pPr>
    <w:rPr>
      <w:rFonts w:eastAsiaTheme="majorEastAsia" w:cstheme="majorBidi"/>
      <w:b/>
      <w:bCs/>
      <w:sz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C00B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C00B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C00B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C00B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C00B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C00B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B42AF"/>
    <w:pPr>
      <w:pBdr>
        <w:bottom w:val="single" w:sz="8" w:space="4" w:color="D31145"/>
      </w:pBdr>
      <w:spacing w:before="3000" w:after="0"/>
      <w:contextualSpacing/>
    </w:pPr>
    <w:rPr>
      <w:rFonts w:ascii="Calibri Light" w:eastAsiaTheme="majorEastAsia" w:hAnsi="Calibri Light" w:cstheme="majorBidi"/>
      <w:spacing w:val="5"/>
      <w:kern w:val="28"/>
      <w:sz w:val="48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B42AF"/>
    <w:rPr>
      <w:rFonts w:ascii="Calibri Light" w:eastAsiaTheme="majorEastAsia" w:hAnsi="Calibri Light" w:cstheme="majorBidi"/>
      <w:spacing w:val="5"/>
      <w:kern w:val="28"/>
      <w:sz w:val="48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B42AF"/>
    <w:pPr>
      <w:numPr>
        <w:ilvl w:val="1"/>
      </w:numPr>
    </w:pPr>
    <w:rPr>
      <w:rFonts w:ascii="Calibri Light" w:eastAsiaTheme="majorEastAsia" w:hAnsi="Calibri Light" w:cstheme="majorBidi"/>
      <w:iCs/>
      <w:sz w:val="28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2B42AF"/>
    <w:rPr>
      <w:rFonts w:ascii="Calibri Light" w:eastAsiaTheme="majorEastAsia" w:hAnsi="Calibri Light" w:cstheme="majorBidi"/>
      <w:iCs/>
      <w:sz w:val="28"/>
      <w:szCs w:val="24"/>
    </w:rPr>
  </w:style>
  <w:style w:type="paragraph" w:customStyle="1" w:styleId="Seznamslovan">
    <w:name w:val="Seznam číslovaný"/>
    <w:basedOn w:val="Odstavecseseznamem"/>
    <w:qFormat/>
    <w:rsid w:val="004D16D5"/>
    <w:pPr>
      <w:numPr>
        <w:numId w:val="13"/>
      </w:numPr>
      <w:ind w:left="568" w:hanging="284"/>
    </w:pPr>
  </w:style>
  <w:style w:type="paragraph" w:styleId="Zhlav">
    <w:name w:val="header"/>
    <w:basedOn w:val="Normln"/>
    <w:link w:val="ZhlavChar"/>
    <w:uiPriority w:val="99"/>
    <w:unhideWhenUsed/>
    <w:rsid w:val="007E402C"/>
    <w:pPr>
      <w:tabs>
        <w:tab w:val="center" w:pos="4536"/>
        <w:tab w:val="right" w:pos="9072"/>
      </w:tabs>
      <w:spacing w:before="0" w:after="0"/>
    </w:pPr>
  </w:style>
  <w:style w:type="paragraph" w:styleId="Zpat">
    <w:name w:val="footer"/>
    <w:basedOn w:val="Normln"/>
    <w:link w:val="ZpatChar"/>
    <w:uiPriority w:val="99"/>
    <w:unhideWhenUsed/>
    <w:rsid w:val="004E4F3D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4E4F3D"/>
  </w:style>
  <w:style w:type="character" w:styleId="Hypertextovodkaz">
    <w:name w:val="Hyperlink"/>
    <w:basedOn w:val="Standardnpsmoodstavce"/>
    <w:uiPriority w:val="99"/>
    <w:unhideWhenUsed/>
    <w:rsid w:val="00886605"/>
    <w:rPr>
      <w:color w:val="0000FF" w:themeColor="hyperlink"/>
      <w:u w:val="single"/>
    </w:rPr>
  </w:style>
  <w:style w:type="character" w:styleId="Odkazintenzivn">
    <w:name w:val="Intense Reference"/>
    <w:basedOn w:val="Standardnpsmoodstavce"/>
    <w:uiPriority w:val="32"/>
    <w:rsid w:val="00886605"/>
    <w:rPr>
      <w:b/>
      <w:bCs/>
      <w:smallCaps/>
      <w:color w:val="4F81BD" w:themeColor="accent1"/>
      <w:spacing w:val="5"/>
    </w:rPr>
  </w:style>
  <w:style w:type="paragraph" w:customStyle="1" w:styleId="Zpat1">
    <w:name w:val="Zápatí1"/>
    <w:basedOn w:val="Normln"/>
    <w:link w:val="FooterChar"/>
    <w:qFormat/>
    <w:rsid w:val="00EC30E9"/>
    <w:rPr>
      <w:sz w:val="18"/>
      <w:szCs w:val="18"/>
    </w:rPr>
  </w:style>
  <w:style w:type="table" w:styleId="Mkatabulky">
    <w:name w:val="Table Grid"/>
    <w:basedOn w:val="Normlntabulka"/>
    <w:uiPriority w:val="59"/>
    <w:rsid w:val="00492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Standardnpsmoodstavce"/>
    <w:link w:val="Zpat1"/>
    <w:rsid w:val="00EC30E9"/>
    <w:rPr>
      <w:sz w:val="18"/>
      <w:szCs w:val="1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92AD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92ADA"/>
    <w:rPr>
      <w:rFonts w:ascii="Tahoma" w:hAnsi="Tahoma" w:cs="Tahoma"/>
      <w:sz w:val="16"/>
      <w:szCs w:val="16"/>
    </w:rPr>
  </w:style>
  <w:style w:type="paragraph" w:customStyle="1" w:styleId="Autoi">
    <w:name w:val="Autoři"/>
    <w:basedOn w:val="Normln"/>
    <w:link w:val="AutoiChar"/>
    <w:rsid w:val="00297994"/>
    <w:pPr>
      <w:spacing w:before="0" w:after="0"/>
    </w:pPr>
  </w:style>
  <w:style w:type="character" w:customStyle="1" w:styleId="Nadpis1Char">
    <w:name w:val="Nadpis 1 Char"/>
    <w:basedOn w:val="Standardnpsmoodstavce"/>
    <w:link w:val="Nadpis1"/>
    <w:uiPriority w:val="9"/>
    <w:rsid w:val="00042226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AutoiChar">
    <w:name w:val="Autoři Char"/>
    <w:basedOn w:val="Standardnpsmoodstavce"/>
    <w:link w:val="Autoi"/>
    <w:rsid w:val="00297994"/>
    <w:rPr>
      <w:rFonts w:ascii="Arial" w:hAnsi="Arial"/>
    </w:rPr>
  </w:style>
  <w:style w:type="paragraph" w:customStyle="1" w:styleId="Obsah">
    <w:name w:val="Obsah"/>
    <w:basedOn w:val="Podnadpis"/>
    <w:link w:val="ObsahChar"/>
    <w:rsid w:val="00805A16"/>
    <w:rPr>
      <w:rFonts w:asciiTheme="minorHAnsi" w:hAnsiTheme="minorHAnsi"/>
      <w:b/>
      <w:sz w:val="36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C13E1"/>
    <w:pPr>
      <w:spacing w:before="480" w:after="0" w:line="276" w:lineRule="auto"/>
      <w:outlineLvl w:val="9"/>
    </w:pPr>
    <w:rPr>
      <w:rFonts w:asciiTheme="majorHAnsi" w:hAnsiTheme="majorHAnsi"/>
      <w:sz w:val="28"/>
      <w:lang w:eastAsia="cs-CZ"/>
    </w:rPr>
  </w:style>
  <w:style w:type="character" w:customStyle="1" w:styleId="ObsahChar">
    <w:name w:val="Obsah Char"/>
    <w:basedOn w:val="PodnadpisChar"/>
    <w:link w:val="Obsah"/>
    <w:rsid w:val="00805A16"/>
    <w:rPr>
      <w:rFonts w:ascii="Calibri Light" w:eastAsiaTheme="majorEastAsia" w:hAnsi="Calibri Light" w:cstheme="majorBidi"/>
      <w:b/>
      <w:iCs/>
      <w:color w:val="365F91" w:themeColor="accent1" w:themeShade="BF"/>
      <w:sz w:val="36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0C13E1"/>
    <w:pPr>
      <w:spacing w:after="100"/>
    </w:pPr>
  </w:style>
  <w:style w:type="paragraph" w:styleId="Odstavecseseznamem">
    <w:name w:val="List Paragraph"/>
    <w:aliases w:val="Seznam odrážkový"/>
    <w:basedOn w:val="Normln"/>
    <w:uiPriority w:val="34"/>
    <w:qFormat/>
    <w:rsid w:val="00BC00B4"/>
    <w:pPr>
      <w:numPr>
        <w:numId w:val="9"/>
      </w:numPr>
      <w:ind w:left="568" w:hanging="284"/>
      <w:contextualSpacing/>
    </w:pPr>
    <w:rPr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rsid w:val="00042226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42226"/>
    <w:rPr>
      <w:rFonts w:ascii="Arial" w:eastAsiaTheme="majorEastAsia" w:hAnsi="Arial" w:cstheme="majorBidi"/>
      <w:b/>
      <w:bCs/>
      <w:sz w:val="24"/>
    </w:rPr>
  </w:style>
  <w:style w:type="paragraph" w:styleId="Obsah2">
    <w:name w:val="toc 2"/>
    <w:basedOn w:val="Normln"/>
    <w:next w:val="Normln"/>
    <w:autoRedefine/>
    <w:uiPriority w:val="39"/>
    <w:unhideWhenUsed/>
    <w:rsid w:val="000E4599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0E4599"/>
    <w:pPr>
      <w:spacing w:after="100"/>
      <w:ind w:left="440"/>
    </w:pPr>
  </w:style>
  <w:style w:type="paragraph" w:customStyle="1" w:styleId="Popisekobrzku">
    <w:name w:val="Popisek obrázku"/>
    <w:basedOn w:val="Normln"/>
    <w:link w:val="PopisekobrzkuChar"/>
    <w:qFormat/>
    <w:rsid w:val="005A4F41"/>
    <w:pPr>
      <w:spacing w:after="360"/>
    </w:pPr>
    <w:rPr>
      <w:color w:val="D31145"/>
    </w:rPr>
  </w:style>
  <w:style w:type="paragraph" w:customStyle="1" w:styleId="Popisektabulky">
    <w:name w:val="Popisek tabulky"/>
    <w:basedOn w:val="Popisekobrzku"/>
    <w:link w:val="PopisektabulkyChar"/>
    <w:qFormat/>
    <w:rsid w:val="006A77AA"/>
    <w:pPr>
      <w:spacing w:before="360" w:after="120"/>
    </w:pPr>
  </w:style>
  <w:style w:type="character" w:customStyle="1" w:styleId="PopisekobrzkuChar">
    <w:name w:val="Popisek obrázku Char"/>
    <w:basedOn w:val="Standardnpsmoodstavce"/>
    <w:link w:val="Popisekobrzku"/>
    <w:rsid w:val="005A4F41"/>
    <w:rPr>
      <w:rFonts w:ascii="Arial" w:hAnsi="Arial"/>
      <w:color w:val="D31145"/>
    </w:rPr>
  </w:style>
  <w:style w:type="table" w:styleId="Svtlstnovn">
    <w:name w:val="Light Shading"/>
    <w:basedOn w:val="Normlntabulka"/>
    <w:uiPriority w:val="60"/>
    <w:rsid w:val="00200E6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PopisektabulkyChar">
    <w:name w:val="Popisek tabulky Char"/>
    <w:basedOn w:val="PopisekobrzkuChar"/>
    <w:link w:val="Popisektabulky"/>
    <w:rsid w:val="006A77AA"/>
    <w:rPr>
      <w:rFonts w:ascii="Arial" w:hAnsi="Arial"/>
      <w:color w:val="2A4387"/>
    </w:rPr>
  </w:style>
  <w:style w:type="paragraph" w:customStyle="1" w:styleId="Obsahtabulky">
    <w:name w:val="Obsah tabulky"/>
    <w:basedOn w:val="Normln"/>
    <w:link w:val="ObsahtabulkyChar"/>
    <w:qFormat/>
    <w:rsid w:val="00200E6E"/>
    <w:pPr>
      <w:spacing w:before="0" w:after="0"/>
    </w:pPr>
    <w:rPr>
      <w:bCs/>
      <w:color w:val="000000" w:themeColor="text1" w:themeShade="BF"/>
    </w:rPr>
  </w:style>
  <w:style w:type="table" w:styleId="Svtlstnovnzvraznn1">
    <w:name w:val="Light Shading Accent 1"/>
    <w:basedOn w:val="Normlntabulka"/>
    <w:uiPriority w:val="60"/>
    <w:rsid w:val="0026270D"/>
    <w:pPr>
      <w:spacing w:after="0" w:line="240" w:lineRule="auto"/>
    </w:pPr>
    <w:rPr>
      <w:color w:val="29609C"/>
    </w:rPr>
    <w:tblPr>
      <w:tblStyleRowBandSize w:val="1"/>
      <w:tblStyleColBandSize w:val="1"/>
      <w:tblBorders>
        <w:top w:val="single" w:sz="4" w:space="0" w:color="2A4387"/>
        <w:bottom w:val="single" w:sz="4" w:space="0" w:color="2A4387"/>
      </w:tblBorders>
    </w:tblPr>
    <w:tcPr>
      <w:shd w:val="clear" w:color="auto" w:fill="auto"/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387"/>
          <w:left w:val="nil"/>
          <w:bottom w:val="single" w:sz="8" w:space="0" w:color="2A4387"/>
          <w:right w:val="nil"/>
          <w:insideH w:val="nil"/>
          <w:insideV w:val="nil"/>
        </w:tcBorders>
        <w:shd w:val="clear" w:color="auto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387"/>
          <w:left w:val="nil"/>
          <w:bottom w:val="single" w:sz="8" w:space="0" w:color="2A4387"/>
          <w:right w:val="nil"/>
          <w:insideH w:val="nil"/>
          <w:insideV w:val="nil"/>
        </w:tcBorders>
        <w:shd w:val="clear" w:color="auto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ObsahtabulkyChar">
    <w:name w:val="Obsah tabulky Char"/>
    <w:basedOn w:val="Standardnpsmoodstavce"/>
    <w:link w:val="Obsahtabulky"/>
    <w:rsid w:val="00200E6E"/>
    <w:rPr>
      <w:bCs/>
      <w:color w:val="000000" w:themeColor="text1" w:themeShade="BF"/>
    </w:rPr>
  </w:style>
  <w:style w:type="character" w:styleId="Zstupntext">
    <w:name w:val="Placeholder Text"/>
    <w:basedOn w:val="Standardnpsmoodstavce"/>
    <w:uiPriority w:val="99"/>
    <w:semiHidden/>
    <w:rsid w:val="00EA2B9B"/>
    <w:rPr>
      <w:color w:val="808080"/>
    </w:rPr>
  </w:style>
  <w:style w:type="table" w:styleId="Svtlmkatabulky">
    <w:name w:val="Grid Table Light"/>
    <w:basedOn w:val="Normlntabulka"/>
    <w:uiPriority w:val="40"/>
    <w:rsid w:val="00EA2B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adpis4Char">
    <w:name w:val="Nadpis 4 Char"/>
    <w:basedOn w:val="Standardnpsmoodstavce"/>
    <w:link w:val="Nadpis4"/>
    <w:uiPriority w:val="9"/>
    <w:semiHidden/>
    <w:rsid w:val="00BC00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C00B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C00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C00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C00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C00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ZhlavChar">
    <w:name w:val="Záhlaví Char"/>
    <w:basedOn w:val="Standardnpsmoodstavce"/>
    <w:link w:val="Zhlav"/>
    <w:uiPriority w:val="99"/>
    <w:rsid w:val="007E402C"/>
    <w:rPr>
      <w:rFonts w:ascii="Arial" w:hAnsi="Arial"/>
    </w:rPr>
  </w:style>
  <w:style w:type="character" w:styleId="Odkaznakoment">
    <w:name w:val="annotation reference"/>
    <w:basedOn w:val="Standardnpsmoodstavce"/>
    <w:uiPriority w:val="99"/>
    <w:semiHidden/>
    <w:unhideWhenUsed/>
    <w:rsid w:val="007A5B0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A5B0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A5B0D"/>
    <w:rPr>
      <w:rFonts w:ascii="Arial" w:hAnsi="Arial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A5B0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A5B0D"/>
    <w:rPr>
      <w:rFonts w:ascii="Arial" w:hAnsi="Arial"/>
      <w:b/>
      <w:bCs/>
      <w:sz w:val="20"/>
      <w:szCs w:val="20"/>
    </w:rPr>
  </w:style>
  <w:style w:type="table" w:styleId="Tabulkaseznamu2zvraznn2">
    <w:name w:val="List Table 2 Accent 2"/>
    <w:basedOn w:val="Normlntabulka"/>
    <w:uiPriority w:val="47"/>
    <w:rsid w:val="00816A8A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vtltabulkaseznamu1zvraznn2">
    <w:name w:val="List Table 1 Light Accent 2"/>
    <w:basedOn w:val="Normlntabulka"/>
    <w:uiPriority w:val="46"/>
    <w:rsid w:val="00816A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ulkaseznamu3zvraznn2">
    <w:name w:val="List Table 3 Accent 2"/>
    <w:basedOn w:val="Normlntabulka"/>
    <w:uiPriority w:val="48"/>
    <w:rsid w:val="004A7E79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paragraph" w:customStyle="1" w:styleId="Default">
    <w:name w:val="Default"/>
    <w:rsid w:val="00B72A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lnweb">
    <w:name w:val="Normal (Web)"/>
    <w:basedOn w:val="Normln"/>
    <w:uiPriority w:val="99"/>
    <w:semiHidden/>
    <w:unhideWhenUsed/>
    <w:rsid w:val="00E121F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draznn">
    <w:name w:val="Emphasis"/>
    <w:basedOn w:val="Standardnpsmoodstavce"/>
    <w:uiPriority w:val="20"/>
    <w:qFormat/>
    <w:rsid w:val="00C13A77"/>
    <w:rPr>
      <w:i/>
      <w:iCs/>
    </w:rPr>
  </w:style>
  <w:style w:type="paragraph" w:customStyle="1" w:styleId="xmsonormal">
    <w:name w:val="x_msonormal"/>
    <w:basedOn w:val="Normln"/>
    <w:rsid w:val="00C13A7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602109"/>
    <w:rPr>
      <w:color w:val="605E5C"/>
      <w:shd w:val="clear" w:color="auto" w:fill="E1DFDD"/>
    </w:rPr>
  </w:style>
  <w:style w:type="character" w:customStyle="1" w:styleId="markedcontent">
    <w:name w:val="markedcontent"/>
    <w:basedOn w:val="Standardnpsmoodstavce"/>
    <w:rsid w:val="004028DF"/>
  </w:style>
  <w:style w:type="character" w:styleId="Siln">
    <w:name w:val="Strong"/>
    <w:uiPriority w:val="22"/>
    <w:qFormat/>
    <w:rsid w:val="004028DF"/>
    <w:rPr>
      <w:b/>
      <w:bCs/>
    </w:rPr>
  </w:style>
  <w:style w:type="character" w:customStyle="1" w:styleId="atm-text-decorator">
    <w:name w:val="atm-text-decorator"/>
    <w:basedOn w:val="Standardnpsmoodstavce"/>
    <w:rsid w:val="00BF7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mocneni-aktualne.mzcr.cz/covid-19" TargetMode="External"/><Relationship Id="rId13" Type="http://schemas.openxmlformats.org/officeDocument/2006/relationships/hyperlink" Target="https://onemocneni-aktualne.mzcr.cz/covid-19" TargetMode="External"/><Relationship Id="rId18" Type="http://schemas.openxmlformats.org/officeDocument/2006/relationships/hyperlink" Target="https://www.uptodate.com/contents/covid-19-epidemiology-virology-and-prevention/abstract/37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assets.publishing.service.gov.uk/government/uploads/system/uploads/attachment_data/file/955239/NERVTAG_paper_on_variant_of_concern__VOC__B.1.1.7.pdf" TargetMode="External"/><Relationship Id="rId17" Type="http://schemas.openxmlformats.org/officeDocument/2006/relationships/hyperlink" Target="https://doi.org/10.1038/s41586-021-03398-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38/s41586-021-03470-x" TargetMode="External"/><Relationship Id="rId20" Type="http://schemas.openxmlformats.org/officeDocument/2006/relationships/hyperlink" Target="https://www.frontiersin.org/people/u/116843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perial.ac.uk/media/imperial-college/medicine/mrc-gida/2021-12-22-COVID19-Report-50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93/infdis/jiac16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i.org/10.2807/1560-7917.ES.2021.26.24.2100509" TargetMode="External"/><Relationship Id="rId19" Type="http://schemas.openxmlformats.org/officeDocument/2006/relationships/hyperlink" Target="https://www.frontiersin.org/people/u/126669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.gov.cz/datov%C3%A9-sady" TargetMode="External"/><Relationship Id="rId14" Type="http://schemas.openxmlformats.org/officeDocument/2006/relationships/hyperlink" Target="https://journals.plos.org/plosone/article?id=10.1371/journal.pone.0267397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5015FF2-81A1-4855-B743-45BC8DAE9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2282</Words>
  <Characters>13464</Characters>
  <Application>Microsoft Office Word</Application>
  <DocSecurity>0</DocSecurity>
  <Lines>112</Lines>
  <Paragraphs>31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</dc:creator>
  <cp:keywords/>
  <dc:description/>
  <cp:lastModifiedBy>Dušek Ladislav prof. RNDr. Ph.D.</cp:lastModifiedBy>
  <cp:revision>2</cp:revision>
  <cp:lastPrinted>2018-06-05T11:05:00Z</cp:lastPrinted>
  <dcterms:created xsi:type="dcterms:W3CDTF">2022-06-05T05:48:00Z</dcterms:created>
  <dcterms:modified xsi:type="dcterms:W3CDTF">2022-06-05T05:48:00Z</dcterms:modified>
</cp:coreProperties>
</file>